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060"/>
        <w:spacing w:after="0"/>
        <w:rPr>
          <w:sz w:val="20"/>
          <w:szCs w:val="20"/>
          <w:color w:val="auto"/>
        </w:rPr>
      </w:pPr>
      <w:r>
        <w:rPr>
          <w:rFonts w:ascii="Arial" w:cs="Arial" w:eastAsia="Arial" w:hAnsi="Arial"/>
          <w:sz w:val="18"/>
          <w:szCs w:val="18"/>
          <w:b w:val="1"/>
          <w:bCs w:val="1"/>
          <w:color w:val="auto"/>
        </w:rPr>
        <w:t>UNITED STATES</w:t>
      </w:r>
    </w:p>
    <w:p>
      <w:pPr>
        <w:spacing w:after="0" w:line="90" w:lineRule="exact"/>
        <w:rPr>
          <w:sz w:val="24"/>
          <w:szCs w:val="24"/>
          <w:color w:val="auto"/>
        </w:rPr>
      </w:pPr>
    </w:p>
    <w:p>
      <w:pPr>
        <w:jc w:val="center"/>
        <w:ind w:right="-1060"/>
        <w:spacing w:after="0"/>
        <w:rPr>
          <w:sz w:val="20"/>
          <w:szCs w:val="20"/>
          <w:color w:val="auto"/>
        </w:rPr>
      </w:pPr>
      <w:r>
        <w:rPr>
          <w:rFonts w:ascii="Arial" w:cs="Arial" w:eastAsia="Arial" w:hAnsi="Arial"/>
          <w:sz w:val="18"/>
          <w:szCs w:val="18"/>
          <w:b w:val="1"/>
          <w:bCs w:val="1"/>
          <w:color w:val="auto"/>
        </w:rPr>
        <w:t>SECURITIES AND EXCHANGE COMMISSION</w:t>
      </w:r>
    </w:p>
    <w:p>
      <w:pPr>
        <w:spacing w:after="0" w:line="112" w:lineRule="exact"/>
        <w:rPr>
          <w:sz w:val="24"/>
          <w:szCs w:val="24"/>
          <w:color w:val="auto"/>
        </w:rPr>
      </w:pPr>
    </w:p>
    <w:p>
      <w:pPr>
        <w:jc w:val="center"/>
        <w:ind w:right="-1060"/>
        <w:spacing w:after="0"/>
        <w:rPr>
          <w:sz w:val="20"/>
          <w:szCs w:val="20"/>
          <w:color w:val="auto"/>
        </w:rPr>
      </w:pPr>
      <w:r>
        <w:rPr>
          <w:rFonts w:ascii="Arial" w:cs="Arial" w:eastAsia="Arial" w:hAnsi="Arial"/>
          <w:sz w:val="18"/>
          <w:szCs w:val="18"/>
          <w:color w:val="auto"/>
        </w:rPr>
        <w:t>Washington, D.C. 20549</w:t>
      </w:r>
    </w:p>
    <w:p>
      <w:pPr>
        <w:spacing w:after="0" w:line="159" w:lineRule="exact"/>
        <w:rPr>
          <w:sz w:val="24"/>
          <w:szCs w:val="24"/>
          <w:color w:val="auto"/>
        </w:rPr>
      </w:pPr>
    </w:p>
    <w:p>
      <w:pPr>
        <w:jc w:val="center"/>
        <w:ind w:right="-1060"/>
        <w:spacing w:after="0"/>
        <w:rPr>
          <w:sz w:val="20"/>
          <w:szCs w:val="20"/>
          <w:color w:val="auto"/>
        </w:rPr>
      </w:pPr>
      <w:r>
        <w:rPr>
          <w:rFonts w:ascii="Arial" w:cs="Arial" w:eastAsia="Arial" w:hAnsi="Arial"/>
          <w:sz w:val="29"/>
          <w:szCs w:val="29"/>
          <w:b w:val="1"/>
          <w:bCs w:val="1"/>
          <w:color w:val="auto"/>
        </w:rPr>
        <w:t>SCHEDULE 14A</w:t>
      </w:r>
    </w:p>
    <w:p>
      <w:pPr>
        <w:spacing w:after="0" w:line="224" w:lineRule="exact"/>
        <w:rPr>
          <w:sz w:val="24"/>
          <w:szCs w:val="24"/>
          <w:color w:val="auto"/>
        </w:rPr>
      </w:pPr>
    </w:p>
    <w:p>
      <w:pPr>
        <w:jc w:val="center"/>
        <w:ind w:right="-1000"/>
        <w:spacing w:after="0"/>
        <w:rPr>
          <w:sz w:val="20"/>
          <w:szCs w:val="20"/>
          <w:color w:val="auto"/>
        </w:rPr>
      </w:pPr>
      <w:r>
        <w:rPr>
          <w:rFonts w:ascii="Arial" w:cs="Arial" w:eastAsia="Arial" w:hAnsi="Arial"/>
          <w:sz w:val="18"/>
          <w:szCs w:val="18"/>
          <w:b w:val="1"/>
          <w:bCs w:val="1"/>
          <w:color w:val="auto"/>
        </w:rPr>
        <w:t>PROXY STATEMENT PURSUANT TO SECTION 14(a)</w:t>
      </w:r>
    </w:p>
    <w:p>
      <w:pPr>
        <w:spacing w:after="0" w:line="13" w:lineRule="exact"/>
        <w:rPr>
          <w:sz w:val="24"/>
          <w:szCs w:val="24"/>
          <w:color w:val="auto"/>
        </w:rPr>
      </w:pPr>
    </w:p>
    <w:p>
      <w:pPr>
        <w:jc w:val="center"/>
        <w:ind w:right="-1060"/>
        <w:spacing w:after="0"/>
        <w:rPr>
          <w:sz w:val="20"/>
          <w:szCs w:val="20"/>
          <w:color w:val="auto"/>
        </w:rPr>
      </w:pPr>
      <w:r>
        <w:rPr>
          <w:rFonts w:ascii="Arial" w:cs="Arial" w:eastAsia="Arial" w:hAnsi="Arial"/>
          <w:sz w:val="18"/>
          <w:szCs w:val="18"/>
          <w:b w:val="1"/>
          <w:bCs w:val="1"/>
          <w:color w:val="auto"/>
        </w:rPr>
        <w:t>OF THE SECURITIES EXCHANGE ACT OF 1934</w:t>
      </w:r>
    </w:p>
    <w:p>
      <w:pPr>
        <w:jc w:val="center"/>
        <w:ind w:right="-1040"/>
        <w:spacing w:after="0"/>
        <w:tabs>
          <w:tab w:leader="none" w:pos="240" w:val="left"/>
        </w:tabs>
        <w:rPr>
          <w:sz w:val="20"/>
          <w:szCs w:val="20"/>
          <w:color w:val="auto"/>
        </w:rPr>
      </w:pPr>
      <w:r>
        <w:rPr>
          <w:rFonts w:ascii="Arial" w:cs="Arial" w:eastAsia="Arial" w:hAnsi="Arial"/>
          <w:sz w:val="18"/>
          <w:szCs w:val="18"/>
          <w:b w:val="1"/>
          <w:bCs w:val="1"/>
          <w:color w:val="auto"/>
        </w:rPr>
        <w:t>(Amendment No.</w:t>
        <w:tab/>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841375</wp:posOffset>
            </wp:positionH>
            <wp:positionV relativeFrom="paragraph">
              <wp:posOffset>126365</wp:posOffset>
            </wp:positionV>
            <wp:extent cx="171450" cy="1797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71450" cy="179705"/>
                    </a:xfrm>
                    <a:prstGeom prst="rect">
                      <a:avLst/>
                    </a:prstGeom>
                    <a:noFill/>
                  </pic:spPr>
                </pic:pic>
              </a:graphicData>
            </a:graphic>
          </wp:anchor>
        </w:drawing>
      </w:r>
    </w:p>
    <w:p>
      <w:pPr>
        <w:spacing w:after="0" w:line="154" w:lineRule="exact"/>
        <w:rPr>
          <w:sz w:val="24"/>
          <w:szCs w:val="24"/>
          <w:color w:val="auto"/>
        </w:rPr>
      </w:pPr>
    </w:p>
    <w:p>
      <w:pPr>
        <w:jc w:val="right"/>
        <w:ind w:right="399"/>
        <w:spacing w:after="0"/>
        <w:rPr>
          <w:sz w:val="20"/>
          <w:szCs w:val="20"/>
          <w:color w:val="auto"/>
        </w:rPr>
      </w:pPr>
      <w:r>
        <w:rPr>
          <w:rFonts w:ascii="Arial" w:cs="Arial" w:eastAsia="Arial" w:hAnsi="Arial"/>
          <w:sz w:val="18"/>
          <w:szCs w:val="18"/>
          <w:color w:val="auto"/>
        </w:rPr>
        <w:t xml:space="preserve">Filed by the Registrant                          </w:t>
      </w:r>
      <w:r>
        <w:rPr>
          <w:sz w:val="1"/>
          <w:szCs w:val="1"/>
          <w:color w:val="auto"/>
        </w:rPr>
        <w:drawing>
          <wp:inline distT="0" distB="0" distL="0" distR="0">
            <wp:extent cx="171450" cy="179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71450" cy="179705"/>
                    </a:xfrm>
                    <a:prstGeom prst="rect">
                      <a:avLst/>
                    </a:prstGeom>
                    <a:noFill/>
                    <a:ln>
                      <a:noFill/>
                    </a:ln>
                  </pic:spPr>
                </pic:pic>
              </a:graphicData>
            </a:graphic>
          </wp:inline>
        </w:drawing>
      </w:r>
      <w:r>
        <w:rPr>
          <w:rFonts w:ascii="Arial" w:cs="Arial" w:eastAsia="Arial" w:hAnsi="Arial"/>
          <w:sz w:val="18"/>
          <w:szCs w:val="18"/>
          <w:color w:val="auto"/>
        </w:rPr>
        <w:t xml:space="preserve"> Filed by a Party other than the Registrant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-32385</wp:posOffset>
            </wp:positionH>
            <wp:positionV relativeFrom="paragraph">
              <wp:posOffset>120015</wp:posOffset>
            </wp:positionV>
            <wp:extent cx="7132320" cy="12687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2320" cy="1268730"/>
                    </a:xfrm>
                    <a:prstGeom prst="rect">
                      <a:avLst/>
                    </a:prstGeom>
                    <a:noFill/>
                  </pic:spPr>
                </pic:pic>
              </a:graphicData>
            </a:graphic>
          </wp:anchor>
        </w:drawing>
      </w:r>
    </w:p>
    <w:p>
      <w:pPr>
        <w:spacing w:after="0" w:line="177" w:lineRule="exact"/>
        <w:rPr>
          <w:sz w:val="24"/>
          <w:szCs w:val="24"/>
          <w:color w:val="auto"/>
        </w:rPr>
      </w:pPr>
    </w:p>
    <w:p>
      <w:pPr>
        <w:spacing w:after="0"/>
        <w:rPr>
          <w:sz w:val="20"/>
          <w:szCs w:val="20"/>
          <w:color w:val="auto"/>
        </w:rPr>
      </w:pPr>
      <w:r>
        <w:rPr>
          <w:rFonts w:ascii="Arial" w:cs="Arial" w:eastAsia="Arial" w:hAnsi="Arial"/>
          <w:sz w:val="22"/>
          <w:szCs w:val="22"/>
          <w:b w:val="1"/>
          <w:bCs w:val="1"/>
          <w:color w:val="auto"/>
        </w:rPr>
        <w:t>Check the appropriate box:</w:t>
      </w:r>
    </w:p>
    <w:p>
      <w:pPr>
        <w:spacing w:after="0" w:line="157" w:lineRule="exact"/>
        <w:rPr>
          <w:sz w:val="24"/>
          <w:szCs w:val="24"/>
          <w:color w:val="auto"/>
        </w:rPr>
      </w:pPr>
    </w:p>
    <w:p>
      <w:pPr>
        <w:ind w:left="560"/>
        <w:spacing w:after="0"/>
        <w:rPr>
          <w:sz w:val="20"/>
          <w:szCs w:val="20"/>
          <w:color w:val="auto"/>
        </w:rPr>
      </w:pPr>
      <w:r>
        <w:rPr>
          <w:rFonts w:ascii="Arial" w:cs="Arial" w:eastAsia="Arial" w:hAnsi="Arial"/>
          <w:sz w:val="18"/>
          <w:szCs w:val="18"/>
          <w:color w:val="auto"/>
        </w:rPr>
        <w:t>Preliminary Proxy Statement</w:t>
      </w:r>
    </w:p>
    <w:p>
      <w:pPr>
        <w:spacing w:after="0" w:line="109" w:lineRule="exact"/>
        <w:rPr>
          <w:sz w:val="24"/>
          <w:szCs w:val="24"/>
          <w:color w:val="auto"/>
        </w:rPr>
      </w:pPr>
    </w:p>
    <w:p>
      <w:pPr>
        <w:ind w:left="560"/>
        <w:spacing w:after="0"/>
        <w:rPr>
          <w:sz w:val="20"/>
          <w:szCs w:val="20"/>
          <w:color w:val="auto"/>
        </w:rPr>
      </w:pPr>
      <w:r>
        <w:rPr>
          <w:rFonts w:ascii="Arial" w:cs="Arial" w:eastAsia="Arial" w:hAnsi="Arial"/>
          <w:sz w:val="18"/>
          <w:szCs w:val="18"/>
          <w:b w:val="1"/>
          <w:bCs w:val="1"/>
          <w:color w:val="auto"/>
        </w:rPr>
        <w:t>Confidential, for Use of the Commission Only (as permitted by Rule 14A-6(E)(2))</w:t>
      </w:r>
    </w:p>
    <w:p>
      <w:pPr>
        <w:spacing w:after="0" w:line="153" w:lineRule="exact"/>
        <w:rPr>
          <w:sz w:val="24"/>
          <w:szCs w:val="24"/>
          <w:color w:val="auto"/>
        </w:rPr>
      </w:pPr>
    </w:p>
    <w:p>
      <w:pPr>
        <w:ind w:left="560"/>
        <w:spacing w:after="0"/>
        <w:rPr>
          <w:sz w:val="20"/>
          <w:szCs w:val="20"/>
          <w:color w:val="auto"/>
        </w:rPr>
      </w:pPr>
      <w:r>
        <w:rPr>
          <w:rFonts w:ascii="Arial" w:cs="Arial" w:eastAsia="Arial" w:hAnsi="Arial"/>
          <w:sz w:val="18"/>
          <w:szCs w:val="18"/>
          <w:color w:val="auto"/>
        </w:rPr>
        <w:t>Definitive Proxy Statement</w:t>
      </w:r>
    </w:p>
    <w:p>
      <w:pPr>
        <w:spacing w:after="0" w:line="131" w:lineRule="exact"/>
        <w:rPr>
          <w:sz w:val="24"/>
          <w:szCs w:val="24"/>
          <w:color w:val="auto"/>
        </w:rPr>
      </w:pPr>
    </w:p>
    <w:p>
      <w:pPr>
        <w:ind w:left="560"/>
        <w:spacing w:after="0"/>
        <w:rPr>
          <w:sz w:val="20"/>
          <w:szCs w:val="20"/>
          <w:color w:val="auto"/>
        </w:rPr>
      </w:pPr>
      <w:r>
        <w:rPr>
          <w:rFonts w:ascii="Arial" w:cs="Arial" w:eastAsia="Arial" w:hAnsi="Arial"/>
          <w:sz w:val="18"/>
          <w:szCs w:val="18"/>
          <w:color w:val="auto"/>
        </w:rPr>
        <w:t>Definitive Additional Materials</w:t>
      </w:r>
    </w:p>
    <w:p>
      <w:pPr>
        <w:spacing w:after="0" w:line="131" w:lineRule="exact"/>
        <w:rPr>
          <w:sz w:val="24"/>
          <w:szCs w:val="24"/>
          <w:color w:val="auto"/>
        </w:rPr>
      </w:pPr>
    </w:p>
    <w:p>
      <w:pPr>
        <w:ind w:left="560"/>
        <w:spacing w:after="0"/>
        <w:rPr>
          <w:sz w:val="20"/>
          <w:szCs w:val="20"/>
          <w:color w:val="auto"/>
        </w:rPr>
      </w:pPr>
      <w:r>
        <w:rPr>
          <w:rFonts w:ascii="Arial" w:cs="Arial" w:eastAsia="Arial" w:hAnsi="Arial"/>
          <w:sz w:val="18"/>
          <w:szCs w:val="18"/>
          <w:color w:val="auto"/>
        </w:rPr>
        <w:t>Soliciting Material under §240.14a-12</w:t>
      </w:r>
    </w:p>
    <w:p>
      <w:pPr>
        <w:spacing w:after="0" w:line="186" w:lineRule="exact"/>
        <w:rPr>
          <w:sz w:val="24"/>
          <w:szCs w:val="24"/>
          <w:color w:val="auto"/>
        </w:rPr>
      </w:pPr>
    </w:p>
    <w:p>
      <w:pPr>
        <w:ind w:left="3540"/>
        <w:spacing w:after="0"/>
        <w:rPr>
          <w:sz w:val="20"/>
          <w:szCs w:val="20"/>
          <w:color w:val="auto"/>
        </w:rPr>
      </w:pPr>
      <w:r>
        <w:rPr>
          <w:rFonts w:ascii="Arial" w:cs="Arial" w:eastAsia="Arial" w:hAnsi="Arial"/>
          <w:sz w:val="29"/>
          <w:szCs w:val="29"/>
          <w:b w:val="1"/>
          <w:bCs w:val="1"/>
          <w:color w:val="auto"/>
        </w:rPr>
        <w:t>Amneal Pharmaceuticals, Inc.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2718435</wp:posOffset>
            </wp:positionH>
            <wp:positionV relativeFrom="paragraph">
              <wp:posOffset>156845</wp:posOffset>
            </wp:positionV>
            <wp:extent cx="1628775" cy="7289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628775" cy="72898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50" w:lineRule="exact"/>
        <w:rPr>
          <w:sz w:val="24"/>
          <w:szCs w:val="24"/>
          <w:color w:val="auto"/>
        </w:rPr>
      </w:pPr>
    </w:p>
    <w:p>
      <w:pPr>
        <w:jc w:val="center"/>
        <w:ind w:right="-1060"/>
        <w:spacing w:after="0"/>
        <w:rPr>
          <w:sz w:val="20"/>
          <w:szCs w:val="20"/>
          <w:color w:val="auto"/>
        </w:rPr>
      </w:pPr>
      <w:r>
        <w:rPr>
          <w:rFonts w:ascii="Arial" w:cs="Arial" w:eastAsia="Arial" w:hAnsi="Arial"/>
          <w:sz w:val="18"/>
          <w:szCs w:val="18"/>
          <w:i w:val="1"/>
          <w:iCs w:val="1"/>
          <w:color w:val="auto"/>
        </w:rPr>
        <w:t>(Name of Registrant as Specified in Its Charter)</w:t>
      </w:r>
    </w:p>
    <w:p>
      <w:pPr>
        <w:spacing w:after="0" w:line="198" w:lineRule="exact"/>
        <w:rPr>
          <w:sz w:val="24"/>
          <w:szCs w:val="24"/>
          <w:color w:val="auto"/>
        </w:rPr>
      </w:pPr>
    </w:p>
    <w:p>
      <w:pPr>
        <w:jc w:val="center"/>
        <w:ind w:right="-1060"/>
        <w:spacing w:after="0"/>
        <w:rPr>
          <w:sz w:val="20"/>
          <w:szCs w:val="20"/>
          <w:color w:val="auto"/>
        </w:rPr>
      </w:pPr>
      <w:r>
        <w:rPr>
          <w:rFonts w:ascii="Arial" w:cs="Arial" w:eastAsia="Arial" w:hAnsi="Arial"/>
          <w:sz w:val="18"/>
          <w:szCs w:val="18"/>
          <w:i w:val="1"/>
          <w:iCs w:val="1"/>
          <w:color w:val="auto"/>
        </w:rPr>
        <w:t>(Name of Person(s) Filing Proxy Statement, if other than the Registrant)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-32385</wp:posOffset>
            </wp:positionH>
            <wp:positionV relativeFrom="paragraph">
              <wp:posOffset>52070</wp:posOffset>
            </wp:positionV>
            <wp:extent cx="7132320" cy="8401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32320" cy="840105"/>
                    </a:xfrm>
                    <a:prstGeom prst="rect">
                      <a:avLst/>
                    </a:prstGeom>
                    <a:noFill/>
                  </pic:spPr>
                </pic:pic>
              </a:graphicData>
            </a:graphic>
          </wp:anchor>
        </w:drawing>
      </w:r>
    </w:p>
    <w:p>
      <w:pPr>
        <w:spacing w:after="0" w:line="70" w:lineRule="exact"/>
        <w:rPr>
          <w:sz w:val="24"/>
          <w:szCs w:val="24"/>
          <w:color w:val="auto"/>
        </w:rPr>
      </w:pPr>
    </w:p>
    <w:p>
      <w:pPr>
        <w:spacing w:after="0"/>
        <w:rPr>
          <w:sz w:val="20"/>
          <w:szCs w:val="20"/>
          <w:color w:val="auto"/>
        </w:rPr>
      </w:pPr>
      <w:r>
        <w:rPr>
          <w:rFonts w:ascii="Arial" w:cs="Arial" w:eastAsia="Arial" w:hAnsi="Arial"/>
          <w:sz w:val="22"/>
          <w:szCs w:val="22"/>
          <w:b w:val="1"/>
          <w:bCs w:val="1"/>
          <w:color w:val="auto"/>
        </w:rPr>
        <w:t>Payment of Filing Fee (Check all boxes that apply):</w:t>
      </w:r>
    </w:p>
    <w:p>
      <w:pPr>
        <w:spacing w:after="0" w:line="135" w:lineRule="exact"/>
        <w:rPr>
          <w:sz w:val="24"/>
          <w:szCs w:val="24"/>
          <w:color w:val="auto"/>
        </w:rPr>
      </w:pPr>
    </w:p>
    <w:p>
      <w:pPr>
        <w:ind w:left="520"/>
        <w:spacing w:after="0"/>
        <w:rPr>
          <w:sz w:val="20"/>
          <w:szCs w:val="20"/>
          <w:color w:val="auto"/>
        </w:rPr>
      </w:pPr>
      <w:r>
        <w:rPr>
          <w:rFonts w:ascii="Arial" w:cs="Arial" w:eastAsia="Arial" w:hAnsi="Arial"/>
          <w:sz w:val="18"/>
          <w:szCs w:val="18"/>
          <w:b w:val="1"/>
          <w:bCs w:val="1"/>
          <w:color w:val="auto"/>
        </w:rPr>
        <w:t>No fee required.</w:t>
      </w:r>
    </w:p>
    <w:p>
      <w:pPr>
        <w:spacing w:after="0" w:line="131" w:lineRule="exact"/>
        <w:rPr>
          <w:sz w:val="24"/>
          <w:szCs w:val="24"/>
          <w:color w:val="auto"/>
        </w:rPr>
      </w:pPr>
    </w:p>
    <w:p>
      <w:pPr>
        <w:ind w:left="520"/>
        <w:spacing w:after="0"/>
        <w:rPr>
          <w:sz w:val="20"/>
          <w:szCs w:val="20"/>
          <w:color w:val="auto"/>
        </w:rPr>
      </w:pPr>
      <w:r>
        <w:rPr>
          <w:rFonts w:ascii="Arial" w:cs="Arial" w:eastAsia="Arial" w:hAnsi="Arial"/>
          <w:sz w:val="18"/>
          <w:szCs w:val="18"/>
          <w:b w:val="1"/>
          <w:bCs w:val="1"/>
          <w:color w:val="auto"/>
        </w:rPr>
        <w:t>Fee paid previously with preliminary materials.</w:t>
      </w:r>
    </w:p>
    <w:p>
      <w:pPr>
        <w:spacing w:after="0" w:line="131" w:lineRule="exact"/>
        <w:rPr>
          <w:sz w:val="24"/>
          <w:szCs w:val="24"/>
          <w:color w:val="auto"/>
        </w:rPr>
      </w:pPr>
    </w:p>
    <w:p>
      <w:pPr>
        <w:ind w:left="520"/>
        <w:spacing w:after="0"/>
        <w:rPr>
          <w:sz w:val="20"/>
          <w:szCs w:val="20"/>
          <w:color w:val="auto"/>
        </w:rPr>
      </w:pPr>
      <w:r>
        <w:rPr>
          <w:rFonts w:ascii="Arial" w:cs="Arial" w:eastAsia="Arial" w:hAnsi="Arial"/>
          <w:sz w:val="18"/>
          <w:szCs w:val="18"/>
          <w:b w:val="1"/>
          <w:bCs w:val="1"/>
          <w:color w:val="auto"/>
        </w:rPr>
        <w:t>Fee computed on table in exhibit required by Item 25(b) per Exchange Act Rules 14a-6(i)(1) and 0-11.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-32385</wp:posOffset>
            </wp:positionH>
            <wp:positionV relativeFrom="paragraph">
              <wp:posOffset>182880</wp:posOffset>
            </wp:positionV>
            <wp:extent cx="7132320" cy="342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0079"/>
          </w:cols>
          <w:pgMar w:left="380" w:top="225" w:right="1440" w:bottom="1440" w:gutter="0" w:footer="0" w:header="0"/>
        </w:sectPr>
      </w:pPr>
    </w:p>
    <w:bookmarkStart w:id="1" w:name="page2"/>
    <w:bookmarkEnd w:id="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268605</wp:posOffset>
            </wp:positionV>
            <wp:extent cx="7132320" cy="91211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32320" cy="91211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 w:name="page3"/>
    <w:bookmarkEnd w:id="2"/>
    <w:p>
      <w:pPr>
        <w:spacing w:after="0" w:line="1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268605</wp:posOffset>
            </wp:positionV>
            <wp:extent cx="7132320" cy="771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32320" cy="771525"/>
                    </a:xfrm>
                    <a:prstGeom prst="rect">
                      <a:avLst/>
                    </a:prstGeom>
                    <a:noFill/>
                  </pic:spPr>
                </pic:pic>
              </a:graphicData>
            </a:graphic>
          </wp:anchor>
        </w:drawing>
      </w:r>
    </w:p>
    <w:p>
      <w:pPr>
        <w:spacing w:after="0"/>
        <w:rPr>
          <w:sz w:val="20"/>
          <w:szCs w:val="20"/>
          <w:color w:val="auto"/>
        </w:rPr>
      </w:pPr>
      <w:r>
        <w:rPr>
          <w:rFonts w:ascii="Arial" w:cs="Arial" w:eastAsia="Arial" w:hAnsi="Arial"/>
          <w:sz w:val="76"/>
          <w:szCs w:val="76"/>
          <w:b w:val="1"/>
          <w:bCs w:val="1"/>
          <w:color w:val="04568A"/>
        </w:rPr>
        <w:t xml:space="preserve">Notice </w:t>
      </w:r>
      <w:r>
        <w:rPr>
          <w:rFonts w:ascii="Arial" w:cs="Arial" w:eastAsia="Arial" w:hAnsi="Arial"/>
          <w:sz w:val="50"/>
          <w:szCs w:val="50"/>
          <w:b w:val="1"/>
          <w:bCs w:val="1"/>
          <w:color w:val="000000"/>
        </w:rPr>
        <w:t>of 2022</w:t>
      </w:r>
    </w:p>
    <w:p>
      <w:pPr>
        <w:spacing w:after="0" w:line="85" w:lineRule="exact"/>
        <w:rPr>
          <w:sz w:val="20"/>
          <w:szCs w:val="20"/>
          <w:color w:val="auto"/>
        </w:rPr>
      </w:pPr>
    </w:p>
    <w:p>
      <w:pPr>
        <w:ind w:right="3540"/>
        <w:spacing w:after="0" w:line="256" w:lineRule="auto"/>
        <w:rPr>
          <w:sz w:val="20"/>
          <w:szCs w:val="20"/>
          <w:color w:val="auto"/>
        </w:rPr>
      </w:pPr>
      <w:r>
        <w:rPr>
          <w:rFonts w:ascii="Arial" w:cs="Arial" w:eastAsia="Arial" w:hAnsi="Arial"/>
          <w:sz w:val="50"/>
          <w:szCs w:val="50"/>
          <w:b w:val="1"/>
          <w:bCs w:val="1"/>
          <w:color w:val="auto"/>
        </w:rPr>
        <w:t>Annual Meeting of Stockholders and Proxy Statement</w:t>
      </w:r>
    </w:p>
    <w:p>
      <w:pPr>
        <w:sectPr>
          <w:pgSz w:w="11900" w:h="16838" w:orient="portrait"/>
          <w:cols w:equalWidth="0" w:num="1">
            <w:col w:w="11240"/>
          </w:cols>
          <w:pgMar w:left="320" w:top="1440" w:right="339" w:bottom="1440" w:gutter="0" w:footer="0" w:header="0"/>
        </w:sectPr>
      </w:pPr>
    </w:p>
    <w:p>
      <w:pPr>
        <w:spacing w:after="0" w:line="156" w:lineRule="exact"/>
        <w:rPr>
          <w:sz w:val="20"/>
          <w:szCs w:val="20"/>
          <w:color w:val="auto"/>
        </w:rPr>
      </w:pPr>
    </w:p>
    <w:p>
      <w:pPr>
        <w:jc w:val="both"/>
        <w:ind w:right="1880"/>
        <w:spacing w:after="0" w:line="266" w:lineRule="auto"/>
        <w:rPr>
          <w:sz w:val="20"/>
          <w:szCs w:val="20"/>
          <w:color w:val="auto"/>
        </w:rPr>
      </w:pPr>
      <w:r>
        <w:rPr>
          <w:rFonts w:ascii="Arial" w:cs="Arial" w:eastAsia="Arial" w:hAnsi="Arial"/>
          <w:sz w:val="16"/>
          <w:szCs w:val="16"/>
          <w:b w:val="1"/>
          <w:bCs w:val="1"/>
          <w:color w:val="04568A"/>
        </w:rPr>
        <w:t>You are cordially invited to attend the Amneal Pharmaceuticals, Inc. 2022 Annual Meeting of Stockholders.</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b w:val="1"/>
          <w:bCs w:val="1"/>
          <w:color w:val="04568A"/>
        </w:rPr>
        <w:t>MONDAY, MAY 9, 2022</w:t>
      </w:r>
    </w:p>
    <w:p>
      <w:pPr>
        <w:spacing w:after="0" w:line="73"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9:00 a.m., Eastern Daylight Time</w:t>
      </w:r>
    </w:p>
    <w:p>
      <w:pPr>
        <w:spacing w:after="0" w:line="73"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Virtual Meeting at www.virtualshareholdermeeting. com/AMRX2022</w:t>
      </w:r>
    </w:p>
    <w:p>
      <w:pPr>
        <w:spacing w:after="0" w:line="194" w:lineRule="exact"/>
        <w:rPr>
          <w:sz w:val="20"/>
          <w:szCs w:val="20"/>
          <w:color w:val="auto"/>
        </w:rPr>
      </w:pPr>
    </w:p>
    <w:p>
      <w:pPr>
        <w:spacing w:after="0"/>
        <w:rPr>
          <w:sz w:val="20"/>
          <w:szCs w:val="20"/>
          <w:color w:val="auto"/>
        </w:rPr>
      </w:pPr>
      <w:r>
        <w:rPr>
          <w:rFonts w:ascii="Arial" w:cs="Arial" w:eastAsia="Arial" w:hAnsi="Arial"/>
          <w:sz w:val="16"/>
          <w:szCs w:val="16"/>
          <w:b w:val="1"/>
          <w:bCs w:val="1"/>
          <w:color w:val="04568A"/>
        </w:rPr>
        <w:t>Items to be Voted On</w:t>
      </w:r>
    </w:p>
    <w:p>
      <w:pPr>
        <w:spacing w:after="0" w:line="87" w:lineRule="exact"/>
        <w:rPr>
          <w:sz w:val="20"/>
          <w:szCs w:val="20"/>
          <w:color w:val="auto"/>
        </w:rPr>
      </w:pPr>
    </w:p>
    <w:p>
      <w:pPr>
        <w:ind w:left="260" w:right="20" w:hanging="252"/>
        <w:spacing w:after="0" w:line="242" w:lineRule="auto"/>
        <w:tabs>
          <w:tab w:leader="none" w:pos="260" w:val="left"/>
        </w:tabs>
        <w:numPr>
          <w:ilvl w:val="0"/>
          <w:numId w:val="1"/>
        </w:numPr>
        <w:rPr>
          <w:rFonts w:ascii="Arial" w:cs="Arial" w:eastAsia="Arial" w:hAnsi="Arial"/>
          <w:sz w:val="15"/>
          <w:szCs w:val="15"/>
          <w:color w:val="04568A"/>
        </w:rPr>
      </w:pPr>
      <w:r>
        <w:rPr>
          <w:rFonts w:ascii="Arial" w:cs="Arial" w:eastAsia="Arial" w:hAnsi="Arial"/>
          <w:sz w:val="15"/>
          <w:szCs w:val="15"/>
          <w:color w:val="auto"/>
        </w:rPr>
        <w:t>Elect as directors the 10 nominees named in the accompanying proxy statement;</w:t>
      </w:r>
    </w:p>
    <w:p>
      <w:pPr>
        <w:spacing w:after="0" w:line="43" w:lineRule="exact"/>
        <w:rPr>
          <w:rFonts w:ascii="Arial" w:cs="Arial" w:eastAsia="Arial" w:hAnsi="Arial"/>
          <w:sz w:val="15"/>
          <w:szCs w:val="15"/>
          <w:color w:val="04568A"/>
        </w:rPr>
      </w:pPr>
    </w:p>
    <w:p>
      <w:pPr>
        <w:ind w:left="260" w:hanging="252"/>
        <w:spacing w:after="0" w:line="242" w:lineRule="auto"/>
        <w:tabs>
          <w:tab w:leader="none" w:pos="260" w:val="left"/>
        </w:tabs>
        <w:numPr>
          <w:ilvl w:val="0"/>
          <w:numId w:val="1"/>
        </w:numPr>
        <w:rPr>
          <w:rFonts w:ascii="Arial" w:cs="Arial" w:eastAsia="Arial" w:hAnsi="Arial"/>
          <w:sz w:val="15"/>
          <w:szCs w:val="15"/>
          <w:color w:val="04568A"/>
        </w:rPr>
      </w:pPr>
      <w:r>
        <w:rPr>
          <w:rFonts w:ascii="Arial" w:cs="Arial" w:eastAsia="Arial" w:hAnsi="Arial"/>
          <w:sz w:val="15"/>
          <w:szCs w:val="15"/>
          <w:color w:val="auto"/>
        </w:rPr>
        <w:t>Approve the compensation of our named executive officers on an advisory basis;</w:t>
      </w:r>
    </w:p>
    <w:p>
      <w:pPr>
        <w:spacing w:after="0" w:line="43" w:lineRule="exact"/>
        <w:rPr>
          <w:rFonts w:ascii="Arial" w:cs="Arial" w:eastAsia="Arial" w:hAnsi="Arial"/>
          <w:sz w:val="15"/>
          <w:szCs w:val="15"/>
          <w:color w:val="04568A"/>
        </w:rPr>
      </w:pPr>
    </w:p>
    <w:p>
      <w:pPr>
        <w:ind w:left="260" w:right="20" w:hanging="252"/>
        <w:spacing w:after="0" w:line="242" w:lineRule="auto"/>
        <w:tabs>
          <w:tab w:leader="none" w:pos="260" w:val="left"/>
        </w:tabs>
        <w:numPr>
          <w:ilvl w:val="0"/>
          <w:numId w:val="1"/>
        </w:numPr>
        <w:rPr>
          <w:rFonts w:ascii="Arial" w:cs="Arial" w:eastAsia="Arial" w:hAnsi="Arial"/>
          <w:sz w:val="15"/>
          <w:szCs w:val="15"/>
          <w:color w:val="04568A"/>
        </w:rPr>
      </w:pPr>
      <w:r>
        <w:rPr>
          <w:rFonts w:ascii="Arial" w:cs="Arial" w:eastAsia="Arial" w:hAnsi="Arial"/>
          <w:sz w:val="15"/>
          <w:szCs w:val="15"/>
          <w:color w:val="auto"/>
        </w:rPr>
        <w:t>Ratify the appointment of Ernst &amp; Young LLP as our independent registered public accounting firm for fiscal year 2022; and</w:t>
      </w:r>
    </w:p>
    <w:p>
      <w:pPr>
        <w:spacing w:after="0" w:line="43" w:lineRule="exact"/>
        <w:rPr>
          <w:rFonts w:ascii="Arial" w:cs="Arial" w:eastAsia="Arial" w:hAnsi="Arial"/>
          <w:sz w:val="15"/>
          <w:szCs w:val="15"/>
          <w:color w:val="04568A"/>
        </w:rPr>
      </w:pPr>
    </w:p>
    <w:p>
      <w:pPr>
        <w:ind w:left="260" w:right="20" w:hanging="252"/>
        <w:spacing w:after="0" w:line="242" w:lineRule="auto"/>
        <w:tabs>
          <w:tab w:leader="none" w:pos="260" w:val="left"/>
        </w:tabs>
        <w:numPr>
          <w:ilvl w:val="0"/>
          <w:numId w:val="1"/>
        </w:numPr>
        <w:rPr>
          <w:rFonts w:ascii="Arial" w:cs="Arial" w:eastAsia="Arial" w:hAnsi="Arial"/>
          <w:sz w:val="15"/>
          <w:szCs w:val="15"/>
          <w:color w:val="04568A"/>
        </w:rPr>
      </w:pPr>
      <w:r>
        <w:rPr>
          <w:rFonts w:ascii="Arial" w:cs="Arial" w:eastAsia="Arial" w:hAnsi="Arial"/>
          <w:sz w:val="15"/>
          <w:szCs w:val="15"/>
          <w:color w:val="auto"/>
        </w:rPr>
        <w:t>Transact such other business as may properly come before the annual meeting or any adjournment or postponement of the meeting.</w:t>
      </w:r>
    </w:p>
    <w:p>
      <w:pPr>
        <w:spacing w:after="0" w:line="123" w:lineRule="exact"/>
        <w:rPr>
          <w:sz w:val="20"/>
          <w:szCs w:val="20"/>
          <w:color w:val="auto"/>
        </w:rPr>
      </w:pPr>
    </w:p>
    <w:p>
      <w:pPr>
        <w:spacing w:after="0"/>
        <w:rPr>
          <w:sz w:val="20"/>
          <w:szCs w:val="20"/>
          <w:color w:val="auto"/>
        </w:rPr>
      </w:pPr>
      <w:r>
        <w:rPr>
          <w:rFonts w:ascii="Arial" w:cs="Arial" w:eastAsia="Arial" w:hAnsi="Arial"/>
          <w:sz w:val="16"/>
          <w:szCs w:val="16"/>
          <w:b w:val="1"/>
          <w:bCs w:val="1"/>
          <w:color w:val="04568A"/>
        </w:rPr>
        <w:t>Record Date</w:t>
      </w:r>
    </w:p>
    <w:p>
      <w:pPr>
        <w:spacing w:after="0" w:line="87" w:lineRule="exact"/>
        <w:rPr>
          <w:sz w:val="20"/>
          <w:szCs w:val="20"/>
          <w:color w:val="auto"/>
        </w:rPr>
      </w:pPr>
    </w:p>
    <w:p>
      <w:pPr>
        <w:jc w:val="both"/>
        <w:spacing w:after="0" w:line="225" w:lineRule="auto"/>
        <w:rPr>
          <w:sz w:val="20"/>
          <w:szCs w:val="20"/>
          <w:color w:val="auto"/>
        </w:rPr>
      </w:pPr>
      <w:r>
        <w:rPr>
          <w:rFonts w:ascii="Arial" w:cs="Arial" w:eastAsia="Arial" w:hAnsi="Arial"/>
          <w:sz w:val="15"/>
          <w:szCs w:val="15"/>
          <w:color w:val="auto"/>
        </w:rPr>
        <w:t>You are eligible to vote if you were a stockholder of record at the close of business on March 11, 2022. A list of stockholders of record will be made</w:t>
      </w:r>
    </w:p>
    <w:p>
      <w:pPr>
        <w:spacing w:after="0" w:line="1" w:lineRule="exact"/>
        <w:rPr>
          <w:sz w:val="20"/>
          <w:szCs w:val="20"/>
          <w:color w:val="auto"/>
        </w:rPr>
      </w:pPr>
    </w:p>
    <w:p>
      <w:pPr>
        <w:jc w:val="both"/>
        <w:spacing w:after="0" w:line="235" w:lineRule="auto"/>
        <w:rPr>
          <w:sz w:val="20"/>
          <w:szCs w:val="20"/>
          <w:color w:val="auto"/>
        </w:rPr>
      </w:pPr>
      <w:r>
        <w:rPr>
          <w:rFonts w:ascii="Arial" w:cs="Arial" w:eastAsia="Arial" w:hAnsi="Arial"/>
          <w:sz w:val="15"/>
          <w:szCs w:val="15"/>
          <w:color w:val="auto"/>
        </w:rPr>
        <w:t>available to stockholders during the meeting at www.virtualshareholdermeeting.com/AMRX2022 when you enter your 16-Digit Control Number.</w:t>
      </w:r>
    </w:p>
    <w:p>
      <w:pPr>
        <w:spacing w:after="0" w:line="20" w:lineRule="exact"/>
        <w:rPr>
          <w:sz w:val="20"/>
          <w:szCs w:val="20"/>
          <w:color w:val="auto"/>
        </w:rPr>
      </w:pPr>
      <w:r>
        <w:rPr>
          <w:sz w:val="20"/>
          <w:szCs w:val="20"/>
          <w:color w:val="auto"/>
        </w:rPr>
        <w:br w:type="column"/>
      </w:r>
    </w:p>
    <w:p>
      <w:pPr>
        <w:spacing w:after="0" w:line="136" w:lineRule="exact"/>
        <w:rPr>
          <w:sz w:val="20"/>
          <w:szCs w:val="20"/>
          <w:color w:val="auto"/>
        </w:rPr>
      </w:pPr>
    </w:p>
    <w:p>
      <w:pPr>
        <w:spacing w:after="0"/>
        <w:rPr>
          <w:sz w:val="20"/>
          <w:szCs w:val="20"/>
          <w:color w:val="auto"/>
        </w:rPr>
      </w:pPr>
      <w:r>
        <w:rPr>
          <w:rFonts w:ascii="Arial" w:cs="Arial" w:eastAsia="Arial" w:hAnsi="Arial"/>
          <w:sz w:val="16"/>
          <w:szCs w:val="16"/>
          <w:b w:val="1"/>
          <w:bCs w:val="1"/>
          <w:color w:val="04568A"/>
        </w:rPr>
        <w:t>Voting</w:t>
      </w:r>
    </w:p>
    <w:p>
      <w:pPr>
        <w:spacing w:after="0" w:line="87" w:lineRule="exact"/>
        <w:rPr>
          <w:sz w:val="20"/>
          <w:szCs w:val="20"/>
          <w:color w:val="auto"/>
        </w:rPr>
      </w:pPr>
    </w:p>
    <w:p>
      <w:pPr>
        <w:jc w:val="both"/>
        <w:spacing w:after="0" w:line="229" w:lineRule="auto"/>
        <w:rPr>
          <w:sz w:val="20"/>
          <w:szCs w:val="20"/>
          <w:color w:val="auto"/>
        </w:rPr>
      </w:pPr>
      <w:r>
        <w:rPr>
          <w:rFonts w:ascii="Arial" w:cs="Arial" w:eastAsia="Arial" w:hAnsi="Arial"/>
          <w:sz w:val="15"/>
          <w:szCs w:val="15"/>
          <w:color w:val="auto"/>
        </w:rPr>
        <w:t>Your vote is important, and you are invited to attend the annual meeting. Whether or not you expect to attend the annual meeting, we encourage you to vote as soon as possible. To ensure your shares are voted, you may vote your shares in advance of the meeting over the internet, by telephone or, if you requested to receive printed proxy materials, by mailing a proxy or voting instruction card. Voting over the internet, by telephone or by mail will ensure your representation at the annual meeting regardless of whether you attend the meeting.</w:t>
      </w:r>
    </w:p>
    <w:p>
      <w:pPr>
        <w:spacing w:after="0" w:line="127" w:lineRule="exact"/>
        <w:rPr>
          <w:sz w:val="20"/>
          <w:szCs w:val="20"/>
          <w:color w:val="auto"/>
        </w:rPr>
      </w:pPr>
    </w:p>
    <w:p>
      <w:pPr>
        <w:spacing w:after="0"/>
        <w:rPr>
          <w:sz w:val="20"/>
          <w:szCs w:val="20"/>
          <w:color w:val="auto"/>
        </w:rPr>
      </w:pPr>
      <w:r>
        <w:rPr>
          <w:rFonts w:ascii="Arial" w:cs="Arial" w:eastAsia="Arial" w:hAnsi="Arial"/>
          <w:sz w:val="16"/>
          <w:szCs w:val="16"/>
          <w:b w:val="1"/>
          <w:bCs w:val="1"/>
          <w:color w:val="04568A"/>
        </w:rPr>
        <w:t>Virtual Annual Meeting</w:t>
      </w:r>
    </w:p>
    <w:p>
      <w:pPr>
        <w:spacing w:after="0" w:line="87" w:lineRule="exact"/>
        <w:rPr>
          <w:sz w:val="20"/>
          <w:szCs w:val="20"/>
          <w:color w:val="auto"/>
        </w:rPr>
      </w:pPr>
    </w:p>
    <w:p>
      <w:pPr>
        <w:jc w:val="both"/>
        <w:spacing w:after="0" w:line="233" w:lineRule="auto"/>
        <w:rPr>
          <w:sz w:val="20"/>
          <w:szCs w:val="20"/>
          <w:color w:val="auto"/>
        </w:rPr>
      </w:pPr>
      <w:r>
        <w:rPr>
          <w:rFonts w:ascii="Arial" w:cs="Arial" w:eastAsia="Arial" w:hAnsi="Arial"/>
          <w:sz w:val="15"/>
          <w:szCs w:val="15"/>
          <w:color w:val="auto"/>
        </w:rPr>
        <w:t>Due to the ongoing COVID-19 pandemic and to ensure the health and safety of our directors, members of management and stockholders, we are hosting a virtual meeting this year. The live audio webcast will be available at www.virtualshareholdermeeting.com/AMRX2022.</w:t>
      </w:r>
    </w:p>
    <w:p>
      <w:pPr>
        <w:spacing w:after="0" w:line="140" w:lineRule="exact"/>
        <w:rPr>
          <w:sz w:val="20"/>
          <w:szCs w:val="20"/>
          <w:color w:val="auto"/>
        </w:rPr>
      </w:pPr>
    </w:p>
    <w:p>
      <w:pPr>
        <w:jc w:val="both"/>
        <w:ind w:right="20"/>
        <w:spacing w:after="0" w:line="242" w:lineRule="auto"/>
        <w:rPr>
          <w:sz w:val="20"/>
          <w:szCs w:val="20"/>
          <w:color w:val="auto"/>
        </w:rPr>
      </w:pPr>
      <w:r>
        <w:rPr>
          <w:rFonts w:ascii="Arial" w:cs="Arial" w:eastAsia="Arial" w:hAnsi="Arial"/>
          <w:sz w:val="15"/>
          <w:szCs w:val="15"/>
          <w:color w:val="auto"/>
        </w:rPr>
        <w:t>This proxy statement and the related materials are first being distributed or made available to stockholders on or about March 25, 2022.</w:t>
      </w:r>
    </w:p>
    <w:p>
      <w:pPr>
        <w:spacing w:after="0" w:line="128" w:lineRule="exact"/>
        <w:rPr>
          <w:sz w:val="20"/>
          <w:szCs w:val="20"/>
          <w:color w:val="auto"/>
        </w:rPr>
      </w:pPr>
    </w:p>
    <w:p>
      <w:pPr>
        <w:jc w:val="right"/>
        <w:spacing w:after="0"/>
        <w:rPr>
          <w:sz w:val="20"/>
          <w:szCs w:val="20"/>
          <w:color w:val="auto"/>
        </w:rPr>
      </w:pPr>
      <w:r>
        <w:rPr>
          <w:rFonts w:ascii="Arial" w:cs="Arial" w:eastAsia="Arial" w:hAnsi="Arial"/>
          <w:sz w:val="15"/>
          <w:szCs w:val="15"/>
          <w:color w:val="auto"/>
        </w:rPr>
        <w:t>By Order of the Board of Directors,</w:t>
      </w:r>
    </w:p>
    <w:p>
      <w:pPr>
        <w:jc w:val="right"/>
        <w:spacing w:after="0" w:line="225" w:lineRule="auto"/>
        <w:rPr>
          <w:sz w:val="20"/>
          <w:szCs w:val="20"/>
          <w:color w:val="auto"/>
        </w:rPr>
      </w:pPr>
      <w:r>
        <w:rPr>
          <w:rFonts w:ascii="Arial" w:cs="Arial" w:eastAsia="Arial" w:hAnsi="Arial"/>
          <w:sz w:val="15"/>
          <w:szCs w:val="15"/>
          <w:b w:val="1"/>
          <w:bCs w:val="1"/>
          <w:color w:val="auto"/>
        </w:rPr>
        <w:t>Jason B. Daly</w:t>
      </w:r>
    </w:p>
    <w:p>
      <w:pPr>
        <w:jc w:val="right"/>
        <w:ind w:right="40"/>
        <w:spacing w:after="0" w:line="225" w:lineRule="auto"/>
        <w:rPr>
          <w:sz w:val="20"/>
          <w:szCs w:val="20"/>
          <w:color w:val="auto"/>
        </w:rPr>
      </w:pPr>
      <w:r>
        <w:rPr>
          <w:rFonts w:ascii="Arial" w:cs="Arial" w:eastAsia="Arial" w:hAnsi="Arial"/>
          <w:sz w:val="15"/>
          <w:szCs w:val="15"/>
          <w:i w:val="1"/>
          <w:iCs w:val="1"/>
          <w:color w:val="auto"/>
        </w:rPr>
        <w:t>Senior Vice President, Chief Legal Officer &amp; Corporate</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5"/>
          <w:szCs w:val="15"/>
          <w:i w:val="1"/>
          <w:iCs w:val="1"/>
          <w:color w:val="auto"/>
        </w:rPr>
        <w:t>Secretary</w:t>
      </w:r>
    </w:p>
    <w:p>
      <w:pPr>
        <w:spacing w:after="0" w:line="141" w:lineRule="exact"/>
        <w:rPr>
          <w:sz w:val="20"/>
          <w:szCs w:val="20"/>
          <w:color w:val="auto"/>
        </w:rPr>
      </w:pPr>
    </w:p>
    <w:p>
      <w:pPr>
        <w:jc w:val="right"/>
        <w:spacing w:after="0"/>
        <w:rPr>
          <w:sz w:val="20"/>
          <w:szCs w:val="20"/>
          <w:color w:val="auto"/>
        </w:rPr>
      </w:pPr>
      <w:r>
        <w:rPr>
          <w:rFonts w:ascii="Arial" w:cs="Arial" w:eastAsia="Arial" w:hAnsi="Arial"/>
          <w:sz w:val="15"/>
          <w:szCs w:val="15"/>
          <w:color w:val="auto"/>
        </w:rPr>
        <w:t>Bridgewater, New Jersey</w:t>
      </w:r>
    </w:p>
    <w:p>
      <w:pPr>
        <w:jc w:val="right"/>
        <w:spacing w:after="0"/>
        <w:rPr>
          <w:sz w:val="20"/>
          <w:szCs w:val="20"/>
          <w:color w:val="auto"/>
        </w:rPr>
      </w:pPr>
      <w:r>
        <w:rPr>
          <w:rFonts w:ascii="Arial" w:cs="Arial" w:eastAsia="Arial" w:hAnsi="Arial"/>
          <w:sz w:val="15"/>
          <w:szCs w:val="15"/>
          <w:color w:val="auto"/>
        </w:rPr>
        <w:t>March 25,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-3702685</wp:posOffset>
            </wp:positionH>
            <wp:positionV relativeFrom="paragraph">
              <wp:posOffset>167005</wp:posOffset>
            </wp:positionV>
            <wp:extent cx="7132320" cy="14230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32320" cy="1423035"/>
                    </a:xfrm>
                    <a:prstGeom prst="rect">
                      <a:avLst/>
                    </a:prstGeom>
                    <a:noFill/>
                  </pic:spPr>
                </pic:pic>
              </a:graphicData>
            </a:graphic>
          </wp:anchor>
        </w:drawing>
      </w:r>
    </w:p>
    <w:p>
      <w:pPr>
        <w:spacing w:after="0" w:line="318" w:lineRule="exact"/>
        <w:rPr>
          <w:sz w:val="20"/>
          <w:szCs w:val="20"/>
          <w:color w:val="auto"/>
        </w:rPr>
      </w:pPr>
    </w:p>
    <w:p>
      <w:pPr>
        <w:sectPr>
          <w:pgSz w:w="11900" w:h="16838" w:orient="portrait"/>
          <w:cols w:equalWidth="0" w:num="2">
            <w:col w:w="5400" w:space="440"/>
            <w:col w:w="5400"/>
          </w:cols>
          <w:pgMar w:left="320" w:top="1440" w:right="339" w:bottom="1440" w:gutter="0" w:footer="0" w:header="0"/>
          <w:type w:val="continuous"/>
        </w:sectPr>
      </w:pPr>
    </w:p>
    <w:p>
      <w:pPr>
        <w:spacing w:after="0" w:line="35" w:lineRule="exact"/>
        <w:rPr>
          <w:sz w:val="20"/>
          <w:szCs w:val="20"/>
          <w:color w:val="auto"/>
        </w:rPr>
      </w:pPr>
    </w:p>
    <w:p>
      <w:pPr>
        <w:ind w:left="120"/>
        <w:spacing w:after="0"/>
        <w:rPr>
          <w:sz w:val="20"/>
          <w:szCs w:val="20"/>
          <w:color w:val="auto"/>
        </w:rPr>
      </w:pPr>
      <w:r>
        <w:rPr>
          <w:rFonts w:ascii="Arial" w:cs="Arial" w:eastAsia="Arial" w:hAnsi="Arial"/>
          <w:sz w:val="16"/>
          <w:szCs w:val="16"/>
          <w:b w:val="1"/>
          <w:bCs w:val="1"/>
          <w:color w:val="04568A"/>
        </w:rPr>
        <w:t>Review your proxy statement and vote in advance of the meeting in one of three ways:</w:t>
      </w: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tbl>
      <w:tblPr>
        <w:tblLayout w:type="fixed"/>
        <w:tblInd w:w="740" w:type="dxa"/>
        <w:tblCellMar>
          <w:top w:w="0" w:type="dxa"/>
          <w:left w:w="0" w:type="dxa"/>
          <w:bottom w:w="0" w:type="dxa"/>
          <w:right w:w="0" w:type="dxa"/>
        </w:tblCellMar>
      </w:tblPr>
      <w:tr>
        <w:trPr>
          <w:trHeight w:val="180"/>
        </w:trPr>
        <w:tc>
          <w:tcPr>
            <w:tcW w:w="3140" w:type="dxa"/>
            <w:vAlign w:val="bottom"/>
          </w:tcPr>
          <w:p>
            <w:pPr>
              <w:jc w:val="center"/>
              <w:ind w:right="788"/>
              <w:spacing w:after="0"/>
              <w:rPr>
                <w:sz w:val="20"/>
                <w:szCs w:val="20"/>
                <w:color w:val="auto"/>
              </w:rPr>
            </w:pPr>
            <w:r>
              <w:rPr>
                <w:rFonts w:ascii="Arial" w:cs="Arial" w:eastAsia="Arial" w:hAnsi="Arial"/>
                <w:sz w:val="14"/>
                <w:szCs w:val="14"/>
                <w:b w:val="1"/>
                <w:bCs w:val="1"/>
                <w:color w:val="auto"/>
              </w:rPr>
              <w:t>INTERNET</w:t>
            </w:r>
          </w:p>
        </w:tc>
        <w:tc>
          <w:tcPr>
            <w:tcW w:w="3340" w:type="dxa"/>
            <w:vAlign w:val="bottom"/>
          </w:tcPr>
          <w:p>
            <w:pPr>
              <w:jc w:val="center"/>
              <w:ind w:left="108"/>
              <w:spacing w:after="0"/>
              <w:rPr>
                <w:sz w:val="20"/>
                <w:szCs w:val="20"/>
                <w:color w:val="auto"/>
              </w:rPr>
            </w:pPr>
            <w:r>
              <w:rPr>
                <w:rFonts w:ascii="Arial" w:cs="Arial" w:eastAsia="Arial" w:hAnsi="Arial"/>
                <w:sz w:val="14"/>
                <w:szCs w:val="14"/>
                <w:b w:val="1"/>
                <w:bCs w:val="1"/>
                <w:color w:val="auto"/>
              </w:rPr>
              <w:t>BY TELEPHONE</w:t>
            </w:r>
          </w:p>
        </w:tc>
        <w:tc>
          <w:tcPr>
            <w:tcW w:w="3520" w:type="dxa"/>
            <w:vAlign w:val="bottom"/>
          </w:tcPr>
          <w:p>
            <w:pPr>
              <w:jc w:val="center"/>
              <w:ind w:left="728"/>
              <w:spacing w:after="0"/>
              <w:rPr>
                <w:sz w:val="20"/>
                <w:szCs w:val="20"/>
                <w:color w:val="auto"/>
              </w:rPr>
            </w:pPr>
            <w:r>
              <w:rPr>
                <w:rFonts w:ascii="Arial" w:cs="Arial" w:eastAsia="Arial" w:hAnsi="Arial"/>
                <w:sz w:val="14"/>
                <w:szCs w:val="14"/>
                <w:b w:val="1"/>
                <w:bCs w:val="1"/>
                <w:color w:val="auto"/>
              </w:rPr>
              <w:t>BY MAIL</w:t>
            </w:r>
          </w:p>
        </w:tc>
      </w:tr>
      <w:tr>
        <w:trPr>
          <w:trHeight w:val="162"/>
        </w:trPr>
        <w:tc>
          <w:tcPr>
            <w:tcW w:w="3140" w:type="dxa"/>
            <w:vAlign w:val="bottom"/>
          </w:tcPr>
          <w:p>
            <w:pPr>
              <w:jc w:val="center"/>
              <w:ind w:right="788"/>
              <w:spacing w:after="0"/>
              <w:rPr>
                <w:sz w:val="20"/>
                <w:szCs w:val="20"/>
                <w:color w:val="auto"/>
              </w:rPr>
            </w:pPr>
            <w:r>
              <w:rPr>
                <w:rFonts w:ascii="Arial" w:cs="Arial" w:eastAsia="Arial" w:hAnsi="Arial"/>
                <w:sz w:val="14"/>
                <w:szCs w:val="14"/>
                <w:color w:val="auto"/>
              </w:rPr>
              <w:t>Visit the website on your proxy card</w:t>
            </w:r>
          </w:p>
        </w:tc>
        <w:tc>
          <w:tcPr>
            <w:tcW w:w="3340" w:type="dxa"/>
            <w:vAlign w:val="bottom"/>
          </w:tcPr>
          <w:p>
            <w:pPr>
              <w:jc w:val="center"/>
              <w:ind w:left="48"/>
              <w:spacing w:after="0"/>
              <w:rPr>
                <w:sz w:val="20"/>
                <w:szCs w:val="20"/>
                <w:color w:val="auto"/>
              </w:rPr>
            </w:pPr>
            <w:r>
              <w:rPr>
                <w:rFonts w:ascii="Arial" w:cs="Arial" w:eastAsia="Arial" w:hAnsi="Arial"/>
                <w:sz w:val="14"/>
                <w:szCs w:val="14"/>
                <w:color w:val="auto"/>
              </w:rPr>
              <w:t>Call the telephone number</w:t>
            </w:r>
          </w:p>
        </w:tc>
        <w:tc>
          <w:tcPr>
            <w:tcW w:w="3520" w:type="dxa"/>
            <w:vAlign w:val="bottom"/>
          </w:tcPr>
          <w:p>
            <w:pPr>
              <w:jc w:val="center"/>
              <w:ind w:left="688"/>
              <w:spacing w:after="0"/>
              <w:rPr>
                <w:sz w:val="20"/>
                <w:szCs w:val="20"/>
                <w:color w:val="auto"/>
              </w:rPr>
            </w:pPr>
            <w:r>
              <w:rPr>
                <w:rFonts w:ascii="Arial" w:cs="Arial" w:eastAsia="Arial" w:hAnsi="Arial"/>
                <w:sz w:val="14"/>
                <w:szCs w:val="14"/>
                <w:color w:val="auto"/>
              </w:rPr>
              <w:t>Sign, date and return your proxy card in the</w:t>
            </w:r>
          </w:p>
        </w:tc>
      </w:tr>
      <w:tr>
        <w:trPr>
          <w:trHeight w:val="172"/>
        </w:trPr>
        <w:tc>
          <w:tcPr>
            <w:tcW w:w="3140" w:type="dxa"/>
            <w:vAlign w:val="bottom"/>
          </w:tcPr>
          <w:p>
            <w:pPr>
              <w:spacing w:after="0"/>
              <w:rPr>
                <w:sz w:val="14"/>
                <w:szCs w:val="14"/>
                <w:color w:val="auto"/>
              </w:rPr>
            </w:pPr>
          </w:p>
        </w:tc>
        <w:tc>
          <w:tcPr>
            <w:tcW w:w="3340" w:type="dxa"/>
            <w:vAlign w:val="bottom"/>
          </w:tcPr>
          <w:p>
            <w:pPr>
              <w:jc w:val="center"/>
              <w:ind w:left="88"/>
              <w:spacing w:after="0"/>
              <w:rPr>
                <w:sz w:val="20"/>
                <w:szCs w:val="20"/>
                <w:color w:val="auto"/>
              </w:rPr>
            </w:pPr>
            <w:r>
              <w:rPr>
                <w:rFonts w:ascii="Arial" w:cs="Arial" w:eastAsia="Arial" w:hAnsi="Arial"/>
                <w:sz w:val="14"/>
                <w:szCs w:val="14"/>
                <w:color w:val="auto"/>
              </w:rPr>
              <w:t>on your proxy card</w:t>
            </w:r>
          </w:p>
        </w:tc>
        <w:tc>
          <w:tcPr>
            <w:tcW w:w="3520" w:type="dxa"/>
            <w:vAlign w:val="bottom"/>
          </w:tcPr>
          <w:p>
            <w:pPr>
              <w:jc w:val="center"/>
              <w:ind w:left="728"/>
              <w:spacing w:after="0"/>
              <w:rPr>
                <w:sz w:val="20"/>
                <w:szCs w:val="20"/>
                <w:color w:val="auto"/>
              </w:rPr>
            </w:pPr>
            <w:r>
              <w:rPr>
                <w:rFonts w:ascii="Arial" w:cs="Arial" w:eastAsia="Arial" w:hAnsi="Arial"/>
                <w:sz w:val="14"/>
                <w:szCs w:val="14"/>
                <w:color w:val="auto"/>
              </w:rPr>
              <w:t>enclosed envelope</w:t>
            </w:r>
          </w:p>
        </w:tc>
      </w:tr>
    </w:tbl>
    <w:p>
      <w:pPr>
        <w:spacing w:after="0" w:line="63" w:lineRule="exact"/>
        <w:rPr>
          <w:sz w:val="20"/>
          <w:szCs w:val="20"/>
          <w:color w:val="auto"/>
        </w:rPr>
      </w:pPr>
    </w:p>
    <w:p>
      <w:pPr>
        <w:ind w:left="120"/>
        <w:spacing w:after="0"/>
        <w:rPr>
          <w:sz w:val="20"/>
          <w:szCs w:val="20"/>
          <w:color w:val="auto"/>
        </w:rPr>
      </w:pPr>
      <w:r>
        <w:rPr>
          <w:rFonts w:ascii="Arial" w:cs="Arial" w:eastAsia="Arial" w:hAnsi="Arial"/>
          <w:sz w:val="13"/>
          <w:szCs w:val="13"/>
          <w:b w:val="1"/>
          <w:bCs w:val="1"/>
          <w:color w:val="auto"/>
        </w:rPr>
        <w:t>Please refer to the enclosed proxy materials or the information forwarded by your bank, broker or other holder of record to see which voting methods are available to you.</w:t>
      </w:r>
    </w:p>
    <w:p>
      <w:pPr>
        <w:spacing w:after="0" w:line="67" w:lineRule="exact"/>
        <w:rPr>
          <w:sz w:val="20"/>
          <w:szCs w:val="20"/>
          <w:color w:val="auto"/>
        </w:rPr>
      </w:pPr>
    </w:p>
    <w:p>
      <w:pPr>
        <w:ind w:left="120"/>
        <w:spacing w:after="0"/>
        <w:rPr>
          <w:sz w:val="20"/>
          <w:szCs w:val="20"/>
          <w:color w:val="auto"/>
        </w:rPr>
      </w:pPr>
      <w:r>
        <w:rPr>
          <w:rFonts w:ascii="Arial" w:cs="Arial" w:eastAsia="Arial" w:hAnsi="Arial"/>
          <w:sz w:val="13"/>
          <w:szCs w:val="13"/>
          <w:b w:val="1"/>
          <w:bCs w:val="1"/>
          <w:color w:val="auto"/>
        </w:rPr>
        <w:t>Important Notice Regarding the Availability of Proxy Materials for the Annual Meeting of Stockholders to be held on May 9, 2022:</w:t>
      </w:r>
    </w:p>
    <w:p>
      <w:pPr>
        <w:spacing w:after="0" w:line="67" w:lineRule="exact"/>
        <w:rPr>
          <w:sz w:val="20"/>
          <w:szCs w:val="20"/>
          <w:color w:val="auto"/>
        </w:rPr>
      </w:pPr>
    </w:p>
    <w:p>
      <w:pPr>
        <w:ind w:left="120"/>
        <w:spacing w:after="0"/>
        <w:rPr>
          <w:sz w:val="20"/>
          <w:szCs w:val="20"/>
          <w:color w:val="auto"/>
        </w:rPr>
      </w:pPr>
      <w:r>
        <w:rPr>
          <w:rFonts w:ascii="Arial" w:cs="Arial" w:eastAsia="Arial" w:hAnsi="Arial"/>
          <w:sz w:val="13"/>
          <w:szCs w:val="13"/>
          <w:b w:val="1"/>
          <w:bCs w:val="1"/>
          <w:color w:val="auto"/>
        </w:rPr>
        <w:t>The notice of annual meeting, this proxy statement and our annual report on Form 10-K for the fiscal year ended December 31, 2021 are available at www.proxyvote.com.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233045</wp:posOffset>
            </wp:positionV>
            <wp:extent cx="7132320" cy="342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type w:val="continuous"/>
        </w:sectPr>
      </w:pPr>
    </w:p>
    <w:bookmarkStart w:id="3" w:name="page4"/>
    <w:bookmarkEnd w:id="3"/>
    <w:p>
      <w:pPr>
        <w:spacing w:after="0" w:line="33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269240</wp:posOffset>
            </wp:positionV>
            <wp:extent cx="7132320" cy="771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32320" cy="771525"/>
                    </a:xfrm>
                    <a:prstGeom prst="rect">
                      <a:avLst/>
                    </a:prstGeom>
                    <a:noFill/>
                  </pic:spPr>
                </pic:pic>
              </a:graphicData>
            </a:graphic>
          </wp:anchor>
        </w:drawing>
      </w:r>
    </w:p>
    <w:p>
      <w:pPr>
        <w:spacing w:after="0"/>
        <w:rPr>
          <w:sz w:val="20"/>
          <w:szCs w:val="20"/>
          <w:color w:val="auto"/>
        </w:rPr>
      </w:pPr>
      <w:r>
        <w:rPr>
          <w:rFonts w:ascii="Arial" w:cs="Arial" w:eastAsia="Arial" w:hAnsi="Arial"/>
          <w:sz w:val="76"/>
          <w:szCs w:val="76"/>
          <w:b w:val="1"/>
          <w:bCs w:val="1"/>
          <w:color w:val="04568A"/>
        </w:rPr>
        <w:t>To</w:t>
      </w:r>
    </w:p>
    <w:p>
      <w:pPr>
        <w:spacing w:after="0" w:line="85" w:lineRule="exact"/>
        <w:rPr>
          <w:sz w:val="20"/>
          <w:szCs w:val="20"/>
          <w:color w:val="auto"/>
        </w:rPr>
      </w:pPr>
    </w:p>
    <w:p>
      <w:pPr>
        <w:ind w:right="820"/>
        <w:spacing w:after="0" w:line="256" w:lineRule="auto"/>
        <w:rPr>
          <w:sz w:val="20"/>
          <w:szCs w:val="20"/>
          <w:color w:val="auto"/>
        </w:rPr>
      </w:pPr>
      <w:r>
        <w:rPr>
          <w:rFonts w:ascii="Arial" w:cs="Arial" w:eastAsia="Arial" w:hAnsi="Arial"/>
          <w:sz w:val="50"/>
          <w:szCs w:val="50"/>
          <w:b w:val="1"/>
          <w:bCs w:val="1"/>
          <w:color w:val="auto"/>
        </w:rPr>
        <w:t>Our Fellow Stockholders, Stakeholders and Colleagues,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111125</wp:posOffset>
            </wp:positionV>
            <wp:extent cx="3060065" cy="13716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3060065" cy="1371600"/>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spacing w:after="0"/>
        <w:tabs>
          <w:tab w:leader="none" w:pos="2840" w:val="left"/>
        </w:tabs>
        <w:rPr>
          <w:sz w:val="20"/>
          <w:szCs w:val="20"/>
          <w:color w:val="auto"/>
        </w:rPr>
      </w:pPr>
      <w:r>
        <w:rPr>
          <w:rFonts w:ascii="Arial" w:cs="Arial" w:eastAsia="Arial" w:hAnsi="Arial"/>
          <w:sz w:val="20"/>
          <w:szCs w:val="20"/>
          <w:b w:val="1"/>
          <w:bCs w:val="1"/>
          <w:color w:val="04568A"/>
        </w:rPr>
        <w:t>Chintu Patel</w:t>
      </w:r>
      <w:r>
        <w:rPr>
          <w:sz w:val="20"/>
          <w:szCs w:val="20"/>
          <w:color w:val="auto"/>
        </w:rPr>
        <w:tab/>
      </w:r>
      <w:r>
        <w:rPr>
          <w:rFonts w:ascii="Arial" w:cs="Arial" w:eastAsia="Arial" w:hAnsi="Arial"/>
          <w:sz w:val="19"/>
          <w:szCs w:val="19"/>
          <w:b w:val="1"/>
          <w:bCs w:val="1"/>
          <w:color w:val="04568A"/>
        </w:rPr>
        <w:t>Chirag Patel</w:t>
      </w:r>
    </w:p>
    <w:p>
      <w:pPr>
        <w:spacing w:after="0" w:line="8" w:lineRule="exact"/>
        <w:rPr>
          <w:sz w:val="20"/>
          <w:szCs w:val="20"/>
          <w:color w:val="auto"/>
        </w:rPr>
      </w:pPr>
    </w:p>
    <w:p>
      <w:pPr>
        <w:spacing w:after="0"/>
        <w:tabs>
          <w:tab w:leader="none" w:pos="2840" w:val="left"/>
        </w:tabs>
        <w:rPr>
          <w:sz w:val="20"/>
          <w:szCs w:val="20"/>
          <w:color w:val="auto"/>
        </w:rPr>
      </w:pPr>
      <w:r>
        <w:rPr>
          <w:rFonts w:ascii="Arial" w:cs="Arial" w:eastAsia="Arial" w:hAnsi="Arial"/>
          <w:sz w:val="18"/>
          <w:szCs w:val="18"/>
          <w:b w:val="1"/>
          <w:bCs w:val="1"/>
          <w:color w:val="auto"/>
        </w:rPr>
        <w:t>Co-Founder,</w:t>
      </w:r>
      <w:r>
        <w:rPr>
          <w:sz w:val="20"/>
          <w:szCs w:val="20"/>
          <w:color w:val="auto"/>
        </w:rPr>
        <w:tab/>
      </w:r>
      <w:r>
        <w:rPr>
          <w:rFonts w:ascii="Arial" w:cs="Arial" w:eastAsia="Arial" w:hAnsi="Arial"/>
          <w:sz w:val="17"/>
          <w:szCs w:val="17"/>
          <w:b w:val="1"/>
          <w:bCs w:val="1"/>
          <w:color w:val="auto"/>
        </w:rPr>
        <w:t>Co-Founder, Co-Chief</w:t>
      </w:r>
    </w:p>
    <w:p>
      <w:pPr>
        <w:spacing w:after="0"/>
        <w:tabs>
          <w:tab w:leader="none" w:pos="2840" w:val="left"/>
        </w:tabs>
        <w:rPr>
          <w:sz w:val="20"/>
          <w:szCs w:val="20"/>
          <w:color w:val="auto"/>
        </w:rPr>
      </w:pPr>
      <w:r>
        <w:rPr>
          <w:rFonts w:ascii="Arial" w:cs="Arial" w:eastAsia="Arial" w:hAnsi="Arial"/>
          <w:sz w:val="18"/>
          <w:szCs w:val="18"/>
          <w:b w:val="1"/>
          <w:bCs w:val="1"/>
          <w:color w:val="auto"/>
        </w:rPr>
        <w:t>Co-Chief Executive</w:t>
      </w:r>
      <w:r>
        <w:rPr>
          <w:sz w:val="20"/>
          <w:szCs w:val="20"/>
          <w:color w:val="auto"/>
        </w:rPr>
        <w:tab/>
      </w:r>
      <w:r>
        <w:rPr>
          <w:rFonts w:ascii="Arial" w:cs="Arial" w:eastAsia="Arial" w:hAnsi="Arial"/>
          <w:sz w:val="17"/>
          <w:szCs w:val="17"/>
          <w:b w:val="1"/>
          <w:bCs w:val="1"/>
          <w:color w:val="auto"/>
        </w:rPr>
        <w:t>Executive Officer,</w:t>
      </w:r>
    </w:p>
    <w:p>
      <w:pPr>
        <w:spacing w:after="0" w:line="1" w:lineRule="exact"/>
        <w:rPr>
          <w:sz w:val="20"/>
          <w:szCs w:val="20"/>
          <w:color w:val="auto"/>
        </w:rPr>
      </w:pPr>
    </w:p>
    <w:p>
      <w:pPr>
        <w:spacing w:after="0"/>
        <w:tabs>
          <w:tab w:leader="none" w:pos="2840" w:val="left"/>
        </w:tabs>
        <w:rPr>
          <w:sz w:val="20"/>
          <w:szCs w:val="20"/>
          <w:color w:val="auto"/>
        </w:rPr>
      </w:pPr>
      <w:r>
        <w:rPr>
          <w:rFonts w:ascii="Arial" w:cs="Arial" w:eastAsia="Arial" w:hAnsi="Arial"/>
          <w:sz w:val="18"/>
          <w:szCs w:val="18"/>
          <w:b w:val="1"/>
          <w:bCs w:val="1"/>
          <w:color w:val="auto"/>
        </w:rPr>
        <w:t>Officer and Director</w:t>
      </w:r>
      <w:r>
        <w:rPr>
          <w:sz w:val="20"/>
          <w:szCs w:val="20"/>
          <w:color w:val="auto"/>
        </w:rPr>
        <w:tab/>
      </w:r>
      <w:r>
        <w:rPr>
          <w:rFonts w:ascii="Arial" w:cs="Arial" w:eastAsia="Arial" w:hAnsi="Arial"/>
          <w:sz w:val="17"/>
          <w:szCs w:val="17"/>
          <w:b w:val="1"/>
          <w:bCs w:val="1"/>
          <w:color w:val="auto"/>
        </w:rPr>
        <w:t>President and Director</w:t>
      </w:r>
    </w:p>
    <w:p>
      <w:pPr>
        <w:spacing w:after="0" w:line="241" w:lineRule="exact"/>
        <w:rPr>
          <w:sz w:val="20"/>
          <w:szCs w:val="20"/>
          <w:color w:val="auto"/>
        </w:rPr>
      </w:pPr>
    </w:p>
    <w:p>
      <w:pPr>
        <w:jc w:val="both"/>
        <w:spacing w:after="0" w:line="247" w:lineRule="auto"/>
        <w:rPr>
          <w:sz w:val="20"/>
          <w:szCs w:val="20"/>
          <w:color w:val="auto"/>
        </w:rPr>
      </w:pPr>
      <w:r>
        <w:rPr>
          <w:rFonts w:ascii="Arial" w:cs="Arial" w:eastAsia="Arial" w:hAnsi="Arial"/>
          <w:sz w:val="16"/>
          <w:szCs w:val="16"/>
          <w:color w:val="auto"/>
        </w:rPr>
        <w:t xml:space="preserve">2021 was another successful year for Amneal as we continued to drive strong execution, a robust cadence of new product innovations, enhanced operating efficiencies delivering margin expansion, and strategic M&amp;A bolstering our core capabilities, pipeline, and portfolio. Today, Amneal is a diversified and growing pharmaceutical company across Generics, Specialty, Injectables, Biosimilars, Distribution and International. Our mission – </w:t>
      </w:r>
      <w:r>
        <w:rPr>
          <w:rFonts w:ascii="Arial" w:cs="Arial" w:eastAsia="Arial" w:hAnsi="Arial"/>
          <w:sz w:val="16"/>
          <w:szCs w:val="16"/>
          <w:i w:val="1"/>
          <w:iCs w:val="1"/>
          <w:color w:val="auto"/>
        </w:rPr>
        <w:t>we make healthy possible</w:t>
      </w:r>
      <w:r>
        <w:rPr>
          <w:rFonts w:ascii="Arial" w:cs="Arial" w:eastAsia="Arial" w:hAnsi="Arial"/>
          <w:sz w:val="16"/>
          <w:szCs w:val="16"/>
          <w:color w:val="auto"/>
        </w:rPr>
        <w:t xml:space="preserve"> – is central to our success in improving access to affordable, high-quality, and innovative medicines. We are deeply grateful for our talented global employee family, which continues to grow stronger in size, passion, capability, and achievement. It is their hard work and passion for helping others that enables Amneal to impact so many lives.</w:t>
      </w:r>
    </w:p>
    <w:p>
      <w:pPr>
        <w:spacing w:after="0" w:line="349" w:lineRule="exact"/>
        <w:rPr>
          <w:sz w:val="20"/>
          <w:szCs w:val="20"/>
          <w:color w:val="auto"/>
        </w:rPr>
      </w:pPr>
    </w:p>
    <w:p>
      <w:pPr>
        <w:spacing w:after="0"/>
        <w:rPr>
          <w:sz w:val="20"/>
          <w:szCs w:val="20"/>
          <w:color w:val="auto"/>
        </w:rPr>
      </w:pPr>
      <w:r>
        <w:rPr>
          <w:rFonts w:ascii="Arial" w:cs="Arial" w:eastAsia="Arial" w:hAnsi="Arial"/>
          <w:sz w:val="18"/>
          <w:szCs w:val="18"/>
          <w:b w:val="1"/>
          <w:bCs w:val="1"/>
          <w:color w:val="04568A"/>
        </w:rPr>
        <w:t>2021 Highlights</w:t>
      </w:r>
    </w:p>
    <w:p>
      <w:pPr>
        <w:spacing w:after="0" w:line="223"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Across Amneal, there were several notable accomplishments in 2021, including:</w:t>
      </w:r>
    </w:p>
    <w:p>
      <w:pPr>
        <w:spacing w:after="0" w:line="168" w:lineRule="exact"/>
        <w:rPr>
          <w:sz w:val="20"/>
          <w:szCs w:val="20"/>
          <w:color w:val="auto"/>
        </w:rPr>
      </w:pPr>
    </w:p>
    <w:p>
      <w:pPr>
        <w:jc w:val="both"/>
        <w:ind w:left="180" w:hanging="172"/>
        <w:spacing w:after="0" w:line="253" w:lineRule="auto"/>
        <w:tabs>
          <w:tab w:leader="none" w:pos="180" w:val="left"/>
        </w:tabs>
        <w:numPr>
          <w:ilvl w:val="0"/>
          <w:numId w:val="2"/>
        </w:numPr>
        <w:rPr>
          <w:rFonts w:ascii="Arial" w:cs="Arial" w:eastAsia="Arial" w:hAnsi="Arial"/>
          <w:sz w:val="16"/>
          <w:szCs w:val="16"/>
          <w:color w:val="04568A"/>
        </w:rPr>
      </w:pPr>
      <w:r>
        <w:rPr>
          <w:rFonts w:ascii="Arial" w:cs="Arial" w:eastAsia="Arial" w:hAnsi="Arial"/>
          <w:sz w:val="16"/>
          <w:szCs w:val="16"/>
          <w:color w:val="auto"/>
        </w:rPr>
        <w:t>Acquired Kashiv Specialty Pharmaceuticals in January 2021, which is focused on the development of complex generics, innovative drug delivery platforms and novel 505(b)(2) drugs;</w:t>
      </w:r>
    </w:p>
    <w:p>
      <w:pPr>
        <w:spacing w:after="0" w:line="52"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2"/>
        </w:numPr>
        <w:rPr>
          <w:rFonts w:ascii="Arial" w:cs="Arial" w:eastAsia="Arial" w:hAnsi="Arial"/>
          <w:sz w:val="16"/>
          <w:szCs w:val="16"/>
          <w:color w:val="04568A"/>
        </w:rPr>
      </w:pPr>
      <w:r>
        <w:rPr>
          <w:rFonts w:ascii="Arial" w:cs="Arial" w:eastAsia="Arial" w:hAnsi="Arial"/>
          <w:sz w:val="16"/>
          <w:szCs w:val="16"/>
          <w:color w:val="auto"/>
        </w:rPr>
        <w:t>Launched 28 new Generics products as the portfolio continues to shift towards more complex, non-oral solid products;</w:t>
      </w:r>
    </w:p>
    <w:p>
      <w:pPr>
        <w:spacing w:after="0" w:line="20" w:lineRule="exact"/>
        <w:rPr>
          <w:sz w:val="20"/>
          <w:szCs w:val="20"/>
          <w:color w:val="auto"/>
        </w:rPr>
      </w:pPr>
      <w:r>
        <w:rPr>
          <w:sz w:val="20"/>
          <w:szCs w:val="20"/>
          <w:color w:val="auto"/>
        </w:rPr>
        <w:br w:type="column"/>
      </w:r>
    </w:p>
    <w:p>
      <w:pPr>
        <w:spacing w:after="0" w:line="156" w:lineRule="exact"/>
        <w:rPr>
          <w:sz w:val="20"/>
          <w:szCs w:val="20"/>
          <w:color w:val="auto"/>
        </w:rPr>
      </w:pPr>
    </w:p>
    <w:p>
      <w:pPr>
        <w:jc w:val="both"/>
        <w:ind w:left="180" w:hanging="171"/>
        <w:spacing w:after="0" w:line="251" w:lineRule="auto"/>
        <w:tabs>
          <w:tab w:leader="none" w:pos="180" w:val="left"/>
        </w:tabs>
        <w:numPr>
          <w:ilvl w:val="0"/>
          <w:numId w:val="3"/>
        </w:numPr>
        <w:rPr>
          <w:rFonts w:ascii="Arial" w:cs="Arial" w:eastAsia="Arial" w:hAnsi="Arial"/>
          <w:sz w:val="16"/>
          <w:szCs w:val="16"/>
          <w:color w:val="04568A"/>
        </w:rPr>
      </w:pPr>
      <w:r>
        <w:rPr>
          <w:rFonts w:ascii="Arial" w:cs="Arial" w:eastAsia="Arial" w:hAnsi="Arial"/>
          <w:sz w:val="16"/>
          <w:szCs w:val="16"/>
          <w:color w:val="auto"/>
        </w:rPr>
        <w:t>Acquired Puniska Healthcare in November 2021, expanding our Injectables business with additional infrastructure, manufacturing capabilities and capacity for the U.S. market and building a foundation for international expansion;</w:t>
      </w:r>
    </w:p>
    <w:p>
      <w:pPr>
        <w:spacing w:after="0" w:line="53" w:lineRule="exact"/>
        <w:rPr>
          <w:rFonts w:ascii="Arial" w:cs="Arial" w:eastAsia="Arial" w:hAnsi="Arial"/>
          <w:sz w:val="16"/>
          <w:szCs w:val="16"/>
          <w:color w:val="04568A"/>
        </w:rPr>
      </w:pPr>
    </w:p>
    <w:p>
      <w:pPr>
        <w:ind w:left="180" w:hanging="171"/>
        <w:spacing w:after="0" w:line="241" w:lineRule="auto"/>
        <w:tabs>
          <w:tab w:leader="none" w:pos="180" w:val="left"/>
        </w:tabs>
        <w:numPr>
          <w:ilvl w:val="0"/>
          <w:numId w:val="3"/>
        </w:numPr>
        <w:rPr>
          <w:rFonts w:ascii="Arial" w:cs="Arial" w:eastAsia="Arial" w:hAnsi="Arial"/>
          <w:sz w:val="16"/>
          <w:szCs w:val="16"/>
          <w:color w:val="04568A"/>
        </w:rPr>
      </w:pPr>
      <w:r>
        <w:rPr>
          <w:rFonts w:ascii="Arial" w:cs="Arial" w:eastAsia="Arial" w:hAnsi="Arial"/>
          <w:sz w:val="16"/>
          <w:szCs w:val="16"/>
          <w:color w:val="auto"/>
        </w:rPr>
        <w:t>Delivered strong growth in key promoted Specialty products, including Rytary</w:t>
      </w:r>
      <w:r>
        <w:rPr>
          <w:rFonts w:ascii="Arial" w:cs="Arial" w:eastAsia="Arial" w:hAnsi="Arial"/>
          <w:sz w:val="26"/>
          <w:szCs w:val="26"/>
          <w:color w:val="auto"/>
          <w:vertAlign w:val="superscript"/>
        </w:rPr>
        <w:t>®</w:t>
      </w:r>
      <w:r>
        <w:rPr>
          <w:rFonts w:ascii="Arial" w:cs="Arial" w:eastAsia="Arial" w:hAnsi="Arial"/>
          <w:sz w:val="16"/>
          <w:szCs w:val="16"/>
          <w:color w:val="auto"/>
        </w:rPr>
        <w:t xml:space="preserve"> and Unithroid</w:t>
      </w:r>
      <w:r>
        <w:rPr>
          <w:rFonts w:ascii="Arial" w:cs="Arial" w:eastAsia="Arial" w:hAnsi="Arial"/>
          <w:sz w:val="26"/>
          <w:szCs w:val="26"/>
          <w:color w:val="auto"/>
          <w:vertAlign w:val="superscript"/>
        </w:rPr>
        <w:t>®</w:t>
      </w:r>
      <w:r>
        <w:rPr>
          <w:rFonts w:ascii="Arial" w:cs="Arial" w:eastAsia="Arial" w:hAnsi="Arial"/>
          <w:sz w:val="16"/>
          <w:szCs w:val="16"/>
          <w:color w:val="auto"/>
        </w:rPr>
        <w:t>, leveraging an expanded commercial team;</w:t>
      </w:r>
    </w:p>
    <w:p>
      <w:pPr>
        <w:spacing w:after="0" w:line="1" w:lineRule="exact"/>
        <w:rPr>
          <w:rFonts w:ascii="Arial" w:cs="Arial" w:eastAsia="Arial" w:hAnsi="Arial"/>
          <w:sz w:val="16"/>
          <w:szCs w:val="16"/>
          <w:color w:val="04568A"/>
        </w:rPr>
      </w:pPr>
    </w:p>
    <w:p>
      <w:pPr>
        <w:jc w:val="both"/>
        <w:ind w:left="180" w:hanging="171"/>
        <w:spacing w:after="0" w:line="253" w:lineRule="auto"/>
        <w:tabs>
          <w:tab w:leader="none" w:pos="180" w:val="left"/>
        </w:tabs>
        <w:numPr>
          <w:ilvl w:val="0"/>
          <w:numId w:val="3"/>
        </w:numPr>
        <w:rPr>
          <w:rFonts w:ascii="Arial" w:cs="Arial" w:eastAsia="Arial" w:hAnsi="Arial"/>
          <w:sz w:val="16"/>
          <w:szCs w:val="16"/>
          <w:color w:val="04568A"/>
        </w:rPr>
      </w:pPr>
      <w:r>
        <w:rPr>
          <w:rFonts w:ascii="Arial" w:cs="Arial" w:eastAsia="Arial" w:hAnsi="Arial"/>
          <w:sz w:val="16"/>
          <w:szCs w:val="16"/>
          <w:color w:val="auto"/>
        </w:rPr>
        <w:t>Advanced our Specialty pipeline, including reporting positive data topline results from our pivotal Phase 3 RISE-PD clinical trial of IPX-203 for patients with Parkinson’s Disease;</w:t>
      </w:r>
    </w:p>
    <w:p>
      <w:pPr>
        <w:spacing w:after="0" w:line="52" w:lineRule="exact"/>
        <w:rPr>
          <w:rFonts w:ascii="Arial" w:cs="Arial" w:eastAsia="Arial" w:hAnsi="Arial"/>
          <w:sz w:val="16"/>
          <w:szCs w:val="16"/>
          <w:color w:val="04568A"/>
        </w:rPr>
      </w:pPr>
    </w:p>
    <w:p>
      <w:pPr>
        <w:ind w:left="180" w:right="20" w:hanging="171"/>
        <w:spacing w:after="0" w:line="260" w:lineRule="auto"/>
        <w:tabs>
          <w:tab w:leader="none" w:pos="180" w:val="left"/>
        </w:tabs>
        <w:numPr>
          <w:ilvl w:val="0"/>
          <w:numId w:val="3"/>
        </w:numPr>
        <w:rPr>
          <w:rFonts w:ascii="Arial" w:cs="Arial" w:eastAsia="Arial" w:hAnsi="Arial"/>
          <w:sz w:val="16"/>
          <w:szCs w:val="16"/>
          <w:color w:val="04568A"/>
        </w:rPr>
      </w:pPr>
      <w:r>
        <w:rPr>
          <w:rFonts w:ascii="Arial" w:cs="Arial" w:eastAsia="Arial" w:hAnsi="Arial"/>
          <w:sz w:val="16"/>
          <w:szCs w:val="16"/>
          <w:color w:val="auto"/>
        </w:rPr>
        <w:t>Added the DHE autoinjector for migraines to our Specialty pipeline, expected to launch in 2022;</w:t>
      </w:r>
    </w:p>
    <w:p>
      <w:pPr>
        <w:spacing w:after="0" w:line="46" w:lineRule="exact"/>
        <w:rPr>
          <w:rFonts w:ascii="Arial" w:cs="Arial" w:eastAsia="Arial" w:hAnsi="Arial"/>
          <w:sz w:val="16"/>
          <w:szCs w:val="16"/>
          <w:color w:val="04568A"/>
        </w:rPr>
      </w:pPr>
    </w:p>
    <w:p>
      <w:pPr>
        <w:ind w:left="180" w:hanging="171"/>
        <w:spacing w:after="0" w:line="260" w:lineRule="auto"/>
        <w:tabs>
          <w:tab w:leader="none" w:pos="180" w:val="left"/>
        </w:tabs>
        <w:numPr>
          <w:ilvl w:val="0"/>
          <w:numId w:val="3"/>
        </w:numPr>
        <w:rPr>
          <w:rFonts w:ascii="Arial" w:cs="Arial" w:eastAsia="Arial" w:hAnsi="Arial"/>
          <w:sz w:val="16"/>
          <w:szCs w:val="16"/>
          <w:color w:val="04568A"/>
        </w:rPr>
      </w:pPr>
      <w:r>
        <w:rPr>
          <w:rFonts w:ascii="Arial" w:cs="Arial" w:eastAsia="Arial" w:hAnsi="Arial"/>
          <w:sz w:val="16"/>
          <w:szCs w:val="16"/>
          <w:color w:val="auto"/>
        </w:rPr>
        <w:t>Drove continued growth in our durable AvKARE distribution business in the U.S.; and</w:t>
      </w:r>
    </w:p>
    <w:p>
      <w:pPr>
        <w:spacing w:after="0" w:line="46" w:lineRule="exact"/>
        <w:rPr>
          <w:rFonts w:ascii="Arial" w:cs="Arial" w:eastAsia="Arial" w:hAnsi="Arial"/>
          <w:sz w:val="16"/>
          <w:szCs w:val="16"/>
          <w:color w:val="04568A"/>
        </w:rPr>
      </w:pPr>
    </w:p>
    <w:p>
      <w:pPr>
        <w:ind w:left="180" w:right="20" w:hanging="171"/>
        <w:spacing w:after="0" w:line="260" w:lineRule="auto"/>
        <w:tabs>
          <w:tab w:leader="none" w:pos="180" w:val="left"/>
        </w:tabs>
        <w:numPr>
          <w:ilvl w:val="0"/>
          <w:numId w:val="3"/>
        </w:numPr>
        <w:rPr>
          <w:rFonts w:ascii="Arial" w:cs="Arial" w:eastAsia="Arial" w:hAnsi="Arial"/>
          <w:sz w:val="16"/>
          <w:szCs w:val="16"/>
          <w:color w:val="04568A"/>
        </w:rPr>
      </w:pPr>
      <w:r>
        <w:rPr>
          <w:rFonts w:ascii="Arial" w:cs="Arial" w:eastAsia="Arial" w:hAnsi="Arial"/>
          <w:sz w:val="16"/>
          <w:szCs w:val="16"/>
          <w:color w:val="auto"/>
        </w:rPr>
        <w:t>Bolstered key core capabilities in R&amp;D, commercial, and other functional areas.</w:t>
      </w:r>
    </w:p>
    <w:p>
      <w:pPr>
        <w:spacing w:after="0" w:line="16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These substantial achievements contributed to our strong 2021 Company results, highlighted by 5% revenue growth and 18% adjusted EBITDA growth. One of the key achievements in 2021 was higher gross margins driven by new product launches and operating efficiencies. Operational excellence and higher gross margins were key stated goals since we returned as Co-CEOs in August 2019, and we achieved both in 2021. In addition, we enhanced our business, particularly the higher growth areas including Specialty, Injectables, and Biosimilars with new commercial products and additional pipeline assets, and further built key capabilities that we believe will serve the Company well over the long-term.</w:t>
      </w:r>
    </w:p>
    <w:p>
      <w:pPr>
        <w:spacing w:after="0" w:line="17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We closed 2021 with $257 million of cash and cash equivalents on our balance sheet and continued to fund inorganic investments through cash generated from operations. Our consistent performance led to an upgrade of our long-term debt by Moody’s in 2021. Over the last few years, Amneal has driven a significant decrease in net leverage from 7.0x at the end of 2019, to 5.3x at the end of 2020, to 4.6x at the end of 2021, with our target of 3.0x to 4.0x net leverage.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-3702685</wp:posOffset>
            </wp:positionH>
            <wp:positionV relativeFrom="paragraph">
              <wp:posOffset>850900</wp:posOffset>
            </wp:positionV>
            <wp:extent cx="7132320" cy="342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2">
            <w:col w:w="5400" w:space="440"/>
            <w:col w:w="5400"/>
          </w:cols>
          <w:pgMar w:left="320" w:top="1440" w:right="339" w:bottom="1440" w:gutter="0" w:footer="0" w:header="0"/>
          <w:type w:val="continuous"/>
        </w:sectPr>
      </w:pPr>
    </w:p>
    <w:bookmarkStart w:id="4" w:name="page5"/>
    <w:bookmarkEnd w:id="4"/>
    <w:p>
      <w:pPr>
        <w:spacing w:after="0" w:line="16"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As we move forward, we look to continue building our business for long-term success and impact in 2022. This year we expect a number of exciting new product launches, including our entry into biosimilars. In early 2022, we acquired Saol Therapeutics’s Baclofen franchise, which expanded our neurology presence into muscle spasticity. We believe that the strategic actions we have prioritized for 2022 will differentiate and position Amneal to continue creating value for all stakeholders.</w:t>
      </w:r>
    </w:p>
    <w:p>
      <w:pPr>
        <w:spacing w:after="0" w:line="156" w:lineRule="exact"/>
        <w:rPr>
          <w:sz w:val="20"/>
          <w:szCs w:val="20"/>
          <w:color w:val="auto"/>
        </w:rPr>
      </w:pPr>
    </w:p>
    <w:p>
      <w:pPr>
        <w:spacing w:after="0"/>
        <w:rPr>
          <w:sz w:val="20"/>
          <w:szCs w:val="20"/>
          <w:color w:val="auto"/>
        </w:rPr>
      </w:pPr>
      <w:r>
        <w:rPr>
          <w:rFonts w:ascii="Arial" w:cs="Arial" w:eastAsia="Arial" w:hAnsi="Arial"/>
          <w:sz w:val="18"/>
          <w:szCs w:val="18"/>
          <w:b w:val="1"/>
          <w:bCs w:val="1"/>
          <w:color w:val="04568A"/>
        </w:rPr>
        <w:t>A Responsible Commitment to Making Healthy Possible</w:t>
      </w:r>
    </w:p>
    <w:p>
      <w:pPr>
        <w:spacing w:after="0" w:line="207"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 xml:space="preserve">At Amneal, we are guided by a deep sense of purpose: </w:t>
      </w:r>
      <w:r>
        <w:rPr>
          <w:rFonts w:ascii="Arial" w:cs="Arial" w:eastAsia="Arial" w:hAnsi="Arial"/>
          <w:sz w:val="16"/>
          <w:szCs w:val="16"/>
          <w:i w:val="1"/>
          <w:iCs w:val="1"/>
          <w:color w:val="auto"/>
        </w:rPr>
        <w:t>We make healthy</w:t>
      </w:r>
      <w:r>
        <w:rPr>
          <w:rFonts w:ascii="Arial" w:cs="Arial" w:eastAsia="Arial" w:hAnsi="Arial"/>
          <w:sz w:val="16"/>
          <w:szCs w:val="16"/>
          <w:color w:val="auto"/>
        </w:rPr>
        <w:t xml:space="preserve"> </w:t>
      </w:r>
      <w:r>
        <w:rPr>
          <w:rFonts w:ascii="Arial" w:cs="Arial" w:eastAsia="Arial" w:hAnsi="Arial"/>
          <w:sz w:val="16"/>
          <w:szCs w:val="16"/>
          <w:i w:val="1"/>
          <w:iCs w:val="1"/>
          <w:color w:val="auto"/>
        </w:rPr>
        <w:t>possible</w:t>
      </w:r>
      <w:r>
        <w:rPr>
          <w:rFonts w:ascii="Arial" w:cs="Arial" w:eastAsia="Arial" w:hAnsi="Arial"/>
          <w:sz w:val="16"/>
          <w:szCs w:val="16"/>
          <w:color w:val="auto"/>
        </w:rPr>
        <w:t>. To us, “healthy” not only represents our commitment to producing</w:t>
      </w:r>
      <w:r>
        <w:rPr>
          <w:rFonts w:ascii="Arial" w:cs="Arial" w:eastAsia="Arial" w:hAnsi="Arial"/>
          <w:sz w:val="16"/>
          <w:szCs w:val="16"/>
          <w:i w:val="1"/>
          <w:iCs w:val="1"/>
          <w:color w:val="auto"/>
        </w:rPr>
        <w:t xml:space="preserve"> </w:t>
      </w:r>
      <w:r>
        <w:rPr>
          <w:rFonts w:ascii="Arial" w:cs="Arial" w:eastAsia="Arial" w:hAnsi="Arial"/>
          <w:sz w:val="16"/>
          <w:szCs w:val="16"/>
          <w:color w:val="auto"/>
        </w:rPr>
        <w:t>quality, accessible generic and specialty medicines, but also to elevating our people and our communities, striving for leadership in social and environmental stewardship, and delivering meaningful value for all who depend on us. We are driving that vision by strengthening the talent, diversity and capabilities of our employee family. We are deepening our portfolio of innovative Specialty products focused on Central Nervous System, Movement Disorders and Endocrinology to help address unmet therapeutic needs. We are directing our strong R&amp;D capabilities to create more affordable generics of complex products that help more patients access essential medicines. We are focused on driving efficiencies across our global facilities and supply chain that minimize our consumption of natural resources. And we are enhancing our support for social advocacy, therapeutic communities, employee volunteerism and philanthropic partnerships.</w:t>
      </w:r>
    </w:p>
    <w:p>
      <w:pPr>
        <w:spacing w:after="0" w:line="20" w:lineRule="exact"/>
        <w:rPr>
          <w:sz w:val="20"/>
          <w:szCs w:val="20"/>
          <w:color w:val="auto"/>
        </w:rPr>
      </w:pPr>
      <w:r>
        <w:rPr>
          <w:sz w:val="20"/>
          <w:szCs w:val="20"/>
          <w:color w:val="auto"/>
        </w:rPr>
        <w:br w:type="column"/>
      </w:r>
    </w:p>
    <w:p>
      <w:pPr>
        <w:jc w:val="both"/>
        <w:spacing w:after="0" w:line="258" w:lineRule="auto"/>
        <w:rPr>
          <w:sz w:val="20"/>
          <w:szCs w:val="20"/>
          <w:color w:val="auto"/>
        </w:rPr>
      </w:pPr>
      <w:r>
        <w:rPr>
          <w:rFonts w:ascii="Arial" w:cs="Arial" w:eastAsia="Arial" w:hAnsi="Arial"/>
          <w:sz w:val="16"/>
          <w:szCs w:val="16"/>
          <w:color w:val="auto"/>
        </w:rPr>
        <w:t xml:space="preserve">We invite you to read Amneal Pharmaceuticals’ “ </w:t>
      </w:r>
      <w:r>
        <w:rPr>
          <w:rFonts w:ascii="Arial" w:cs="Arial" w:eastAsia="Arial" w:hAnsi="Arial"/>
          <w:sz w:val="16"/>
          <w:szCs w:val="16"/>
          <w:i w:val="1"/>
          <w:iCs w:val="1"/>
          <w:color w:val="auto"/>
        </w:rPr>
        <w:t>At a Glance</w:t>
      </w:r>
      <w:r>
        <w:rPr>
          <w:rFonts w:ascii="Arial" w:cs="Arial" w:eastAsia="Arial" w:hAnsi="Arial"/>
          <w:sz w:val="16"/>
          <w:szCs w:val="16"/>
          <w:color w:val="auto"/>
        </w:rPr>
        <w:t>,” which follows this letter and describes what we do and how we improve access to medications for patients around the world while creating long-term value for our stockholders.</w:t>
      </w:r>
    </w:p>
    <w:p>
      <w:pPr>
        <w:spacing w:after="0" w:line="170"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We also encourage you to read the pages of this proxy statement to inform your voting decisions. We ask for your voting support, invite you to attend our annual meeting and encourage you to communicate with us via the various means described in this proxy statement.</w:t>
      </w:r>
    </w:p>
    <w:p>
      <w:pPr>
        <w:spacing w:after="0" w:line="175" w:lineRule="exact"/>
        <w:rPr>
          <w:sz w:val="20"/>
          <w:szCs w:val="20"/>
          <w:color w:val="auto"/>
        </w:rPr>
      </w:pPr>
    </w:p>
    <w:p>
      <w:pPr>
        <w:ind w:left="4700"/>
        <w:spacing w:after="0"/>
        <w:rPr>
          <w:sz w:val="20"/>
          <w:szCs w:val="20"/>
          <w:color w:val="auto"/>
        </w:rPr>
      </w:pPr>
      <w:r>
        <w:rPr>
          <w:rFonts w:ascii="Arial" w:cs="Arial" w:eastAsia="Arial" w:hAnsi="Arial"/>
          <w:sz w:val="15"/>
          <w:szCs w:val="15"/>
          <w:color w:val="auto"/>
        </w:rPr>
        <w:t>Sincerely,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right"/>
        <w:spacing w:after="0"/>
        <w:rPr>
          <w:sz w:val="20"/>
          <w:szCs w:val="20"/>
          <w:color w:val="auto"/>
        </w:rPr>
      </w:pPr>
      <w:r>
        <w:rPr>
          <w:rFonts w:ascii="Arial" w:cs="Arial" w:eastAsia="Arial" w:hAnsi="Arial"/>
          <w:sz w:val="16"/>
          <w:szCs w:val="16"/>
          <w:b w:val="1"/>
          <w:bCs w:val="1"/>
          <w:color w:val="auto"/>
        </w:rPr>
        <w:t>Chintu Patel</w:t>
      </w:r>
    </w:p>
    <w:p>
      <w:pPr>
        <w:spacing w:after="0" w:line="25" w:lineRule="exact"/>
        <w:rPr>
          <w:sz w:val="20"/>
          <w:szCs w:val="20"/>
          <w:color w:val="auto"/>
        </w:rPr>
      </w:pPr>
    </w:p>
    <w:p>
      <w:pPr>
        <w:jc w:val="right"/>
        <w:spacing w:after="0"/>
        <w:rPr>
          <w:sz w:val="20"/>
          <w:szCs w:val="20"/>
          <w:color w:val="auto"/>
        </w:rPr>
      </w:pPr>
      <w:r>
        <w:rPr>
          <w:rFonts w:ascii="Arial" w:cs="Arial" w:eastAsia="Arial" w:hAnsi="Arial"/>
          <w:sz w:val="16"/>
          <w:szCs w:val="16"/>
          <w:i w:val="1"/>
          <w:iCs w:val="1"/>
          <w:color w:val="auto"/>
        </w:rPr>
        <w:t>Co-Founder, Co-CEO and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2614295</wp:posOffset>
            </wp:positionH>
            <wp:positionV relativeFrom="paragraph">
              <wp:posOffset>121920</wp:posOffset>
            </wp:positionV>
            <wp:extent cx="814705" cy="514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814705" cy="514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right"/>
        <w:spacing w:after="0"/>
        <w:rPr>
          <w:sz w:val="20"/>
          <w:szCs w:val="20"/>
          <w:color w:val="auto"/>
        </w:rPr>
      </w:pPr>
      <w:r>
        <w:rPr>
          <w:rFonts w:ascii="Arial" w:cs="Arial" w:eastAsia="Arial" w:hAnsi="Arial"/>
          <w:sz w:val="16"/>
          <w:szCs w:val="16"/>
          <w:b w:val="1"/>
          <w:bCs w:val="1"/>
          <w:color w:val="auto"/>
        </w:rPr>
        <w:t>Chirag K. Patel</w:t>
      </w:r>
    </w:p>
    <w:p>
      <w:pPr>
        <w:spacing w:after="0" w:line="25" w:lineRule="exact"/>
        <w:rPr>
          <w:sz w:val="20"/>
          <w:szCs w:val="20"/>
          <w:color w:val="auto"/>
        </w:rPr>
      </w:pPr>
    </w:p>
    <w:p>
      <w:pPr>
        <w:jc w:val="right"/>
        <w:spacing w:after="0"/>
        <w:rPr>
          <w:sz w:val="20"/>
          <w:szCs w:val="20"/>
          <w:color w:val="auto"/>
        </w:rPr>
      </w:pPr>
      <w:r>
        <w:rPr>
          <w:rFonts w:ascii="Arial" w:cs="Arial" w:eastAsia="Arial" w:hAnsi="Arial"/>
          <w:sz w:val="16"/>
          <w:szCs w:val="16"/>
          <w:i w:val="1"/>
          <w:iCs w:val="1"/>
          <w:color w:val="auto"/>
        </w:rPr>
        <w:t>Co-Founder, Co-CEO, President and Director</w:t>
      </w:r>
    </w:p>
    <w:p>
      <w:pPr>
        <w:spacing w:after="0" w:line="5" w:lineRule="exact"/>
        <w:rPr>
          <w:sz w:val="20"/>
          <w:szCs w:val="20"/>
          <w:color w:val="auto"/>
        </w:rPr>
      </w:pPr>
    </w:p>
    <w:p>
      <w:pPr>
        <w:jc w:val="right"/>
        <w:spacing w:after="0"/>
        <w:rPr>
          <w:sz w:val="20"/>
          <w:szCs w:val="20"/>
          <w:color w:val="auto"/>
        </w:rPr>
      </w:pPr>
      <w:r>
        <w:rPr>
          <w:rFonts w:ascii="Arial" w:cs="Arial" w:eastAsia="Arial" w:hAnsi="Arial"/>
          <w:sz w:val="16"/>
          <w:szCs w:val="16"/>
          <w:color w:val="auto"/>
        </w:rPr>
        <w:t>March 25,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-3702685</wp:posOffset>
            </wp:positionH>
            <wp:positionV relativeFrom="paragraph">
              <wp:posOffset>156210</wp:posOffset>
            </wp:positionV>
            <wp:extent cx="7132320" cy="342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2">
            <w:col w:w="5400" w:space="440"/>
            <w:col w:w="5400"/>
          </w:cols>
          <w:pgMar w:left="320" w:top="409" w:right="339" w:bottom="1440" w:gutter="0" w:footer="0" w:header="0"/>
        </w:sectPr>
      </w:pPr>
    </w:p>
    <w:bookmarkStart w:id="5" w:name="page6"/>
    <w:bookmarkEnd w:id="5"/>
    <w:p>
      <w:pPr>
        <w:spacing w:after="0"/>
        <w:rPr>
          <w:sz w:val="20"/>
          <w:szCs w:val="20"/>
          <w:color w:val="auto"/>
        </w:rPr>
      </w:pPr>
      <w:r>
        <w:rPr>
          <w:rFonts w:ascii="Arial" w:cs="Arial" w:eastAsia="Arial" w:hAnsi="Arial"/>
          <w:sz w:val="22"/>
          <w:szCs w:val="22"/>
          <w:b w:val="1"/>
          <w:bCs w:val="1"/>
          <w:color w:val="04568A"/>
        </w:rPr>
        <w:t>AMNEAL PHARMACEUTICALS’ INC. AT-A-GLANCE</w:t>
      </w:r>
    </w:p>
    <w:p>
      <w:pPr>
        <w:spacing w:after="0" w:line="243" w:lineRule="exact"/>
        <w:rPr>
          <w:sz w:val="20"/>
          <w:szCs w:val="20"/>
          <w:color w:val="auto"/>
        </w:rPr>
      </w:pPr>
    </w:p>
    <w:p>
      <w:pPr>
        <w:spacing w:after="0"/>
        <w:rPr>
          <w:sz w:val="20"/>
          <w:szCs w:val="20"/>
          <w:color w:val="auto"/>
        </w:rPr>
      </w:pPr>
      <w:r>
        <w:rPr>
          <w:rFonts w:ascii="Arial" w:cs="Arial" w:eastAsia="Arial" w:hAnsi="Arial"/>
          <w:sz w:val="18"/>
          <w:szCs w:val="18"/>
          <w:b w:val="1"/>
          <w:bCs w:val="1"/>
          <w:color w:val="04568A"/>
        </w:rPr>
        <w:t>WHAT DO WE DO?</w:t>
      </w:r>
    </w:p>
    <w:p>
      <w:pPr>
        <w:spacing w:after="0" w:line="223"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We founded Amneal Pharmaceuticals, Inc. (“Amneal” or the “Company”) in 2002 to provide access to affordable medicines. Amneal is a global, vertically integrated, multi-billion dollar generics and specialty pharmaceuticals company. We provide over 7,000 high-quality jobs and help consumers obtain access to the medicines they need.</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color w:val="04568A"/>
        </w:rPr>
        <w:t>WHAT IS OUR STRATEGY?</w:t>
      </w:r>
    </w:p>
    <w:p>
      <w:pPr>
        <w:spacing w:after="0" w:line="223"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We are focused on providing high-quality, essential medicines to patients and creating value for all stakeholders. Our strategy is sharply focused, yet we believe provides the appropriate flexibility needed to navigate an unpredictable healthcare environment where cost pressures are acute. Key elements supporting our value creation strategy include:</w:t>
      </w:r>
    </w:p>
    <w:p>
      <w:pPr>
        <w:spacing w:after="0" w:line="174" w:lineRule="exact"/>
        <w:rPr>
          <w:sz w:val="20"/>
          <w:szCs w:val="20"/>
          <w:color w:val="auto"/>
        </w:rPr>
      </w:pPr>
    </w:p>
    <w:p>
      <w:pPr>
        <w:ind w:left="180" w:hanging="172"/>
        <w:spacing w:after="0"/>
        <w:tabs>
          <w:tab w:leader="none" w:pos="180" w:val="left"/>
        </w:tabs>
        <w:numPr>
          <w:ilvl w:val="0"/>
          <w:numId w:val="4"/>
        </w:numPr>
        <w:rPr>
          <w:rFonts w:ascii="Arial" w:cs="Arial" w:eastAsia="Arial" w:hAnsi="Arial"/>
          <w:sz w:val="16"/>
          <w:szCs w:val="16"/>
          <w:color w:val="04568A"/>
        </w:rPr>
      </w:pPr>
      <w:r>
        <w:rPr>
          <w:rFonts w:ascii="Arial" w:cs="Arial" w:eastAsia="Arial" w:hAnsi="Arial"/>
          <w:sz w:val="16"/>
          <w:szCs w:val="16"/>
          <w:color w:val="auto"/>
        </w:rPr>
        <w:t>Operating large-scale, in-house best-in-class manufacturing facilities globally;</w:t>
      </w:r>
    </w:p>
    <w:p>
      <w:pPr>
        <w:spacing w:after="0" w:line="86"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4"/>
        </w:numPr>
        <w:rPr>
          <w:rFonts w:ascii="Arial" w:cs="Arial" w:eastAsia="Arial" w:hAnsi="Arial"/>
          <w:sz w:val="16"/>
          <w:szCs w:val="16"/>
          <w:color w:val="04568A"/>
        </w:rPr>
      </w:pPr>
      <w:r>
        <w:rPr>
          <w:rFonts w:ascii="Arial" w:cs="Arial" w:eastAsia="Arial" w:hAnsi="Arial"/>
          <w:sz w:val="16"/>
          <w:szCs w:val="16"/>
          <w:color w:val="auto"/>
        </w:rPr>
        <w:t>Creating a carefully funded research and development platform to feed a large and diverse pipeline of over 230 products to supplement our current portfolio of more than 250 marketed commercial products;</w:t>
      </w:r>
    </w:p>
    <w:p>
      <w:pPr>
        <w:spacing w:after="0" w:line="60"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4"/>
        </w:numPr>
        <w:rPr>
          <w:rFonts w:ascii="Arial" w:cs="Arial" w:eastAsia="Arial" w:hAnsi="Arial"/>
          <w:sz w:val="16"/>
          <w:szCs w:val="16"/>
          <w:color w:val="04568A"/>
        </w:rPr>
      </w:pPr>
      <w:r>
        <w:rPr>
          <w:rFonts w:ascii="Arial" w:cs="Arial" w:eastAsia="Arial" w:hAnsi="Arial"/>
          <w:sz w:val="16"/>
          <w:szCs w:val="16"/>
          <w:color w:val="auto"/>
        </w:rPr>
        <w:t>Executing on a strategy to steadily move up the value chain to more complex and difficult-to-manufacture products that offset the steady erosion of our base Generics business and that have higher barriers to entry and more defensible revenue streams, including:</w:t>
      </w:r>
    </w:p>
    <w:p>
      <w:pPr>
        <w:spacing w:after="0" w:line="60" w:lineRule="exact"/>
        <w:rPr>
          <w:rFonts w:ascii="Arial" w:cs="Arial" w:eastAsia="Arial" w:hAnsi="Arial"/>
          <w:sz w:val="16"/>
          <w:szCs w:val="16"/>
          <w:color w:val="04568A"/>
        </w:rPr>
      </w:pPr>
    </w:p>
    <w:p>
      <w:pPr>
        <w:ind w:left="360" w:hanging="177"/>
        <w:spacing w:after="0"/>
        <w:tabs>
          <w:tab w:leader="none" w:pos="360" w:val="left"/>
        </w:tabs>
        <w:numPr>
          <w:ilvl w:val="1"/>
          <w:numId w:val="4"/>
        </w:numPr>
        <w:rPr>
          <w:rFonts w:ascii="Arial" w:cs="Arial" w:eastAsia="Arial" w:hAnsi="Arial"/>
          <w:sz w:val="16"/>
          <w:szCs w:val="16"/>
          <w:color w:val="auto"/>
        </w:rPr>
      </w:pPr>
      <w:r>
        <w:rPr>
          <w:rFonts w:ascii="Arial" w:cs="Arial" w:eastAsia="Arial" w:hAnsi="Arial"/>
          <w:sz w:val="16"/>
          <w:szCs w:val="16"/>
          <w:color w:val="auto"/>
        </w:rPr>
        <w:t>Our move into sterile injectables, which typically have more durable revenue streams with institutional customers;</w:t>
      </w:r>
    </w:p>
    <w:p>
      <w:pPr>
        <w:spacing w:after="0" w:line="86" w:lineRule="exact"/>
        <w:rPr>
          <w:rFonts w:ascii="Arial" w:cs="Arial" w:eastAsia="Arial" w:hAnsi="Arial"/>
          <w:sz w:val="16"/>
          <w:szCs w:val="16"/>
          <w:color w:val="auto"/>
        </w:rPr>
      </w:pPr>
    </w:p>
    <w:p>
      <w:pPr>
        <w:ind w:left="360" w:hanging="177"/>
        <w:spacing w:after="0"/>
        <w:tabs>
          <w:tab w:leader="none" w:pos="360" w:val="left"/>
        </w:tabs>
        <w:numPr>
          <w:ilvl w:val="1"/>
          <w:numId w:val="4"/>
        </w:numPr>
        <w:rPr>
          <w:rFonts w:ascii="Arial" w:cs="Arial" w:eastAsia="Arial" w:hAnsi="Arial"/>
          <w:sz w:val="16"/>
          <w:szCs w:val="16"/>
          <w:color w:val="auto"/>
        </w:rPr>
      </w:pPr>
      <w:r>
        <w:rPr>
          <w:rFonts w:ascii="Arial" w:cs="Arial" w:eastAsia="Arial" w:hAnsi="Arial"/>
          <w:sz w:val="16"/>
          <w:szCs w:val="16"/>
          <w:color w:val="auto"/>
        </w:rPr>
        <w:t>Our expansion into the federal healthcare sector through AvKARE, which diversifies our channel mix; and</w:t>
      </w:r>
    </w:p>
    <w:p>
      <w:pPr>
        <w:spacing w:after="0" w:line="86" w:lineRule="exact"/>
        <w:rPr>
          <w:rFonts w:ascii="Arial" w:cs="Arial" w:eastAsia="Arial" w:hAnsi="Arial"/>
          <w:sz w:val="16"/>
          <w:szCs w:val="16"/>
          <w:color w:val="auto"/>
        </w:rPr>
      </w:pPr>
    </w:p>
    <w:p>
      <w:pPr>
        <w:ind w:left="360" w:right="20" w:hanging="177"/>
        <w:spacing w:after="0" w:line="260" w:lineRule="auto"/>
        <w:tabs>
          <w:tab w:leader="none" w:pos="360" w:val="left"/>
        </w:tabs>
        <w:numPr>
          <w:ilvl w:val="1"/>
          <w:numId w:val="4"/>
        </w:numPr>
        <w:rPr>
          <w:rFonts w:ascii="Arial" w:cs="Arial" w:eastAsia="Arial" w:hAnsi="Arial"/>
          <w:sz w:val="16"/>
          <w:szCs w:val="16"/>
          <w:color w:val="auto"/>
        </w:rPr>
      </w:pPr>
      <w:r>
        <w:rPr>
          <w:rFonts w:ascii="Arial" w:cs="Arial" w:eastAsia="Arial" w:hAnsi="Arial"/>
          <w:sz w:val="16"/>
          <w:szCs w:val="16"/>
          <w:color w:val="auto"/>
        </w:rPr>
        <w:t>Our Specialty segment, which benefits from a truly differentiated platform in neurology and endocrinology that helps us serve large populations with unmet needs and leverage our existing commercial infrastructure;</w:t>
      </w:r>
    </w:p>
    <w:p>
      <w:pPr>
        <w:spacing w:after="0" w:line="60" w:lineRule="exact"/>
        <w:rPr>
          <w:rFonts w:ascii="Arial" w:cs="Arial" w:eastAsia="Arial" w:hAnsi="Arial"/>
          <w:sz w:val="16"/>
          <w:szCs w:val="16"/>
          <w:color w:val="auto"/>
        </w:rPr>
      </w:pPr>
    </w:p>
    <w:p>
      <w:pPr>
        <w:ind w:left="180" w:hanging="172"/>
        <w:spacing w:after="0" w:line="260" w:lineRule="auto"/>
        <w:tabs>
          <w:tab w:leader="none" w:pos="180" w:val="left"/>
        </w:tabs>
        <w:numPr>
          <w:ilvl w:val="0"/>
          <w:numId w:val="4"/>
        </w:numPr>
        <w:rPr>
          <w:rFonts w:ascii="Arial" w:cs="Arial" w:eastAsia="Arial" w:hAnsi="Arial"/>
          <w:sz w:val="16"/>
          <w:szCs w:val="16"/>
          <w:color w:val="04568A"/>
        </w:rPr>
      </w:pPr>
      <w:r>
        <w:rPr>
          <w:rFonts w:ascii="Arial" w:cs="Arial" w:eastAsia="Arial" w:hAnsi="Arial"/>
          <w:sz w:val="16"/>
          <w:szCs w:val="16"/>
          <w:color w:val="auto"/>
        </w:rPr>
        <w:t>Maintaining collaborative relationships with regulators and sustaining an excellent track record within the industry, with no major observations at our sites to date;</w:t>
      </w:r>
    </w:p>
    <w:p>
      <w:pPr>
        <w:spacing w:after="0" w:line="60" w:lineRule="exact"/>
        <w:rPr>
          <w:rFonts w:ascii="Arial" w:cs="Arial" w:eastAsia="Arial" w:hAnsi="Arial"/>
          <w:sz w:val="16"/>
          <w:szCs w:val="16"/>
          <w:color w:val="04568A"/>
        </w:rPr>
      </w:pPr>
    </w:p>
    <w:p>
      <w:pPr>
        <w:ind w:left="180" w:hanging="172"/>
        <w:spacing w:after="0"/>
        <w:tabs>
          <w:tab w:leader="none" w:pos="180" w:val="left"/>
        </w:tabs>
        <w:numPr>
          <w:ilvl w:val="0"/>
          <w:numId w:val="4"/>
        </w:numPr>
        <w:rPr>
          <w:rFonts w:ascii="Arial" w:cs="Arial" w:eastAsia="Arial" w:hAnsi="Arial"/>
          <w:sz w:val="16"/>
          <w:szCs w:val="16"/>
          <w:color w:val="04568A"/>
        </w:rPr>
      </w:pPr>
      <w:r>
        <w:rPr>
          <w:rFonts w:ascii="Arial" w:cs="Arial" w:eastAsia="Arial" w:hAnsi="Arial"/>
          <w:sz w:val="16"/>
          <w:szCs w:val="16"/>
          <w:color w:val="auto"/>
        </w:rPr>
        <w:t>Steadily broadening our scientific and industry expertise through management of and partnership with adjacent life-sciences areas;</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4"/>
        </w:numPr>
        <w:rPr>
          <w:rFonts w:ascii="Arial" w:cs="Arial" w:eastAsia="Arial" w:hAnsi="Arial"/>
          <w:sz w:val="16"/>
          <w:szCs w:val="16"/>
          <w:color w:val="04568A"/>
        </w:rPr>
      </w:pPr>
      <w:r>
        <w:rPr>
          <w:rFonts w:ascii="Arial" w:cs="Arial" w:eastAsia="Arial" w:hAnsi="Arial"/>
          <w:sz w:val="16"/>
          <w:szCs w:val="16"/>
          <w:color w:val="auto"/>
        </w:rPr>
        <w:t>Making strategic acquisitions in adjacent life sciences areas to enable continual and rapid pivoting and learning; and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4"/>
        </w:numPr>
        <w:rPr>
          <w:rFonts w:ascii="Arial" w:cs="Arial" w:eastAsia="Arial" w:hAnsi="Arial"/>
          <w:sz w:val="16"/>
          <w:szCs w:val="16"/>
          <w:color w:val="04568A"/>
        </w:rPr>
      </w:pPr>
      <w:r>
        <w:rPr>
          <w:rFonts w:ascii="Arial" w:cs="Arial" w:eastAsia="Arial" w:hAnsi="Arial"/>
          <w:sz w:val="16"/>
          <w:szCs w:val="16"/>
          <w:color w:val="auto"/>
        </w:rPr>
        <w:t>Driving impact through corporate responsibility and ESG:</w:t>
      </w:r>
    </w:p>
    <w:p>
      <w:pPr>
        <w:spacing w:after="0" w:line="86" w:lineRule="exact"/>
        <w:rPr>
          <w:rFonts w:ascii="Arial" w:cs="Arial" w:eastAsia="Arial" w:hAnsi="Arial"/>
          <w:sz w:val="16"/>
          <w:szCs w:val="16"/>
          <w:color w:val="04568A"/>
        </w:rPr>
      </w:pPr>
    </w:p>
    <w:p>
      <w:pPr>
        <w:jc w:val="both"/>
        <w:ind w:left="360" w:hanging="177"/>
        <w:spacing w:after="0" w:line="251" w:lineRule="auto"/>
        <w:tabs>
          <w:tab w:leader="none" w:pos="360" w:val="left"/>
        </w:tabs>
        <w:numPr>
          <w:ilvl w:val="1"/>
          <w:numId w:val="4"/>
        </w:numPr>
        <w:rPr>
          <w:rFonts w:ascii="Arial" w:cs="Arial" w:eastAsia="Arial" w:hAnsi="Arial"/>
          <w:sz w:val="16"/>
          <w:szCs w:val="16"/>
          <w:color w:val="auto"/>
        </w:rPr>
      </w:pPr>
      <w:r>
        <w:rPr>
          <w:rFonts w:ascii="Arial" w:cs="Arial" w:eastAsia="Arial" w:hAnsi="Arial"/>
          <w:sz w:val="16"/>
          <w:szCs w:val="16"/>
          <w:color w:val="auto"/>
        </w:rPr>
        <w:t>In 2021, the Company advanced these critical efforts by building a formal environmental, social and governance (“ESG”) framework. We established an ESG function to guide our ESG programs and ongoing reporting. We published our inaugural Corporate Social Responsibility report highlighting six key areas of focus (Company, People, Products, Governance, Planet and Impact). Further, consistent with its charter, our Nominating and Governance Committee oversees our extensive ESG efforts, with management providing regular updates to the Committee regarding the Company’s progress.</w:t>
      </w:r>
    </w:p>
    <w:p>
      <w:pPr>
        <w:spacing w:after="0" w:line="67" w:lineRule="exact"/>
        <w:rPr>
          <w:rFonts w:ascii="Arial" w:cs="Arial" w:eastAsia="Arial" w:hAnsi="Arial"/>
          <w:sz w:val="16"/>
          <w:szCs w:val="16"/>
          <w:color w:val="auto"/>
        </w:rPr>
      </w:pPr>
    </w:p>
    <w:p>
      <w:pPr>
        <w:jc w:val="both"/>
        <w:ind w:left="360" w:hanging="177"/>
        <w:spacing w:after="0" w:line="251" w:lineRule="auto"/>
        <w:tabs>
          <w:tab w:leader="none" w:pos="360" w:val="left"/>
        </w:tabs>
        <w:numPr>
          <w:ilvl w:val="1"/>
          <w:numId w:val="4"/>
        </w:numPr>
        <w:rPr>
          <w:rFonts w:ascii="Arial" w:cs="Arial" w:eastAsia="Arial" w:hAnsi="Arial"/>
          <w:sz w:val="16"/>
          <w:szCs w:val="16"/>
          <w:color w:val="auto"/>
        </w:rPr>
      </w:pPr>
      <w:r>
        <w:rPr>
          <w:rFonts w:ascii="Arial" w:cs="Arial" w:eastAsia="Arial" w:hAnsi="Arial"/>
          <w:sz w:val="16"/>
          <w:szCs w:val="16"/>
          <w:color w:val="auto"/>
        </w:rPr>
        <w:t>We are pleased with our progress, but we are just getting started. Every year, we aim to review and enhance our ESG programs and reporting to ensure that we are improving, staying competitive and honoring our commitment to being a responsible, transparent, and trusted business. We invite stockholder input as we work to enhance how our ESG strategy drives sustainable value for our stockholders, employees, customers, local communities and the environment.</w:t>
      </w:r>
    </w:p>
    <w:p>
      <w:pPr>
        <w:spacing w:after="0" w:line="67" w:lineRule="exact"/>
        <w:rPr>
          <w:rFonts w:ascii="Arial" w:cs="Arial" w:eastAsia="Arial" w:hAnsi="Arial"/>
          <w:sz w:val="16"/>
          <w:szCs w:val="16"/>
          <w:color w:val="auto"/>
        </w:rPr>
      </w:pPr>
    </w:p>
    <w:p>
      <w:pPr>
        <w:ind w:left="360" w:right="20" w:hanging="177"/>
        <w:spacing w:after="0" w:line="260" w:lineRule="auto"/>
        <w:tabs>
          <w:tab w:leader="none" w:pos="360" w:val="left"/>
        </w:tabs>
        <w:numPr>
          <w:ilvl w:val="1"/>
          <w:numId w:val="4"/>
        </w:numPr>
        <w:rPr>
          <w:rFonts w:ascii="Arial" w:cs="Arial" w:eastAsia="Arial" w:hAnsi="Arial"/>
          <w:sz w:val="16"/>
          <w:szCs w:val="16"/>
          <w:color w:val="auto"/>
        </w:rPr>
      </w:pPr>
      <w:r>
        <w:rPr>
          <w:rFonts w:ascii="Arial" w:cs="Arial" w:eastAsia="Arial" w:hAnsi="Arial"/>
          <w:sz w:val="16"/>
          <w:szCs w:val="16"/>
          <w:color w:val="auto"/>
        </w:rPr>
        <w:t>Further information on our Responsibility program is available at https://www.amneal.com/about/responsibility. Please note that this website and our Corporate Responsibility Report are not part of our public disclosures and are not part of our proxy solicitation materials.</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color w:val="04568A"/>
        </w:rPr>
        <w:t>WHAT DIFFERENTIATES AMNEAL PHARMACEUTICALS?</w:t>
      </w:r>
    </w:p>
    <w:p>
      <w:pPr>
        <w:spacing w:after="0" w:line="223"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We combine the best of public company accountability, large scale vertical integration and a strong track record of agile execution with a long-term vision for the healthcare industry and Amneal’s leadership role in it. We believe this is a combination that is particularly valuable in the global, affordable medicines sector in these complex and challenging times.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143510</wp:posOffset>
            </wp:positionV>
            <wp:extent cx="7132320" cy="342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391" w:right="339" w:bottom="1440" w:gutter="0" w:footer="0" w:header="0"/>
        </w:sectPr>
      </w:pPr>
    </w:p>
    <w:bookmarkStart w:id="6" w:name="page7"/>
    <w:bookmarkEnd w:id="6"/>
    <w:p>
      <w:pPr>
        <w:spacing w:after="0"/>
        <w:rPr>
          <w:sz w:val="20"/>
          <w:szCs w:val="20"/>
          <w:color w:val="auto"/>
        </w:rPr>
      </w:pPr>
      <w:r>
        <w:rPr>
          <w:rFonts w:ascii="Arial" w:cs="Arial" w:eastAsia="Arial" w:hAnsi="Arial"/>
          <w:sz w:val="38"/>
          <w:szCs w:val="38"/>
          <w:b w:val="1"/>
          <w:bCs w:val="1"/>
          <w:color w:val="04568A"/>
        </w:rPr>
        <w:t>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681990</wp:posOffset>
            </wp:positionH>
            <wp:positionV relativeFrom="paragraph">
              <wp:posOffset>-37465</wp:posOffset>
            </wp:positionV>
            <wp:extent cx="6454775"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454775" cy="8255"/>
                    </a:xfrm>
                    <a:prstGeom prst="rect">
                      <a:avLst/>
                    </a:prstGeom>
                    <a:noFill/>
                  </pic:spPr>
                </pic:pic>
              </a:graphicData>
            </a:graphic>
          </wp:anchor>
        </w:drawing>
      </w:r>
    </w:p>
    <w:p>
      <w:pPr>
        <w:spacing w:after="0" w:line="47" w:lineRule="exact"/>
        <w:rPr>
          <w:sz w:val="20"/>
          <w:szCs w:val="20"/>
          <w:color w:val="auto"/>
        </w:rPr>
      </w:pPr>
    </w:p>
    <w:p>
      <w:pPr>
        <w:spacing w:after="0"/>
        <w:rPr>
          <w:sz w:val="20"/>
          <w:szCs w:val="20"/>
          <w:color w:val="auto"/>
        </w:rPr>
      </w:pPr>
      <w:r>
        <w:rPr>
          <w:rFonts w:ascii="Arial" w:cs="Arial" w:eastAsia="Arial" w:hAnsi="Arial"/>
          <w:sz w:val="27"/>
          <w:szCs w:val="27"/>
          <w:b w:val="1"/>
          <w:bCs w:val="1"/>
          <w:color w:val="auto"/>
        </w:rPr>
        <w:t>of Contents</w:t>
      </w:r>
    </w:p>
    <w:p>
      <w:pPr>
        <w:spacing w:after="0" w:line="201" w:lineRule="exact"/>
        <w:rPr>
          <w:sz w:val="20"/>
          <w:szCs w:val="20"/>
          <w:color w:val="auto"/>
        </w:rPr>
      </w:pPr>
    </w:p>
    <w:tbl>
      <w:tblPr>
        <w:tblLayout w:type="fixed"/>
        <w:tblInd w:w="180" w:type="dxa"/>
        <w:tblCellMar>
          <w:top w:w="0" w:type="dxa"/>
          <w:left w:w="0" w:type="dxa"/>
          <w:bottom w:w="0" w:type="dxa"/>
          <w:right w:w="0" w:type="dxa"/>
        </w:tblCellMar>
      </w:tblPr>
      <w:tr>
        <w:trPr>
          <w:trHeight w:val="227"/>
        </w:trPr>
        <w:tc>
          <w:tcPr>
            <w:tcW w:w="8780" w:type="dxa"/>
            <w:vAlign w:val="bottom"/>
          </w:tcPr>
          <w:p>
            <w:pPr>
              <w:spacing w:after="0"/>
              <w:rPr>
                <w:rFonts w:ascii="Arial" w:cs="Arial" w:eastAsia="Arial" w:hAnsi="Arial"/>
                <w:sz w:val="18"/>
                <w:szCs w:val="18"/>
                <w:b w:val="1"/>
                <w:bCs w:val="1"/>
                <w:color w:val="04568A"/>
              </w:rPr>
            </w:pPr>
            <w:hyperlink w:anchor="page10">
              <w:r>
                <w:rPr>
                  <w:rFonts w:ascii="Arial" w:cs="Arial" w:eastAsia="Arial" w:hAnsi="Arial"/>
                  <w:sz w:val="18"/>
                  <w:szCs w:val="18"/>
                  <w:b w:val="1"/>
                  <w:bCs w:val="1"/>
                  <w:color w:val="04568A"/>
                </w:rPr>
                <w:t>Corporate Governance</w:t>
              </w:r>
            </w:hyperlink>
          </w:p>
        </w:tc>
        <w:tc>
          <w:tcPr>
            <w:tcW w:w="2280" w:type="dxa"/>
            <w:vAlign w:val="bottom"/>
          </w:tcPr>
          <w:p>
            <w:pPr>
              <w:jc w:val="right"/>
              <w:spacing w:after="0"/>
              <w:rPr>
                <w:rFonts w:ascii="Arial" w:cs="Arial" w:eastAsia="Arial" w:hAnsi="Arial"/>
                <w:sz w:val="18"/>
                <w:szCs w:val="18"/>
                <w:b w:val="1"/>
                <w:bCs w:val="1"/>
                <w:color w:val="auto"/>
              </w:rPr>
            </w:pPr>
            <w:hyperlink w:anchor="page10">
              <w:r>
                <w:rPr>
                  <w:rFonts w:ascii="Arial" w:cs="Arial" w:eastAsia="Arial" w:hAnsi="Arial"/>
                  <w:sz w:val="18"/>
                  <w:szCs w:val="18"/>
                  <w:b w:val="1"/>
                  <w:bCs w:val="1"/>
                  <w:color w:val="auto"/>
                </w:rPr>
                <w:t>9</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0">
              <w:r>
                <w:rPr>
                  <w:rFonts w:ascii="Arial" w:cs="Arial" w:eastAsia="Arial" w:hAnsi="Arial"/>
                  <w:sz w:val="16"/>
                  <w:szCs w:val="16"/>
                  <w:color w:val="auto"/>
                </w:rPr>
                <w:t>Corporate Structure</w:t>
              </w:r>
            </w:hyperlink>
          </w:p>
        </w:tc>
        <w:tc>
          <w:tcPr>
            <w:tcW w:w="2280" w:type="dxa"/>
            <w:vAlign w:val="bottom"/>
          </w:tcPr>
          <w:p>
            <w:pPr>
              <w:jc w:val="right"/>
              <w:spacing w:after="0"/>
              <w:rPr>
                <w:rFonts w:ascii="Arial" w:cs="Arial" w:eastAsia="Arial" w:hAnsi="Arial"/>
                <w:sz w:val="16"/>
                <w:szCs w:val="16"/>
                <w:color w:val="auto"/>
              </w:rPr>
            </w:pPr>
            <w:hyperlink w:anchor="page10">
              <w:r>
                <w:rPr>
                  <w:rFonts w:ascii="Arial" w:cs="Arial" w:eastAsia="Arial" w:hAnsi="Arial"/>
                  <w:sz w:val="16"/>
                  <w:szCs w:val="16"/>
                  <w:color w:val="auto"/>
                </w:rPr>
                <w:t>9</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0">
              <w:r>
                <w:rPr>
                  <w:rFonts w:ascii="Arial" w:cs="Arial" w:eastAsia="Arial" w:hAnsi="Arial"/>
                  <w:sz w:val="16"/>
                  <w:szCs w:val="16"/>
                  <w:color w:val="auto"/>
                </w:rPr>
                <w:t>Stockholders Agreement</w:t>
              </w:r>
            </w:hyperlink>
          </w:p>
        </w:tc>
        <w:tc>
          <w:tcPr>
            <w:tcW w:w="2280" w:type="dxa"/>
            <w:vAlign w:val="bottom"/>
          </w:tcPr>
          <w:p>
            <w:pPr>
              <w:jc w:val="right"/>
              <w:spacing w:after="0"/>
              <w:rPr>
                <w:rFonts w:ascii="Arial" w:cs="Arial" w:eastAsia="Arial" w:hAnsi="Arial"/>
                <w:sz w:val="16"/>
                <w:szCs w:val="16"/>
                <w:color w:val="auto"/>
              </w:rPr>
            </w:pPr>
            <w:hyperlink w:anchor="page10">
              <w:r>
                <w:rPr>
                  <w:rFonts w:ascii="Arial" w:cs="Arial" w:eastAsia="Arial" w:hAnsi="Arial"/>
                  <w:sz w:val="16"/>
                  <w:szCs w:val="16"/>
                  <w:color w:val="auto"/>
                </w:rPr>
                <w:t>9</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2">
              <w:r>
                <w:rPr>
                  <w:rFonts w:ascii="Arial" w:cs="Arial" w:eastAsia="Arial" w:hAnsi="Arial"/>
                  <w:sz w:val="16"/>
                  <w:szCs w:val="16"/>
                  <w:color w:val="auto"/>
                </w:rPr>
                <w:t>Code of Business Conduct; Corporate Governance Guidelines; Board Committee Charters</w:t>
              </w:r>
            </w:hyperlink>
          </w:p>
        </w:tc>
        <w:tc>
          <w:tcPr>
            <w:tcW w:w="2280" w:type="dxa"/>
            <w:vAlign w:val="bottom"/>
          </w:tcPr>
          <w:p>
            <w:pPr>
              <w:jc w:val="right"/>
              <w:spacing w:after="0"/>
              <w:rPr>
                <w:rFonts w:ascii="Arial" w:cs="Arial" w:eastAsia="Arial" w:hAnsi="Arial"/>
                <w:sz w:val="16"/>
                <w:szCs w:val="16"/>
                <w:color w:val="auto"/>
              </w:rPr>
            </w:pPr>
            <w:hyperlink w:anchor="page12">
              <w:r>
                <w:rPr>
                  <w:rFonts w:ascii="Arial" w:cs="Arial" w:eastAsia="Arial" w:hAnsi="Arial"/>
                  <w:sz w:val="16"/>
                  <w:szCs w:val="16"/>
                  <w:color w:val="auto"/>
                </w:rPr>
                <w:t>11</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2">
              <w:r>
                <w:rPr>
                  <w:rFonts w:ascii="Arial" w:cs="Arial" w:eastAsia="Arial" w:hAnsi="Arial"/>
                  <w:sz w:val="16"/>
                  <w:szCs w:val="16"/>
                  <w:color w:val="auto"/>
                </w:rPr>
                <w:t>Controlled Company Status</w:t>
              </w:r>
            </w:hyperlink>
          </w:p>
        </w:tc>
        <w:tc>
          <w:tcPr>
            <w:tcW w:w="2280" w:type="dxa"/>
            <w:vAlign w:val="bottom"/>
          </w:tcPr>
          <w:p>
            <w:pPr>
              <w:jc w:val="right"/>
              <w:spacing w:after="0"/>
              <w:rPr>
                <w:rFonts w:ascii="Arial" w:cs="Arial" w:eastAsia="Arial" w:hAnsi="Arial"/>
                <w:sz w:val="16"/>
                <w:szCs w:val="16"/>
                <w:color w:val="auto"/>
              </w:rPr>
            </w:pPr>
            <w:hyperlink w:anchor="page12">
              <w:r>
                <w:rPr>
                  <w:rFonts w:ascii="Arial" w:cs="Arial" w:eastAsia="Arial" w:hAnsi="Arial"/>
                  <w:sz w:val="16"/>
                  <w:szCs w:val="16"/>
                  <w:color w:val="auto"/>
                </w:rPr>
                <w:t>11</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2">
              <w:r>
                <w:rPr>
                  <w:rFonts w:ascii="Arial" w:cs="Arial" w:eastAsia="Arial" w:hAnsi="Arial"/>
                  <w:sz w:val="16"/>
                  <w:szCs w:val="16"/>
                  <w:color w:val="auto"/>
                </w:rPr>
                <w:t>Board Leadership Structure</w:t>
              </w:r>
            </w:hyperlink>
          </w:p>
        </w:tc>
        <w:tc>
          <w:tcPr>
            <w:tcW w:w="2280" w:type="dxa"/>
            <w:vAlign w:val="bottom"/>
          </w:tcPr>
          <w:p>
            <w:pPr>
              <w:jc w:val="right"/>
              <w:spacing w:after="0"/>
              <w:rPr>
                <w:rFonts w:ascii="Arial" w:cs="Arial" w:eastAsia="Arial" w:hAnsi="Arial"/>
                <w:sz w:val="16"/>
                <w:szCs w:val="16"/>
                <w:color w:val="auto"/>
              </w:rPr>
            </w:pPr>
            <w:hyperlink w:anchor="page12">
              <w:r>
                <w:rPr>
                  <w:rFonts w:ascii="Arial" w:cs="Arial" w:eastAsia="Arial" w:hAnsi="Arial"/>
                  <w:sz w:val="16"/>
                  <w:szCs w:val="16"/>
                  <w:color w:val="auto"/>
                </w:rPr>
                <w:t>11</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3">
              <w:r>
                <w:rPr>
                  <w:rFonts w:ascii="Arial" w:cs="Arial" w:eastAsia="Arial" w:hAnsi="Arial"/>
                  <w:sz w:val="16"/>
                  <w:szCs w:val="16"/>
                  <w:color w:val="auto"/>
                </w:rPr>
                <w:t>Meetings of the Board of Directors</w:t>
              </w:r>
            </w:hyperlink>
          </w:p>
        </w:tc>
        <w:tc>
          <w:tcPr>
            <w:tcW w:w="2280" w:type="dxa"/>
            <w:vAlign w:val="bottom"/>
          </w:tcPr>
          <w:p>
            <w:pPr>
              <w:jc w:val="right"/>
              <w:spacing w:after="0"/>
              <w:rPr>
                <w:rFonts w:ascii="Arial" w:cs="Arial" w:eastAsia="Arial" w:hAnsi="Arial"/>
                <w:sz w:val="16"/>
                <w:szCs w:val="16"/>
                <w:color w:val="auto"/>
              </w:rPr>
            </w:pPr>
            <w:hyperlink w:anchor="page13">
              <w:r>
                <w:rPr>
                  <w:rFonts w:ascii="Arial" w:cs="Arial" w:eastAsia="Arial" w:hAnsi="Arial"/>
                  <w:sz w:val="16"/>
                  <w:szCs w:val="16"/>
                  <w:color w:val="auto"/>
                </w:rPr>
                <w:t>12</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3">
              <w:r>
                <w:rPr>
                  <w:rFonts w:ascii="Arial" w:cs="Arial" w:eastAsia="Arial" w:hAnsi="Arial"/>
                  <w:sz w:val="16"/>
                  <w:szCs w:val="16"/>
                  <w:color w:val="auto"/>
                </w:rPr>
                <w:t>Communication with the Board of Directors; Director Attendance at Annual Meetings</w:t>
              </w:r>
            </w:hyperlink>
          </w:p>
        </w:tc>
        <w:tc>
          <w:tcPr>
            <w:tcW w:w="2280" w:type="dxa"/>
            <w:vAlign w:val="bottom"/>
          </w:tcPr>
          <w:p>
            <w:pPr>
              <w:jc w:val="right"/>
              <w:spacing w:after="0"/>
              <w:rPr>
                <w:rFonts w:ascii="Arial" w:cs="Arial" w:eastAsia="Arial" w:hAnsi="Arial"/>
                <w:sz w:val="16"/>
                <w:szCs w:val="16"/>
                <w:color w:val="auto"/>
              </w:rPr>
            </w:pPr>
            <w:hyperlink w:anchor="page13">
              <w:r>
                <w:rPr>
                  <w:rFonts w:ascii="Arial" w:cs="Arial" w:eastAsia="Arial" w:hAnsi="Arial"/>
                  <w:sz w:val="16"/>
                  <w:szCs w:val="16"/>
                  <w:color w:val="auto"/>
                </w:rPr>
                <w:t>12</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3">
              <w:r>
                <w:rPr>
                  <w:rFonts w:ascii="Arial" w:cs="Arial" w:eastAsia="Arial" w:hAnsi="Arial"/>
                  <w:sz w:val="16"/>
                  <w:szCs w:val="16"/>
                  <w:color w:val="auto"/>
                </w:rPr>
                <w:t>Director Independence</w:t>
              </w:r>
            </w:hyperlink>
          </w:p>
        </w:tc>
        <w:tc>
          <w:tcPr>
            <w:tcW w:w="2280" w:type="dxa"/>
            <w:vAlign w:val="bottom"/>
          </w:tcPr>
          <w:p>
            <w:pPr>
              <w:jc w:val="right"/>
              <w:spacing w:after="0"/>
              <w:rPr>
                <w:rFonts w:ascii="Arial" w:cs="Arial" w:eastAsia="Arial" w:hAnsi="Arial"/>
                <w:sz w:val="16"/>
                <w:szCs w:val="16"/>
                <w:color w:val="auto"/>
              </w:rPr>
            </w:pPr>
            <w:hyperlink w:anchor="page13">
              <w:r>
                <w:rPr>
                  <w:rFonts w:ascii="Arial" w:cs="Arial" w:eastAsia="Arial" w:hAnsi="Arial"/>
                  <w:sz w:val="16"/>
                  <w:szCs w:val="16"/>
                  <w:color w:val="auto"/>
                </w:rPr>
                <w:t>12</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4">
              <w:r>
                <w:rPr>
                  <w:rFonts w:ascii="Arial" w:cs="Arial" w:eastAsia="Arial" w:hAnsi="Arial"/>
                  <w:sz w:val="16"/>
                  <w:szCs w:val="16"/>
                  <w:color w:val="auto"/>
                </w:rPr>
                <w:t>Committees of the Board of Directors</w:t>
              </w:r>
            </w:hyperlink>
          </w:p>
        </w:tc>
        <w:tc>
          <w:tcPr>
            <w:tcW w:w="2280" w:type="dxa"/>
            <w:vAlign w:val="bottom"/>
          </w:tcPr>
          <w:p>
            <w:pPr>
              <w:jc w:val="right"/>
              <w:spacing w:after="0"/>
              <w:rPr>
                <w:rFonts w:ascii="Arial" w:cs="Arial" w:eastAsia="Arial" w:hAnsi="Arial"/>
                <w:sz w:val="16"/>
                <w:szCs w:val="16"/>
                <w:color w:val="auto"/>
              </w:rPr>
            </w:pPr>
            <w:hyperlink w:anchor="page14">
              <w:r>
                <w:rPr>
                  <w:rFonts w:ascii="Arial" w:cs="Arial" w:eastAsia="Arial" w:hAnsi="Arial"/>
                  <w:sz w:val="16"/>
                  <w:szCs w:val="16"/>
                  <w:color w:val="auto"/>
                </w:rPr>
                <w:t>13</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6">
              <w:r>
                <w:rPr>
                  <w:rFonts w:ascii="Arial" w:cs="Arial" w:eastAsia="Arial" w:hAnsi="Arial"/>
                  <w:sz w:val="16"/>
                  <w:szCs w:val="16"/>
                  <w:color w:val="auto"/>
                </w:rPr>
                <w:t>The Board’s Role in Risk Oversight</w:t>
              </w:r>
            </w:hyperlink>
          </w:p>
        </w:tc>
        <w:tc>
          <w:tcPr>
            <w:tcW w:w="2280" w:type="dxa"/>
            <w:vAlign w:val="bottom"/>
          </w:tcPr>
          <w:p>
            <w:pPr>
              <w:jc w:val="right"/>
              <w:spacing w:after="0"/>
              <w:rPr>
                <w:rFonts w:ascii="Arial" w:cs="Arial" w:eastAsia="Arial" w:hAnsi="Arial"/>
                <w:sz w:val="16"/>
                <w:szCs w:val="16"/>
                <w:color w:val="auto"/>
              </w:rPr>
            </w:pPr>
            <w:hyperlink w:anchor="page16">
              <w:r>
                <w:rPr>
                  <w:rFonts w:ascii="Arial" w:cs="Arial" w:eastAsia="Arial" w:hAnsi="Arial"/>
                  <w:sz w:val="16"/>
                  <w:szCs w:val="16"/>
                  <w:color w:val="auto"/>
                </w:rPr>
                <w:t>15</w:t>
              </w:r>
            </w:hyperlink>
          </w:p>
        </w:tc>
      </w:tr>
      <w:tr>
        <w:trPr>
          <w:trHeight w:val="189"/>
        </w:trPr>
        <w:tc>
          <w:tcPr>
            <w:tcW w:w="8780" w:type="dxa"/>
            <w:vAlign w:val="bottom"/>
          </w:tcPr>
          <w:p>
            <w:pPr>
              <w:ind w:left="180"/>
              <w:spacing w:after="0"/>
              <w:rPr>
                <w:rFonts w:ascii="Arial" w:cs="Arial" w:eastAsia="Arial" w:hAnsi="Arial"/>
                <w:sz w:val="16"/>
                <w:szCs w:val="16"/>
                <w:color w:val="auto"/>
              </w:rPr>
            </w:pPr>
            <w:hyperlink w:anchor="page17">
              <w:r>
                <w:rPr>
                  <w:rFonts w:ascii="Arial" w:cs="Arial" w:eastAsia="Arial" w:hAnsi="Arial"/>
                  <w:sz w:val="16"/>
                  <w:szCs w:val="16"/>
                  <w:color w:val="auto"/>
                </w:rPr>
                <w:t>Director Nominations</w:t>
              </w:r>
            </w:hyperlink>
          </w:p>
        </w:tc>
        <w:tc>
          <w:tcPr>
            <w:tcW w:w="2280" w:type="dxa"/>
            <w:vAlign w:val="bottom"/>
          </w:tcPr>
          <w:p>
            <w:pPr>
              <w:jc w:val="right"/>
              <w:spacing w:after="0"/>
              <w:rPr>
                <w:rFonts w:ascii="Arial" w:cs="Arial" w:eastAsia="Arial" w:hAnsi="Arial"/>
                <w:sz w:val="16"/>
                <w:szCs w:val="16"/>
                <w:color w:val="auto"/>
              </w:rPr>
            </w:pPr>
            <w:hyperlink w:anchor="page17">
              <w:r>
                <w:rPr>
                  <w:rFonts w:ascii="Arial" w:cs="Arial" w:eastAsia="Arial" w:hAnsi="Arial"/>
                  <w:sz w:val="16"/>
                  <w:szCs w:val="16"/>
                  <w:color w:val="auto"/>
                </w:rPr>
                <w:t>16</w:t>
              </w:r>
            </w:hyperlink>
          </w:p>
        </w:tc>
      </w:tr>
      <w:tr>
        <w:trPr>
          <w:trHeight w:val="195"/>
        </w:trPr>
        <w:tc>
          <w:tcPr>
            <w:tcW w:w="8780" w:type="dxa"/>
            <w:vAlign w:val="bottom"/>
          </w:tcPr>
          <w:p>
            <w:pPr>
              <w:ind w:left="180"/>
              <w:spacing w:after="0"/>
              <w:rPr>
                <w:rFonts w:ascii="Arial" w:cs="Arial" w:eastAsia="Arial" w:hAnsi="Arial"/>
                <w:sz w:val="16"/>
                <w:szCs w:val="16"/>
                <w:color w:val="auto"/>
              </w:rPr>
            </w:pPr>
            <w:hyperlink w:anchor="page18">
              <w:r>
                <w:rPr>
                  <w:rFonts w:ascii="Arial" w:cs="Arial" w:eastAsia="Arial" w:hAnsi="Arial"/>
                  <w:sz w:val="16"/>
                  <w:szCs w:val="16"/>
                  <w:color w:val="auto"/>
                </w:rPr>
                <w:t>Director Compensation</w:t>
              </w:r>
            </w:hyperlink>
          </w:p>
        </w:tc>
        <w:tc>
          <w:tcPr>
            <w:tcW w:w="2280" w:type="dxa"/>
            <w:vAlign w:val="bottom"/>
          </w:tcPr>
          <w:p>
            <w:pPr>
              <w:jc w:val="right"/>
              <w:spacing w:after="0"/>
              <w:rPr>
                <w:rFonts w:ascii="Arial" w:cs="Arial" w:eastAsia="Arial" w:hAnsi="Arial"/>
                <w:sz w:val="16"/>
                <w:szCs w:val="16"/>
                <w:color w:val="auto"/>
              </w:rPr>
            </w:pPr>
            <w:hyperlink w:anchor="page18">
              <w:r>
                <w:rPr>
                  <w:rFonts w:ascii="Arial" w:cs="Arial" w:eastAsia="Arial" w:hAnsi="Arial"/>
                  <w:sz w:val="16"/>
                  <w:szCs w:val="16"/>
                  <w:color w:val="auto"/>
                </w:rPr>
                <w:t>17</w:t>
              </w:r>
            </w:hyperlink>
          </w:p>
        </w:tc>
      </w:tr>
    </w:tbl>
    <w:p>
      <w:pPr>
        <w:spacing w:after="0" w:line="132" w:lineRule="exact"/>
        <w:rPr>
          <w:sz w:val="20"/>
          <w:szCs w:val="20"/>
          <w:color w:val="auto"/>
        </w:rPr>
      </w:pPr>
    </w:p>
    <w:tbl>
      <w:tblPr>
        <w:tblLayout w:type="fixed"/>
        <w:tblInd w:w="180" w:type="dxa"/>
        <w:tblCellMar>
          <w:top w:w="0" w:type="dxa"/>
          <w:left w:w="0" w:type="dxa"/>
          <w:bottom w:w="0" w:type="dxa"/>
          <w:right w:w="0" w:type="dxa"/>
        </w:tblCellMar>
      </w:tblPr>
      <w:tr>
        <w:trPr>
          <w:trHeight w:val="227"/>
        </w:trPr>
        <w:tc>
          <w:tcPr>
            <w:tcW w:w="7060" w:type="dxa"/>
            <w:vAlign w:val="bottom"/>
          </w:tcPr>
          <w:p>
            <w:pPr>
              <w:spacing w:after="0"/>
              <w:rPr>
                <w:rFonts w:ascii="Arial" w:cs="Arial" w:eastAsia="Arial" w:hAnsi="Arial"/>
                <w:sz w:val="18"/>
                <w:szCs w:val="18"/>
                <w:b w:val="1"/>
                <w:bCs w:val="1"/>
                <w:color w:val="04568A"/>
              </w:rPr>
            </w:pPr>
            <w:hyperlink w:anchor="page20">
              <w:r>
                <w:rPr>
                  <w:rFonts w:ascii="Arial" w:cs="Arial" w:eastAsia="Arial" w:hAnsi="Arial"/>
                  <w:sz w:val="18"/>
                  <w:szCs w:val="18"/>
                  <w:b w:val="1"/>
                  <w:bCs w:val="1"/>
                  <w:color w:val="04568A"/>
                </w:rPr>
                <w:t xml:space="preserve">Proposal 1 </w:t>
              </w:r>
              <w:r>
                <w:rPr>
                  <w:rFonts w:ascii="Arial" w:cs="Arial" w:eastAsia="Arial" w:hAnsi="Arial"/>
                  <w:sz w:val="18"/>
                  <w:szCs w:val="18"/>
                  <w:b w:val="1"/>
                  <w:bCs w:val="1"/>
                  <w:color w:val="000000"/>
                </w:rPr>
                <w:t>Election of Directors</w:t>
              </w:r>
            </w:hyperlink>
          </w:p>
        </w:tc>
        <w:tc>
          <w:tcPr>
            <w:tcW w:w="4000" w:type="dxa"/>
            <w:vAlign w:val="bottom"/>
          </w:tcPr>
          <w:p>
            <w:pPr>
              <w:jc w:val="right"/>
              <w:spacing w:after="0"/>
              <w:rPr>
                <w:rFonts w:ascii="Arial" w:cs="Arial" w:eastAsia="Arial" w:hAnsi="Arial"/>
                <w:sz w:val="18"/>
                <w:szCs w:val="18"/>
                <w:b w:val="1"/>
                <w:bCs w:val="1"/>
                <w:color w:val="auto"/>
              </w:rPr>
            </w:pPr>
            <w:hyperlink w:anchor="page20">
              <w:r>
                <w:rPr>
                  <w:rFonts w:ascii="Arial" w:cs="Arial" w:eastAsia="Arial" w:hAnsi="Arial"/>
                  <w:sz w:val="18"/>
                  <w:szCs w:val="18"/>
                  <w:b w:val="1"/>
                  <w:bCs w:val="1"/>
                  <w:color w:val="auto"/>
                </w:rPr>
                <w:t>19</w:t>
              </w:r>
            </w:hyperlink>
          </w:p>
        </w:tc>
      </w:tr>
      <w:tr>
        <w:trPr>
          <w:trHeight w:val="189"/>
        </w:trPr>
        <w:tc>
          <w:tcPr>
            <w:tcW w:w="7060" w:type="dxa"/>
            <w:vAlign w:val="bottom"/>
          </w:tcPr>
          <w:p>
            <w:pPr>
              <w:ind w:left="180"/>
              <w:spacing w:after="0"/>
              <w:rPr>
                <w:rFonts w:ascii="Arial" w:cs="Arial" w:eastAsia="Arial" w:hAnsi="Arial"/>
                <w:sz w:val="16"/>
                <w:szCs w:val="16"/>
                <w:color w:val="auto"/>
              </w:rPr>
            </w:pPr>
            <w:hyperlink w:anchor="page20">
              <w:r>
                <w:rPr>
                  <w:rFonts w:ascii="Arial" w:cs="Arial" w:eastAsia="Arial" w:hAnsi="Arial"/>
                  <w:sz w:val="16"/>
                  <w:szCs w:val="16"/>
                  <w:color w:val="auto"/>
                </w:rPr>
                <w:t>Introduction</w:t>
              </w:r>
            </w:hyperlink>
          </w:p>
        </w:tc>
        <w:tc>
          <w:tcPr>
            <w:tcW w:w="4000" w:type="dxa"/>
            <w:vAlign w:val="bottom"/>
          </w:tcPr>
          <w:p>
            <w:pPr>
              <w:jc w:val="right"/>
              <w:spacing w:after="0"/>
              <w:rPr>
                <w:rFonts w:ascii="Arial" w:cs="Arial" w:eastAsia="Arial" w:hAnsi="Arial"/>
                <w:sz w:val="16"/>
                <w:szCs w:val="16"/>
                <w:color w:val="auto"/>
              </w:rPr>
            </w:pPr>
            <w:hyperlink w:anchor="page20">
              <w:r>
                <w:rPr>
                  <w:rFonts w:ascii="Arial" w:cs="Arial" w:eastAsia="Arial" w:hAnsi="Arial"/>
                  <w:sz w:val="16"/>
                  <w:szCs w:val="16"/>
                  <w:color w:val="auto"/>
                </w:rPr>
                <w:t>19</w:t>
              </w:r>
            </w:hyperlink>
          </w:p>
        </w:tc>
      </w:tr>
      <w:tr>
        <w:trPr>
          <w:trHeight w:val="189"/>
        </w:trPr>
        <w:tc>
          <w:tcPr>
            <w:tcW w:w="7060" w:type="dxa"/>
            <w:vAlign w:val="bottom"/>
          </w:tcPr>
          <w:p>
            <w:pPr>
              <w:ind w:left="180"/>
              <w:spacing w:after="0"/>
              <w:rPr>
                <w:rFonts w:ascii="Arial" w:cs="Arial" w:eastAsia="Arial" w:hAnsi="Arial"/>
                <w:sz w:val="16"/>
                <w:szCs w:val="16"/>
                <w:color w:val="auto"/>
              </w:rPr>
            </w:pPr>
            <w:hyperlink w:anchor="page20">
              <w:r>
                <w:rPr>
                  <w:rFonts w:ascii="Arial" w:cs="Arial" w:eastAsia="Arial" w:hAnsi="Arial"/>
                  <w:sz w:val="16"/>
                  <w:szCs w:val="16"/>
                  <w:color w:val="auto"/>
                </w:rPr>
                <w:t>Director Nominees</w:t>
              </w:r>
            </w:hyperlink>
          </w:p>
        </w:tc>
        <w:tc>
          <w:tcPr>
            <w:tcW w:w="4000" w:type="dxa"/>
            <w:vAlign w:val="bottom"/>
          </w:tcPr>
          <w:p>
            <w:pPr>
              <w:jc w:val="right"/>
              <w:spacing w:after="0"/>
              <w:rPr>
                <w:rFonts w:ascii="Arial" w:cs="Arial" w:eastAsia="Arial" w:hAnsi="Arial"/>
                <w:sz w:val="16"/>
                <w:szCs w:val="16"/>
                <w:color w:val="auto"/>
              </w:rPr>
            </w:pPr>
            <w:hyperlink w:anchor="page20">
              <w:r>
                <w:rPr>
                  <w:rFonts w:ascii="Arial" w:cs="Arial" w:eastAsia="Arial" w:hAnsi="Arial"/>
                  <w:sz w:val="16"/>
                  <w:szCs w:val="16"/>
                  <w:color w:val="auto"/>
                </w:rPr>
                <w:t>19</w:t>
              </w:r>
            </w:hyperlink>
          </w:p>
        </w:tc>
      </w:tr>
      <w:tr>
        <w:trPr>
          <w:trHeight w:val="189"/>
        </w:trPr>
        <w:tc>
          <w:tcPr>
            <w:tcW w:w="7060" w:type="dxa"/>
            <w:vAlign w:val="bottom"/>
          </w:tcPr>
          <w:p>
            <w:pPr>
              <w:ind w:left="180"/>
              <w:spacing w:after="0"/>
              <w:rPr>
                <w:rFonts w:ascii="Arial" w:cs="Arial" w:eastAsia="Arial" w:hAnsi="Arial"/>
                <w:sz w:val="16"/>
                <w:szCs w:val="16"/>
                <w:color w:val="auto"/>
              </w:rPr>
            </w:pPr>
            <w:hyperlink w:anchor="page26">
              <w:r>
                <w:rPr>
                  <w:rFonts w:ascii="Arial" w:cs="Arial" w:eastAsia="Arial" w:hAnsi="Arial"/>
                  <w:sz w:val="16"/>
                  <w:szCs w:val="16"/>
                  <w:color w:val="auto"/>
                </w:rPr>
                <w:t>Required Vote</w:t>
              </w:r>
            </w:hyperlink>
          </w:p>
        </w:tc>
        <w:tc>
          <w:tcPr>
            <w:tcW w:w="4000" w:type="dxa"/>
            <w:vAlign w:val="bottom"/>
          </w:tcPr>
          <w:p>
            <w:pPr>
              <w:jc w:val="right"/>
              <w:spacing w:after="0"/>
              <w:rPr>
                <w:rFonts w:ascii="Arial" w:cs="Arial" w:eastAsia="Arial" w:hAnsi="Arial"/>
                <w:sz w:val="16"/>
                <w:szCs w:val="16"/>
                <w:color w:val="auto"/>
              </w:rPr>
            </w:pPr>
            <w:hyperlink w:anchor="page26">
              <w:r>
                <w:rPr>
                  <w:rFonts w:ascii="Arial" w:cs="Arial" w:eastAsia="Arial" w:hAnsi="Arial"/>
                  <w:sz w:val="16"/>
                  <w:szCs w:val="16"/>
                  <w:color w:val="auto"/>
                </w:rPr>
                <w:t>25</w:t>
              </w:r>
            </w:hyperlink>
          </w:p>
        </w:tc>
      </w:tr>
      <w:tr>
        <w:trPr>
          <w:trHeight w:val="195"/>
        </w:trPr>
        <w:tc>
          <w:tcPr>
            <w:tcW w:w="7060" w:type="dxa"/>
            <w:vAlign w:val="bottom"/>
          </w:tcPr>
          <w:p>
            <w:pPr>
              <w:ind w:left="180"/>
              <w:spacing w:after="0"/>
              <w:rPr>
                <w:rFonts w:ascii="Arial" w:cs="Arial" w:eastAsia="Arial" w:hAnsi="Arial"/>
                <w:sz w:val="16"/>
                <w:szCs w:val="16"/>
                <w:color w:val="auto"/>
              </w:rPr>
            </w:pPr>
            <w:hyperlink w:anchor="page26">
              <w:r>
                <w:rPr>
                  <w:rFonts w:ascii="Arial" w:cs="Arial" w:eastAsia="Arial" w:hAnsi="Arial"/>
                  <w:sz w:val="16"/>
                  <w:szCs w:val="16"/>
                  <w:color w:val="auto"/>
                </w:rPr>
                <w:t>Recommendation of the Board of Directors</w:t>
              </w:r>
            </w:hyperlink>
          </w:p>
        </w:tc>
        <w:tc>
          <w:tcPr>
            <w:tcW w:w="4000" w:type="dxa"/>
            <w:vAlign w:val="bottom"/>
          </w:tcPr>
          <w:p>
            <w:pPr>
              <w:jc w:val="right"/>
              <w:spacing w:after="0"/>
              <w:rPr>
                <w:rFonts w:ascii="Arial" w:cs="Arial" w:eastAsia="Arial" w:hAnsi="Arial"/>
                <w:sz w:val="16"/>
                <w:szCs w:val="16"/>
                <w:color w:val="auto"/>
              </w:rPr>
            </w:pPr>
            <w:hyperlink w:anchor="page26">
              <w:r>
                <w:rPr>
                  <w:rFonts w:ascii="Arial" w:cs="Arial" w:eastAsia="Arial" w:hAnsi="Arial"/>
                  <w:sz w:val="16"/>
                  <w:szCs w:val="16"/>
                  <w:color w:val="auto"/>
                </w:rPr>
                <w:t>25</w:t>
              </w:r>
            </w:hyperlink>
          </w:p>
        </w:tc>
      </w:tr>
    </w:tbl>
    <w:p>
      <w:pPr>
        <w:spacing w:after="0" w:line="172" w:lineRule="exact"/>
        <w:rPr>
          <w:sz w:val="20"/>
          <w:szCs w:val="20"/>
          <w:color w:val="auto"/>
        </w:rPr>
      </w:pPr>
    </w:p>
    <w:tbl>
      <w:tblPr>
        <w:tblLayout w:type="fixed"/>
        <w:tblInd w:w="180" w:type="dxa"/>
        <w:tblCellMar>
          <w:top w:w="0" w:type="dxa"/>
          <w:left w:w="0" w:type="dxa"/>
          <w:bottom w:w="0" w:type="dxa"/>
          <w:right w:w="0" w:type="dxa"/>
        </w:tblCellMar>
      </w:tblPr>
      <w:tr>
        <w:trPr>
          <w:trHeight w:val="227"/>
        </w:trPr>
        <w:tc>
          <w:tcPr>
            <w:tcW w:w="9040" w:type="dxa"/>
            <w:vAlign w:val="bottom"/>
          </w:tcPr>
          <w:p>
            <w:pPr>
              <w:spacing w:after="0"/>
              <w:rPr>
                <w:rFonts w:ascii="Arial" w:cs="Arial" w:eastAsia="Arial" w:hAnsi="Arial"/>
                <w:sz w:val="18"/>
                <w:szCs w:val="18"/>
                <w:b w:val="1"/>
                <w:bCs w:val="1"/>
                <w:color w:val="04568A"/>
              </w:rPr>
            </w:pPr>
            <w:hyperlink w:anchor="page27">
              <w:r>
                <w:rPr>
                  <w:rFonts w:ascii="Arial" w:cs="Arial" w:eastAsia="Arial" w:hAnsi="Arial"/>
                  <w:sz w:val="18"/>
                  <w:szCs w:val="18"/>
                  <w:b w:val="1"/>
                  <w:bCs w:val="1"/>
                  <w:color w:val="04568A"/>
                </w:rPr>
                <w:t>Our Management</w:t>
              </w:r>
            </w:hyperlink>
          </w:p>
        </w:tc>
        <w:tc>
          <w:tcPr>
            <w:tcW w:w="2020" w:type="dxa"/>
            <w:vAlign w:val="bottom"/>
          </w:tcPr>
          <w:p>
            <w:pPr>
              <w:jc w:val="right"/>
              <w:spacing w:after="0"/>
              <w:rPr>
                <w:rFonts w:ascii="Arial" w:cs="Arial" w:eastAsia="Arial" w:hAnsi="Arial"/>
                <w:sz w:val="18"/>
                <w:szCs w:val="18"/>
                <w:b w:val="1"/>
                <w:bCs w:val="1"/>
                <w:color w:val="auto"/>
              </w:rPr>
            </w:pPr>
            <w:hyperlink w:anchor="page27">
              <w:r>
                <w:rPr>
                  <w:rFonts w:ascii="Arial" w:cs="Arial" w:eastAsia="Arial" w:hAnsi="Arial"/>
                  <w:sz w:val="18"/>
                  <w:szCs w:val="18"/>
                  <w:b w:val="1"/>
                  <w:bCs w:val="1"/>
                  <w:color w:val="auto"/>
                </w:rPr>
                <w:t>26</w:t>
              </w:r>
            </w:hyperlink>
          </w:p>
        </w:tc>
      </w:tr>
      <w:tr>
        <w:trPr>
          <w:trHeight w:val="195"/>
        </w:trPr>
        <w:tc>
          <w:tcPr>
            <w:tcW w:w="9040" w:type="dxa"/>
            <w:vAlign w:val="bottom"/>
          </w:tcPr>
          <w:p>
            <w:pPr>
              <w:ind w:left="180"/>
              <w:spacing w:after="0"/>
              <w:rPr>
                <w:rFonts w:ascii="Arial" w:cs="Arial" w:eastAsia="Arial" w:hAnsi="Arial"/>
                <w:sz w:val="16"/>
                <w:szCs w:val="16"/>
                <w:color w:val="auto"/>
              </w:rPr>
            </w:pPr>
            <w:hyperlink w:anchor="page27">
              <w:r>
                <w:rPr>
                  <w:rFonts w:ascii="Arial" w:cs="Arial" w:eastAsia="Arial" w:hAnsi="Arial"/>
                  <w:sz w:val="16"/>
                  <w:szCs w:val="16"/>
                  <w:color w:val="auto"/>
                </w:rPr>
                <w:t>Executive Officers and Directors</w:t>
              </w:r>
            </w:hyperlink>
          </w:p>
        </w:tc>
        <w:tc>
          <w:tcPr>
            <w:tcW w:w="2020" w:type="dxa"/>
            <w:vAlign w:val="bottom"/>
          </w:tcPr>
          <w:p>
            <w:pPr>
              <w:jc w:val="right"/>
              <w:spacing w:after="0"/>
              <w:rPr>
                <w:rFonts w:ascii="Arial" w:cs="Arial" w:eastAsia="Arial" w:hAnsi="Arial"/>
                <w:sz w:val="16"/>
                <w:szCs w:val="16"/>
                <w:color w:val="auto"/>
              </w:rPr>
            </w:pPr>
            <w:hyperlink w:anchor="page27">
              <w:r>
                <w:rPr>
                  <w:rFonts w:ascii="Arial" w:cs="Arial" w:eastAsia="Arial" w:hAnsi="Arial"/>
                  <w:sz w:val="16"/>
                  <w:szCs w:val="16"/>
                  <w:color w:val="auto"/>
                </w:rPr>
                <w:t>26</w:t>
              </w:r>
            </w:hyperlink>
          </w:p>
        </w:tc>
      </w:tr>
      <w:tr>
        <w:trPr>
          <w:trHeight w:val="359"/>
        </w:trPr>
        <w:tc>
          <w:tcPr>
            <w:tcW w:w="9040" w:type="dxa"/>
            <w:vAlign w:val="bottom"/>
          </w:tcPr>
          <w:p>
            <w:pPr>
              <w:spacing w:after="0"/>
              <w:rPr>
                <w:rFonts w:ascii="Arial" w:cs="Arial" w:eastAsia="Arial" w:hAnsi="Arial"/>
                <w:sz w:val="18"/>
                <w:szCs w:val="18"/>
                <w:b w:val="1"/>
                <w:bCs w:val="1"/>
                <w:color w:val="04568A"/>
              </w:rPr>
            </w:pPr>
            <w:hyperlink w:anchor="page31">
              <w:r>
                <w:rPr>
                  <w:rFonts w:ascii="Arial" w:cs="Arial" w:eastAsia="Arial" w:hAnsi="Arial"/>
                  <w:sz w:val="18"/>
                  <w:szCs w:val="18"/>
                  <w:b w:val="1"/>
                  <w:bCs w:val="1"/>
                  <w:color w:val="04568A"/>
                </w:rPr>
                <w:t>Executive Compensation</w:t>
              </w:r>
            </w:hyperlink>
          </w:p>
        </w:tc>
        <w:tc>
          <w:tcPr>
            <w:tcW w:w="2020" w:type="dxa"/>
            <w:vAlign w:val="bottom"/>
          </w:tcPr>
          <w:p>
            <w:pPr>
              <w:jc w:val="right"/>
              <w:spacing w:after="0"/>
              <w:rPr>
                <w:rFonts w:ascii="Arial" w:cs="Arial" w:eastAsia="Arial" w:hAnsi="Arial"/>
                <w:sz w:val="18"/>
                <w:szCs w:val="18"/>
                <w:b w:val="1"/>
                <w:bCs w:val="1"/>
                <w:color w:val="auto"/>
              </w:rPr>
            </w:pPr>
            <w:hyperlink w:anchor="page31">
              <w:r>
                <w:rPr>
                  <w:rFonts w:ascii="Arial" w:cs="Arial" w:eastAsia="Arial" w:hAnsi="Arial"/>
                  <w:sz w:val="18"/>
                  <w:szCs w:val="18"/>
                  <w:b w:val="1"/>
                  <w:bCs w:val="1"/>
                  <w:color w:val="auto"/>
                </w:rPr>
                <w:t>30</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1">
              <w:r>
                <w:rPr>
                  <w:rFonts w:ascii="Arial" w:cs="Arial" w:eastAsia="Arial" w:hAnsi="Arial"/>
                  <w:sz w:val="16"/>
                  <w:szCs w:val="16"/>
                  <w:color w:val="auto"/>
                </w:rPr>
                <w:t>Compensation Discussion and Analysis</w:t>
              </w:r>
            </w:hyperlink>
          </w:p>
        </w:tc>
        <w:tc>
          <w:tcPr>
            <w:tcW w:w="2020" w:type="dxa"/>
            <w:vAlign w:val="bottom"/>
          </w:tcPr>
          <w:p>
            <w:pPr>
              <w:jc w:val="right"/>
              <w:spacing w:after="0"/>
              <w:rPr>
                <w:rFonts w:ascii="Arial" w:cs="Arial" w:eastAsia="Arial" w:hAnsi="Arial"/>
                <w:sz w:val="16"/>
                <w:szCs w:val="16"/>
                <w:color w:val="auto"/>
              </w:rPr>
            </w:pPr>
            <w:hyperlink w:anchor="page31">
              <w:r>
                <w:rPr>
                  <w:rFonts w:ascii="Arial" w:cs="Arial" w:eastAsia="Arial" w:hAnsi="Arial"/>
                  <w:sz w:val="16"/>
                  <w:szCs w:val="16"/>
                  <w:color w:val="auto"/>
                </w:rPr>
                <w:t>30</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1">
              <w:r>
                <w:rPr>
                  <w:rFonts w:ascii="Arial" w:cs="Arial" w:eastAsia="Arial" w:hAnsi="Arial"/>
                  <w:sz w:val="16"/>
                  <w:szCs w:val="16"/>
                  <w:color w:val="auto"/>
                </w:rPr>
                <w:t>Executive Summary</w:t>
              </w:r>
            </w:hyperlink>
          </w:p>
        </w:tc>
        <w:tc>
          <w:tcPr>
            <w:tcW w:w="2020" w:type="dxa"/>
            <w:vAlign w:val="bottom"/>
          </w:tcPr>
          <w:p>
            <w:pPr>
              <w:jc w:val="right"/>
              <w:spacing w:after="0"/>
              <w:rPr>
                <w:rFonts w:ascii="Arial" w:cs="Arial" w:eastAsia="Arial" w:hAnsi="Arial"/>
                <w:sz w:val="16"/>
                <w:szCs w:val="16"/>
                <w:color w:val="auto"/>
              </w:rPr>
            </w:pPr>
            <w:hyperlink w:anchor="page31">
              <w:r>
                <w:rPr>
                  <w:rFonts w:ascii="Arial" w:cs="Arial" w:eastAsia="Arial" w:hAnsi="Arial"/>
                  <w:sz w:val="16"/>
                  <w:szCs w:val="16"/>
                  <w:color w:val="auto"/>
                </w:rPr>
                <w:t>30</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2">
              <w:r>
                <w:rPr>
                  <w:rFonts w:ascii="Arial" w:cs="Arial" w:eastAsia="Arial" w:hAnsi="Arial"/>
                  <w:sz w:val="16"/>
                  <w:szCs w:val="16"/>
                  <w:color w:val="auto"/>
                </w:rPr>
                <w:t>Role of the Compensation Committee</w:t>
              </w:r>
            </w:hyperlink>
          </w:p>
        </w:tc>
        <w:tc>
          <w:tcPr>
            <w:tcW w:w="2020" w:type="dxa"/>
            <w:vAlign w:val="bottom"/>
          </w:tcPr>
          <w:p>
            <w:pPr>
              <w:jc w:val="right"/>
              <w:spacing w:after="0"/>
              <w:rPr>
                <w:rFonts w:ascii="Arial" w:cs="Arial" w:eastAsia="Arial" w:hAnsi="Arial"/>
                <w:sz w:val="16"/>
                <w:szCs w:val="16"/>
                <w:color w:val="auto"/>
              </w:rPr>
            </w:pPr>
            <w:hyperlink w:anchor="page32">
              <w:r>
                <w:rPr>
                  <w:rFonts w:ascii="Arial" w:cs="Arial" w:eastAsia="Arial" w:hAnsi="Arial"/>
                  <w:sz w:val="16"/>
                  <w:szCs w:val="16"/>
                  <w:color w:val="auto"/>
                </w:rPr>
                <w:t>31</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3">
              <w:r>
                <w:rPr>
                  <w:rFonts w:ascii="Arial" w:cs="Arial" w:eastAsia="Arial" w:hAnsi="Arial"/>
                  <w:sz w:val="16"/>
                  <w:szCs w:val="16"/>
                  <w:color w:val="auto"/>
                </w:rPr>
                <w:t>Role of our Co-Chief Executive Officers in Compensation Decisions</w:t>
              </w:r>
            </w:hyperlink>
          </w:p>
        </w:tc>
        <w:tc>
          <w:tcPr>
            <w:tcW w:w="2020" w:type="dxa"/>
            <w:vAlign w:val="bottom"/>
          </w:tcPr>
          <w:p>
            <w:pPr>
              <w:jc w:val="right"/>
              <w:spacing w:after="0"/>
              <w:rPr>
                <w:rFonts w:ascii="Arial" w:cs="Arial" w:eastAsia="Arial" w:hAnsi="Arial"/>
                <w:sz w:val="16"/>
                <w:szCs w:val="16"/>
                <w:color w:val="auto"/>
              </w:rPr>
            </w:pPr>
            <w:hyperlink w:anchor="page33">
              <w:r>
                <w:rPr>
                  <w:rFonts w:ascii="Arial" w:cs="Arial" w:eastAsia="Arial" w:hAnsi="Arial"/>
                  <w:sz w:val="16"/>
                  <w:szCs w:val="16"/>
                  <w:color w:val="auto"/>
                </w:rPr>
                <w:t>32</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3">
              <w:r>
                <w:rPr>
                  <w:rFonts w:ascii="Arial" w:cs="Arial" w:eastAsia="Arial" w:hAnsi="Arial"/>
                  <w:sz w:val="16"/>
                  <w:szCs w:val="16"/>
                  <w:color w:val="auto"/>
                </w:rPr>
                <w:t>Peer Group Surveys and the Role of Our Compensation Consultant</w:t>
              </w:r>
            </w:hyperlink>
          </w:p>
        </w:tc>
        <w:tc>
          <w:tcPr>
            <w:tcW w:w="2020" w:type="dxa"/>
            <w:vAlign w:val="bottom"/>
          </w:tcPr>
          <w:p>
            <w:pPr>
              <w:jc w:val="right"/>
              <w:spacing w:after="0"/>
              <w:rPr>
                <w:rFonts w:ascii="Arial" w:cs="Arial" w:eastAsia="Arial" w:hAnsi="Arial"/>
                <w:sz w:val="16"/>
                <w:szCs w:val="16"/>
                <w:color w:val="auto"/>
              </w:rPr>
            </w:pPr>
            <w:hyperlink w:anchor="page33">
              <w:r>
                <w:rPr>
                  <w:rFonts w:ascii="Arial" w:cs="Arial" w:eastAsia="Arial" w:hAnsi="Arial"/>
                  <w:sz w:val="16"/>
                  <w:szCs w:val="16"/>
                  <w:color w:val="auto"/>
                </w:rPr>
                <w:t>32</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4">
              <w:r>
                <w:rPr>
                  <w:rFonts w:ascii="Arial" w:cs="Arial" w:eastAsia="Arial" w:hAnsi="Arial"/>
                  <w:sz w:val="16"/>
                  <w:szCs w:val="16"/>
                  <w:color w:val="auto"/>
                </w:rPr>
                <w:t>Components of Executive Compensation</w:t>
              </w:r>
            </w:hyperlink>
          </w:p>
        </w:tc>
        <w:tc>
          <w:tcPr>
            <w:tcW w:w="2020" w:type="dxa"/>
            <w:vAlign w:val="bottom"/>
          </w:tcPr>
          <w:p>
            <w:pPr>
              <w:jc w:val="right"/>
              <w:spacing w:after="0"/>
              <w:rPr>
                <w:rFonts w:ascii="Arial" w:cs="Arial" w:eastAsia="Arial" w:hAnsi="Arial"/>
                <w:sz w:val="16"/>
                <w:szCs w:val="16"/>
                <w:color w:val="auto"/>
              </w:rPr>
            </w:pPr>
            <w:hyperlink w:anchor="page34">
              <w:r>
                <w:rPr>
                  <w:rFonts w:ascii="Arial" w:cs="Arial" w:eastAsia="Arial" w:hAnsi="Arial"/>
                  <w:sz w:val="16"/>
                  <w:szCs w:val="16"/>
                  <w:color w:val="auto"/>
                </w:rPr>
                <w:t>33</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7">
              <w:r>
                <w:rPr>
                  <w:rFonts w:ascii="Arial" w:cs="Arial" w:eastAsia="Arial" w:hAnsi="Arial"/>
                  <w:sz w:val="16"/>
                  <w:szCs w:val="16"/>
                  <w:color w:val="auto"/>
                </w:rPr>
                <w:t>Consideration of 2021 Say-on-Pay Vote</w:t>
              </w:r>
            </w:hyperlink>
          </w:p>
        </w:tc>
        <w:tc>
          <w:tcPr>
            <w:tcW w:w="2020" w:type="dxa"/>
            <w:vAlign w:val="bottom"/>
          </w:tcPr>
          <w:p>
            <w:pPr>
              <w:jc w:val="right"/>
              <w:spacing w:after="0"/>
              <w:rPr>
                <w:rFonts w:ascii="Arial" w:cs="Arial" w:eastAsia="Arial" w:hAnsi="Arial"/>
                <w:sz w:val="16"/>
                <w:szCs w:val="16"/>
                <w:color w:val="auto"/>
              </w:rPr>
            </w:pPr>
            <w:hyperlink w:anchor="page37">
              <w:r>
                <w:rPr>
                  <w:rFonts w:ascii="Arial" w:cs="Arial" w:eastAsia="Arial" w:hAnsi="Arial"/>
                  <w:sz w:val="16"/>
                  <w:szCs w:val="16"/>
                  <w:color w:val="auto"/>
                </w:rPr>
                <w:t>36</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7">
              <w:r>
                <w:rPr>
                  <w:rFonts w:ascii="Arial" w:cs="Arial" w:eastAsia="Arial" w:hAnsi="Arial"/>
                  <w:sz w:val="16"/>
                  <w:szCs w:val="16"/>
                  <w:color w:val="auto"/>
                </w:rPr>
                <w:t>Accounting and Tax Considerations</w:t>
              </w:r>
            </w:hyperlink>
          </w:p>
        </w:tc>
        <w:tc>
          <w:tcPr>
            <w:tcW w:w="2020" w:type="dxa"/>
            <w:vAlign w:val="bottom"/>
          </w:tcPr>
          <w:p>
            <w:pPr>
              <w:jc w:val="right"/>
              <w:spacing w:after="0"/>
              <w:rPr>
                <w:rFonts w:ascii="Arial" w:cs="Arial" w:eastAsia="Arial" w:hAnsi="Arial"/>
                <w:sz w:val="16"/>
                <w:szCs w:val="16"/>
                <w:color w:val="auto"/>
              </w:rPr>
            </w:pPr>
            <w:hyperlink w:anchor="page37">
              <w:r>
                <w:rPr>
                  <w:rFonts w:ascii="Arial" w:cs="Arial" w:eastAsia="Arial" w:hAnsi="Arial"/>
                  <w:sz w:val="16"/>
                  <w:szCs w:val="16"/>
                  <w:color w:val="auto"/>
                </w:rPr>
                <w:t>36</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8">
              <w:r>
                <w:rPr>
                  <w:rFonts w:ascii="Arial" w:cs="Arial" w:eastAsia="Arial" w:hAnsi="Arial"/>
                  <w:sz w:val="16"/>
                  <w:szCs w:val="16"/>
                  <w:color w:val="auto"/>
                </w:rPr>
                <w:t>Executive Compensation Clawback Policy</w:t>
              </w:r>
            </w:hyperlink>
          </w:p>
        </w:tc>
        <w:tc>
          <w:tcPr>
            <w:tcW w:w="2020" w:type="dxa"/>
            <w:vAlign w:val="bottom"/>
          </w:tcPr>
          <w:p>
            <w:pPr>
              <w:jc w:val="right"/>
              <w:spacing w:after="0"/>
              <w:rPr>
                <w:rFonts w:ascii="Arial" w:cs="Arial" w:eastAsia="Arial" w:hAnsi="Arial"/>
                <w:sz w:val="16"/>
                <w:szCs w:val="16"/>
                <w:color w:val="auto"/>
              </w:rPr>
            </w:pPr>
            <w:hyperlink w:anchor="page38">
              <w:r>
                <w:rPr>
                  <w:rFonts w:ascii="Arial" w:cs="Arial" w:eastAsia="Arial" w:hAnsi="Arial"/>
                  <w:sz w:val="16"/>
                  <w:szCs w:val="16"/>
                  <w:color w:val="auto"/>
                </w:rPr>
                <w:t>37</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8">
              <w:r>
                <w:rPr>
                  <w:rFonts w:ascii="Arial" w:cs="Arial" w:eastAsia="Arial" w:hAnsi="Arial"/>
                  <w:sz w:val="16"/>
                  <w:szCs w:val="16"/>
                  <w:color w:val="auto"/>
                </w:rPr>
                <w:t>Stock Ownership Guidelines for Executive Officers</w:t>
              </w:r>
            </w:hyperlink>
          </w:p>
        </w:tc>
        <w:tc>
          <w:tcPr>
            <w:tcW w:w="2020" w:type="dxa"/>
            <w:vAlign w:val="bottom"/>
          </w:tcPr>
          <w:p>
            <w:pPr>
              <w:jc w:val="right"/>
              <w:spacing w:after="0"/>
              <w:rPr>
                <w:rFonts w:ascii="Arial" w:cs="Arial" w:eastAsia="Arial" w:hAnsi="Arial"/>
                <w:sz w:val="16"/>
                <w:szCs w:val="16"/>
                <w:color w:val="auto"/>
              </w:rPr>
            </w:pPr>
            <w:hyperlink w:anchor="page38">
              <w:r>
                <w:rPr>
                  <w:rFonts w:ascii="Arial" w:cs="Arial" w:eastAsia="Arial" w:hAnsi="Arial"/>
                  <w:sz w:val="16"/>
                  <w:szCs w:val="16"/>
                  <w:color w:val="auto"/>
                </w:rPr>
                <w:t>37</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8">
              <w:r>
                <w:rPr>
                  <w:rFonts w:ascii="Arial" w:cs="Arial" w:eastAsia="Arial" w:hAnsi="Arial"/>
                  <w:sz w:val="16"/>
                  <w:szCs w:val="16"/>
                  <w:color w:val="auto"/>
                </w:rPr>
                <w:t>Anti-Hedging Policy</w:t>
              </w:r>
            </w:hyperlink>
          </w:p>
        </w:tc>
        <w:tc>
          <w:tcPr>
            <w:tcW w:w="2020" w:type="dxa"/>
            <w:vAlign w:val="bottom"/>
          </w:tcPr>
          <w:p>
            <w:pPr>
              <w:jc w:val="right"/>
              <w:spacing w:after="0"/>
              <w:rPr>
                <w:rFonts w:ascii="Arial" w:cs="Arial" w:eastAsia="Arial" w:hAnsi="Arial"/>
                <w:sz w:val="16"/>
                <w:szCs w:val="16"/>
                <w:color w:val="auto"/>
              </w:rPr>
            </w:pPr>
            <w:hyperlink w:anchor="page38">
              <w:r>
                <w:rPr>
                  <w:rFonts w:ascii="Arial" w:cs="Arial" w:eastAsia="Arial" w:hAnsi="Arial"/>
                  <w:sz w:val="16"/>
                  <w:szCs w:val="16"/>
                  <w:color w:val="auto"/>
                </w:rPr>
                <w:t>37</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8">
              <w:r>
                <w:rPr>
                  <w:rFonts w:ascii="Arial" w:cs="Arial" w:eastAsia="Arial" w:hAnsi="Arial"/>
                  <w:sz w:val="16"/>
                  <w:szCs w:val="16"/>
                  <w:color w:val="auto"/>
                </w:rPr>
                <w:t>Report of the Compensation Committee</w:t>
              </w:r>
            </w:hyperlink>
          </w:p>
        </w:tc>
        <w:tc>
          <w:tcPr>
            <w:tcW w:w="2020" w:type="dxa"/>
            <w:vAlign w:val="bottom"/>
          </w:tcPr>
          <w:p>
            <w:pPr>
              <w:jc w:val="right"/>
              <w:spacing w:after="0"/>
              <w:rPr>
                <w:rFonts w:ascii="Arial" w:cs="Arial" w:eastAsia="Arial" w:hAnsi="Arial"/>
                <w:sz w:val="16"/>
                <w:szCs w:val="16"/>
                <w:color w:val="auto"/>
              </w:rPr>
            </w:pPr>
            <w:hyperlink w:anchor="page38">
              <w:r>
                <w:rPr>
                  <w:rFonts w:ascii="Arial" w:cs="Arial" w:eastAsia="Arial" w:hAnsi="Arial"/>
                  <w:sz w:val="16"/>
                  <w:szCs w:val="16"/>
                  <w:color w:val="auto"/>
                </w:rPr>
                <w:t>37</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39">
              <w:r>
                <w:rPr>
                  <w:rFonts w:ascii="Arial" w:cs="Arial" w:eastAsia="Arial" w:hAnsi="Arial"/>
                  <w:sz w:val="16"/>
                  <w:szCs w:val="16"/>
                  <w:color w:val="auto"/>
                </w:rPr>
                <w:t>Summary Compensation Table</w:t>
              </w:r>
            </w:hyperlink>
          </w:p>
        </w:tc>
        <w:tc>
          <w:tcPr>
            <w:tcW w:w="2020" w:type="dxa"/>
            <w:vAlign w:val="bottom"/>
          </w:tcPr>
          <w:p>
            <w:pPr>
              <w:jc w:val="right"/>
              <w:spacing w:after="0"/>
              <w:rPr>
                <w:rFonts w:ascii="Arial" w:cs="Arial" w:eastAsia="Arial" w:hAnsi="Arial"/>
                <w:sz w:val="16"/>
                <w:szCs w:val="16"/>
                <w:color w:val="auto"/>
              </w:rPr>
            </w:pPr>
            <w:hyperlink w:anchor="page39">
              <w:r>
                <w:rPr>
                  <w:rFonts w:ascii="Arial" w:cs="Arial" w:eastAsia="Arial" w:hAnsi="Arial"/>
                  <w:sz w:val="16"/>
                  <w:szCs w:val="16"/>
                  <w:color w:val="auto"/>
                </w:rPr>
                <w:t>38</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40">
              <w:r>
                <w:rPr>
                  <w:rFonts w:ascii="Arial" w:cs="Arial" w:eastAsia="Arial" w:hAnsi="Arial"/>
                  <w:sz w:val="16"/>
                  <w:szCs w:val="16"/>
                  <w:color w:val="auto"/>
                </w:rPr>
                <w:t>Grants of Plan Based Awards in 2021</w:t>
              </w:r>
            </w:hyperlink>
          </w:p>
        </w:tc>
        <w:tc>
          <w:tcPr>
            <w:tcW w:w="2020" w:type="dxa"/>
            <w:vAlign w:val="bottom"/>
          </w:tcPr>
          <w:p>
            <w:pPr>
              <w:jc w:val="right"/>
              <w:spacing w:after="0"/>
              <w:rPr>
                <w:rFonts w:ascii="Arial" w:cs="Arial" w:eastAsia="Arial" w:hAnsi="Arial"/>
                <w:sz w:val="16"/>
                <w:szCs w:val="16"/>
                <w:color w:val="auto"/>
              </w:rPr>
            </w:pPr>
            <w:hyperlink w:anchor="page40">
              <w:r>
                <w:rPr>
                  <w:rFonts w:ascii="Arial" w:cs="Arial" w:eastAsia="Arial" w:hAnsi="Arial"/>
                  <w:sz w:val="16"/>
                  <w:szCs w:val="16"/>
                  <w:color w:val="auto"/>
                </w:rPr>
                <w:t>39</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41">
              <w:r>
                <w:rPr>
                  <w:rFonts w:ascii="Arial" w:cs="Arial" w:eastAsia="Arial" w:hAnsi="Arial"/>
                  <w:sz w:val="16"/>
                  <w:szCs w:val="16"/>
                  <w:color w:val="auto"/>
                </w:rPr>
                <w:t>Outstanding Equity Awards at December 31, 2021</w:t>
              </w:r>
            </w:hyperlink>
          </w:p>
        </w:tc>
        <w:tc>
          <w:tcPr>
            <w:tcW w:w="2020" w:type="dxa"/>
            <w:vAlign w:val="bottom"/>
          </w:tcPr>
          <w:p>
            <w:pPr>
              <w:jc w:val="right"/>
              <w:spacing w:after="0"/>
              <w:rPr>
                <w:rFonts w:ascii="Arial" w:cs="Arial" w:eastAsia="Arial" w:hAnsi="Arial"/>
                <w:sz w:val="16"/>
                <w:szCs w:val="16"/>
                <w:color w:val="auto"/>
              </w:rPr>
            </w:pPr>
            <w:hyperlink w:anchor="page41">
              <w:r>
                <w:rPr>
                  <w:rFonts w:ascii="Arial" w:cs="Arial" w:eastAsia="Arial" w:hAnsi="Arial"/>
                  <w:sz w:val="16"/>
                  <w:szCs w:val="16"/>
                  <w:color w:val="auto"/>
                </w:rPr>
                <w:t>40</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42">
              <w:r>
                <w:rPr>
                  <w:rFonts w:ascii="Arial" w:cs="Arial" w:eastAsia="Arial" w:hAnsi="Arial"/>
                  <w:sz w:val="16"/>
                  <w:szCs w:val="16"/>
                  <w:color w:val="auto"/>
                </w:rPr>
                <w:t>2021 Option Exercises and Stock Vested</w:t>
              </w:r>
            </w:hyperlink>
          </w:p>
        </w:tc>
        <w:tc>
          <w:tcPr>
            <w:tcW w:w="2020" w:type="dxa"/>
            <w:vAlign w:val="bottom"/>
          </w:tcPr>
          <w:p>
            <w:pPr>
              <w:jc w:val="right"/>
              <w:spacing w:after="0"/>
              <w:rPr>
                <w:rFonts w:ascii="Arial" w:cs="Arial" w:eastAsia="Arial" w:hAnsi="Arial"/>
                <w:sz w:val="16"/>
                <w:szCs w:val="16"/>
                <w:color w:val="auto"/>
              </w:rPr>
            </w:pPr>
            <w:hyperlink w:anchor="page42">
              <w:r>
                <w:rPr>
                  <w:rFonts w:ascii="Arial" w:cs="Arial" w:eastAsia="Arial" w:hAnsi="Arial"/>
                  <w:sz w:val="16"/>
                  <w:szCs w:val="16"/>
                  <w:color w:val="auto"/>
                </w:rPr>
                <w:t>41</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42">
              <w:r>
                <w:rPr>
                  <w:rFonts w:ascii="Arial" w:cs="Arial" w:eastAsia="Arial" w:hAnsi="Arial"/>
                  <w:sz w:val="16"/>
                  <w:szCs w:val="16"/>
                  <w:color w:val="auto"/>
                </w:rPr>
                <w:t>Management Employment &amp; Separation Agreements</w:t>
              </w:r>
            </w:hyperlink>
          </w:p>
        </w:tc>
        <w:tc>
          <w:tcPr>
            <w:tcW w:w="2020" w:type="dxa"/>
            <w:vAlign w:val="bottom"/>
          </w:tcPr>
          <w:p>
            <w:pPr>
              <w:jc w:val="right"/>
              <w:spacing w:after="0"/>
              <w:rPr>
                <w:rFonts w:ascii="Arial" w:cs="Arial" w:eastAsia="Arial" w:hAnsi="Arial"/>
                <w:sz w:val="16"/>
                <w:szCs w:val="16"/>
                <w:color w:val="auto"/>
              </w:rPr>
            </w:pPr>
            <w:hyperlink w:anchor="page42">
              <w:r>
                <w:rPr>
                  <w:rFonts w:ascii="Arial" w:cs="Arial" w:eastAsia="Arial" w:hAnsi="Arial"/>
                  <w:sz w:val="16"/>
                  <w:szCs w:val="16"/>
                  <w:color w:val="auto"/>
                </w:rPr>
                <w:t>41</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44">
              <w:r>
                <w:rPr>
                  <w:rFonts w:ascii="Arial" w:cs="Arial" w:eastAsia="Arial" w:hAnsi="Arial"/>
                  <w:sz w:val="16"/>
                  <w:szCs w:val="16"/>
                  <w:color w:val="auto"/>
                </w:rPr>
                <w:t>Severance Plan</w:t>
              </w:r>
            </w:hyperlink>
          </w:p>
        </w:tc>
        <w:tc>
          <w:tcPr>
            <w:tcW w:w="2020" w:type="dxa"/>
            <w:vAlign w:val="bottom"/>
          </w:tcPr>
          <w:p>
            <w:pPr>
              <w:jc w:val="right"/>
              <w:spacing w:after="0"/>
              <w:rPr>
                <w:rFonts w:ascii="Arial" w:cs="Arial" w:eastAsia="Arial" w:hAnsi="Arial"/>
                <w:sz w:val="16"/>
                <w:szCs w:val="16"/>
                <w:color w:val="auto"/>
              </w:rPr>
            </w:pPr>
            <w:hyperlink w:anchor="page44">
              <w:r>
                <w:rPr>
                  <w:rFonts w:ascii="Arial" w:cs="Arial" w:eastAsia="Arial" w:hAnsi="Arial"/>
                  <w:sz w:val="16"/>
                  <w:szCs w:val="16"/>
                  <w:color w:val="auto"/>
                </w:rPr>
                <w:t>43</w:t>
              </w:r>
            </w:hyperlink>
          </w:p>
        </w:tc>
      </w:tr>
      <w:tr>
        <w:trPr>
          <w:trHeight w:val="195"/>
        </w:trPr>
        <w:tc>
          <w:tcPr>
            <w:tcW w:w="9040" w:type="dxa"/>
            <w:vAlign w:val="bottom"/>
          </w:tcPr>
          <w:p>
            <w:pPr>
              <w:ind w:left="180"/>
              <w:spacing w:after="0"/>
              <w:rPr>
                <w:rFonts w:ascii="Arial" w:cs="Arial" w:eastAsia="Arial" w:hAnsi="Arial"/>
                <w:sz w:val="16"/>
                <w:szCs w:val="16"/>
                <w:color w:val="auto"/>
              </w:rPr>
            </w:pPr>
            <w:hyperlink w:anchor="page45">
              <w:r>
                <w:rPr>
                  <w:rFonts w:ascii="Arial" w:cs="Arial" w:eastAsia="Arial" w:hAnsi="Arial"/>
                  <w:sz w:val="16"/>
                  <w:szCs w:val="16"/>
                  <w:color w:val="auto"/>
                </w:rPr>
                <w:t>Potential Payments Upon Termination or Change in Control</w:t>
              </w:r>
            </w:hyperlink>
          </w:p>
        </w:tc>
        <w:tc>
          <w:tcPr>
            <w:tcW w:w="2020" w:type="dxa"/>
            <w:vAlign w:val="bottom"/>
          </w:tcPr>
          <w:p>
            <w:pPr>
              <w:jc w:val="right"/>
              <w:spacing w:after="0"/>
              <w:rPr>
                <w:rFonts w:ascii="Arial" w:cs="Arial" w:eastAsia="Arial" w:hAnsi="Arial"/>
                <w:sz w:val="16"/>
                <w:szCs w:val="16"/>
                <w:color w:val="auto"/>
              </w:rPr>
            </w:pPr>
            <w:hyperlink w:anchor="page45">
              <w:r>
                <w:rPr>
                  <w:rFonts w:ascii="Arial" w:cs="Arial" w:eastAsia="Arial" w:hAnsi="Arial"/>
                  <w:sz w:val="16"/>
                  <w:szCs w:val="16"/>
                  <w:color w:val="auto"/>
                </w:rPr>
                <w:t>44</w:t>
              </w:r>
            </w:hyperlink>
          </w:p>
        </w:tc>
      </w:tr>
      <w:tr>
        <w:trPr>
          <w:trHeight w:val="371"/>
        </w:trPr>
        <w:tc>
          <w:tcPr>
            <w:tcW w:w="9040" w:type="dxa"/>
            <w:vAlign w:val="bottom"/>
          </w:tcPr>
          <w:p>
            <w:pPr>
              <w:spacing w:after="0"/>
              <w:rPr>
                <w:rFonts w:ascii="Arial" w:cs="Arial" w:eastAsia="Arial" w:hAnsi="Arial"/>
                <w:sz w:val="18"/>
                <w:szCs w:val="18"/>
                <w:b w:val="1"/>
                <w:bCs w:val="1"/>
                <w:color w:val="04568A"/>
              </w:rPr>
            </w:pPr>
            <w:hyperlink w:anchor="page47">
              <w:r>
                <w:rPr>
                  <w:rFonts w:ascii="Arial" w:cs="Arial" w:eastAsia="Arial" w:hAnsi="Arial"/>
                  <w:sz w:val="18"/>
                  <w:szCs w:val="18"/>
                  <w:b w:val="1"/>
                  <w:bCs w:val="1"/>
                  <w:color w:val="04568A"/>
                </w:rPr>
                <w:t>Pay Ratio Disclosure</w:t>
              </w:r>
            </w:hyperlink>
          </w:p>
        </w:tc>
        <w:tc>
          <w:tcPr>
            <w:tcW w:w="2020" w:type="dxa"/>
            <w:vAlign w:val="bottom"/>
          </w:tcPr>
          <w:p>
            <w:pPr>
              <w:jc w:val="right"/>
              <w:spacing w:after="0"/>
              <w:rPr>
                <w:rFonts w:ascii="Arial" w:cs="Arial" w:eastAsia="Arial" w:hAnsi="Arial"/>
                <w:sz w:val="18"/>
                <w:szCs w:val="18"/>
                <w:b w:val="1"/>
                <w:bCs w:val="1"/>
                <w:color w:val="auto"/>
              </w:rPr>
            </w:pPr>
            <w:hyperlink w:anchor="page47">
              <w:r>
                <w:rPr>
                  <w:rFonts w:ascii="Arial" w:cs="Arial" w:eastAsia="Arial" w:hAnsi="Arial"/>
                  <w:sz w:val="18"/>
                  <w:szCs w:val="18"/>
                  <w:b w:val="1"/>
                  <w:bCs w:val="1"/>
                  <w:color w:val="auto"/>
                </w:rPr>
                <w:t>46</w:t>
              </w:r>
            </w:hyperlink>
          </w:p>
        </w:tc>
      </w:tr>
      <w:tr>
        <w:trPr>
          <w:trHeight w:val="393"/>
        </w:trPr>
        <w:tc>
          <w:tcPr>
            <w:tcW w:w="9040" w:type="dxa"/>
            <w:vAlign w:val="bottom"/>
          </w:tcPr>
          <w:p>
            <w:pPr>
              <w:spacing w:after="0"/>
              <w:rPr>
                <w:rFonts w:ascii="Arial" w:cs="Arial" w:eastAsia="Arial" w:hAnsi="Arial"/>
                <w:sz w:val="18"/>
                <w:szCs w:val="18"/>
                <w:b w:val="1"/>
                <w:bCs w:val="1"/>
                <w:color w:val="04568A"/>
              </w:rPr>
            </w:pPr>
            <w:hyperlink w:anchor="page48">
              <w:r>
                <w:rPr>
                  <w:rFonts w:ascii="Arial" w:cs="Arial" w:eastAsia="Arial" w:hAnsi="Arial"/>
                  <w:sz w:val="18"/>
                  <w:szCs w:val="18"/>
                  <w:b w:val="1"/>
                  <w:bCs w:val="1"/>
                  <w:color w:val="04568A"/>
                </w:rPr>
                <w:t xml:space="preserve">Proposal 2 </w:t>
              </w:r>
              <w:r>
                <w:rPr>
                  <w:rFonts w:ascii="Arial" w:cs="Arial" w:eastAsia="Arial" w:hAnsi="Arial"/>
                  <w:sz w:val="18"/>
                  <w:szCs w:val="18"/>
                  <w:b w:val="1"/>
                  <w:bCs w:val="1"/>
                  <w:color w:val="000000"/>
                </w:rPr>
                <w:t>Advisory Vote on Executive Compensation</w:t>
              </w:r>
            </w:hyperlink>
          </w:p>
        </w:tc>
        <w:tc>
          <w:tcPr>
            <w:tcW w:w="2020" w:type="dxa"/>
            <w:vAlign w:val="bottom"/>
          </w:tcPr>
          <w:p>
            <w:pPr>
              <w:jc w:val="right"/>
              <w:spacing w:after="0"/>
              <w:rPr>
                <w:rFonts w:ascii="Arial" w:cs="Arial" w:eastAsia="Arial" w:hAnsi="Arial"/>
                <w:sz w:val="18"/>
                <w:szCs w:val="18"/>
                <w:b w:val="1"/>
                <w:bCs w:val="1"/>
                <w:color w:val="auto"/>
              </w:rPr>
            </w:pPr>
            <w:hyperlink w:anchor="page48">
              <w:r>
                <w:rPr>
                  <w:rFonts w:ascii="Arial" w:cs="Arial" w:eastAsia="Arial" w:hAnsi="Arial"/>
                  <w:sz w:val="18"/>
                  <w:szCs w:val="18"/>
                  <w:b w:val="1"/>
                  <w:bCs w:val="1"/>
                  <w:color w:val="auto"/>
                </w:rPr>
                <w:t>47</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48">
              <w:r>
                <w:rPr>
                  <w:rFonts w:ascii="Arial" w:cs="Arial" w:eastAsia="Arial" w:hAnsi="Arial"/>
                  <w:sz w:val="16"/>
                  <w:szCs w:val="16"/>
                  <w:color w:val="auto"/>
                </w:rPr>
                <w:t>Introduction</w:t>
              </w:r>
            </w:hyperlink>
          </w:p>
        </w:tc>
        <w:tc>
          <w:tcPr>
            <w:tcW w:w="2020" w:type="dxa"/>
            <w:vAlign w:val="bottom"/>
          </w:tcPr>
          <w:p>
            <w:pPr>
              <w:jc w:val="right"/>
              <w:spacing w:after="0"/>
              <w:rPr>
                <w:rFonts w:ascii="Arial" w:cs="Arial" w:eastAsia="Arial" w:hAnsi="Arial"/>
                <w:sz w:val="16"/>
                <w:szCs w:val="16"/>
                <w:color w:val="auto"/>
              </w:rPr>
            </w:pPr>
            <w:hyperlink w:anchor="page48">
              <w:r>
                <w:rPr>
                  <w:rFonts w:ascii="Arial" w:cs="Arial" w:eastAsia="Arial" w:hAnsi="Arial"/>
                  <w:sz w:val="16"/>
                  <w:szCs w:val="16"/>
                  <w:color w:val="auto"/>
                </w:rPr>
                <w:t>47</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48">
              <w:r>
                <w:rPr>
                  <w:rFonts w:ascii="Arial" w:cs="Arial" w:eastAsia="Arial" w:hAnsi="Arial"/>
                  <w:sz w:val="16"/>
                  <w:szCs w:val="16"/>
                  <w:color w:val="auto"/>
                </w:rPr>
                <w:t>Required Vote</w:t>
              </w:r>
            </w:hyperlink>
          </w:p>
        </w:tc>
        <w:tc>
          <w:tcPr>
            <w:tcW w:w="2020" w:type="dxa"/>
            <w:vAlign w:val="bottom"/>
          </w:tcPr>
          <w:p>
            <w:pPr>
              <w:jc w:val="right"/>
              <w:spacing w:after="0"/>
              <w:rPr>
                <w:rFonts w:ascii="Arial" w:cs="Arial" w:eastAsia="Arial" w:hAnsi="Arial"/>
                <w:sz w:val="16"/>
                <w:szCs w:val="16"/>
                <w:color w:val="auto"/>
              </w:rPr>
            </w:pPr>
            <w:hyperlink w:anchor="page48">
              <w:r>
                <w:rPr>
                  <w:rFonts w:ascii="Arial" w:cs="Arial" w:eastAsia="Arial" w:hAnsi="Arial"/>
                  <w:sz w:val="16"/>
                  <w:szCs w:val="16"/>
                  <w:color w:val="auto"/>
                </w:rPr>
                <w:t>47</w:t>
              </w:r>
            </w:hyperlink>
          </w:p>
        </w:tc>
      </w:tr>
      <w:tr>
        <w:trPr>
          <w:trHeight w:val="195"/>
        </w:trPr>
        <w:tc>
          <w:tcPr>
            <w:tcW w:w="9040" w:type="dxa"/>
            <w:vAlign w:val="bottom"/>
          </w:tcPr>
          <w:p>
            <w:pPr>
              <w:ind w:left="180"/>
              <w:spacing w:after="0"/>
              <w:rPr>
                <w:rFonts w:ascii="Arial" w:cs="Arial" w:eastAsia="Arial" w:hAnsi="Arial"/>
                <w:sz w:val="16"/>
                <w:szCs w:val="16"/>
                <w:color w:val="auto"/>
              </w:rPr>
            </w:pPr>
            <w:hyperlink w:anchor="page48">
              <w:r>
                <w:rPr>
                  <w:rFonts w:ascii="Arial" w:cs="Arial" w:eastAsia="Arial" w:hAnsi="Arial"/>
                  <w:sz w:val="16"/>
                  <w:szCs w:val="16"/>
                  <w:color w:val="auto"/>
                </w:rPr>
                <w:t>Recommendation of the Board of Directors</w:t>
              </w:r>
            </w:hyperlink>
          </w:p>
        </w:tc>
        <w:tc>
          <w:tcPr>
            <w:tcW w:w="2020" w:type="dxa"/>
            <w:vAlign w:val="bottom"/>
          </w:tcPr>
          <w:p>
            <w:pPr>
              <w:jc w:val="right"/>
              <w:spacing w:after="0"/>
              <w:rPr>
                <w:rFonts w:ascii="Arial" w:cs="Arial" w:eastAsia="Arial" w:hAnsi="Arial"/>
                <w:sz w:val="16"/>
                <w:szCs w:val="16"/>
                <w:color w:val="auto"/>
              </w:rPr>
            </w:pPr>
            <w:hyperlink w:anchor="page48">
              <w:r>
                <w:rPr>
                  <w:rFonts w:ascii="Arial" w:cs="Arial" w:eastAsia="Arial" w:hAnsi="Arial"/>
                  <w:sz w:val="16"/>
                  <w:szCs w:val="16"/>
                  <w:color w:val="auto"/>
                </w:rPr>
                <w:t>47</w:t>
              </w:r>
            </w:hyperlink>
          </w:p>
        </w:tc>
      </w:tr>
      <w:tr>
        <w:trPr>
          <w:trHeight w:val="359"/>
        </w:trPr>
        <w:tc>
          <w:tcPr>
            <w:tcW w:w="9040" w:type="dxa"/>
            <w:vAlign w:val="bottom"/>
          </w:tcPr>
          <w:p>
            <w:pPr>
              <w:spacing w:after="0"/>
              <w:rPr>
                <w:rFonts w:ascii="Arial" w:cs="Arial" w:eastAsia="Arial" w:hAnsi="Arial"/>
                <w:sz w:val="18"/>
                <w:szCs w:val="18"/>
                <w:b w:val="1"/>
                <w:bCs w:val="1"/>
                <w:color w:val="04568A"/>
              </w:rPr>
            </w:pPr>
            <w:hyperlink w:anchor="page49">
              <w:r>
                <w:rPr>
                  <w:rFonts w:ascii="Arial" w:cs="Arial" w:eastAsia="Arial" w:hAnsi="Arial"/>
                  <w:sz w:val="18"/>
                  <w:szCs w:val="18"/>
                  <w:b w:val="1"/>
                  <w:bCs w:val="1"/>
                  <w:color w:val="04568A"/>
                </w:rPr>
                <w:t>Security Ownership of Certain Beneficial Owners and Management</w:t>
              </w:r>
            </w:hyperlink>
          </w:p>
        </w:tc>
        <w:tc>
          <w:tcPr>
            <w:tcW w:w="2020" w:type="dxa"/>
            <w:vAlign w:val="bottom"/>
          </w:tcPr>
          <w:p>
            <w:pPr>
              <w:jc w:val="right"/>
              <w:spacing w:after="0"/>
              <w:rPr>
                <w:rFonts w:ascii="Arial" w:cs="Arial" w:eastAsia="Arial" w:hAnsi="Arial"/>
                <w:sz w:val="18"/>
                <w:szCs w:val="18"/>
                <w:b w:val="1"/>
                <w:bCs w:val="1"/>
                <w:color w:val="auto"/>
              </w:rPr>
            </w:pPr>
            <w:hyperlink w:anchor="page49">
              <w:r>
                <w:rPr>
                  <w:rFonts w:ascii="Arial" w:cs="Arial" w:eastAsia="Arial" w:hAnsi="Arial"/>
                  <w:sz w:val="18"/>
                  <w:szCs w:val="18"/>
                  <w:b w:val="1"/>
                  <w:bCs w:val="1"/>
                  <w:color w:val="auto"/>
                </w:rPr>
                <w:t>48</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49">
              <w:r>
                <w:rPr>
                  <w:rFonts w:ascii="Arial" w:cs="Arial" w:eastAsia="Arial" w:hAnsi="Arial"/>
                  <w:sz w:val="16"/>
                  <w:szCs w:val="16"/>
                  <w:color w:val="auto"/>
                </w:rPr>
                <w:t>Beneficial Ownership</w:t>
              </w:r>
            </w:hyperlink>
          </w:p>
        </w:tc>
        <w:tc>
          <w:tcPr>
            <w:tcW w:w="2020" w:type="dxa"/>
            <w:vAlign w:val="bottom"/>
          </w:tcPr>
          <w:p>
            <w:pPr>
              <w:jc w:val="right"/>
              <w:spacing w:after="0"/>
              <w:rPr>
                <w:rFonts w:ascii="Arial" w:cs="Arial" w:eastAsia="Arial" w:hAnsi="Arial"/>
                <w:sz w:val="16"/>
                <w:szCs w:val="16"/>
                <w:color w:val="auto"/>
              </w:rPr>
            </w:pPr>
            <w:hyperlink w:anchor="page49">
              <w:r>
                <w:rPr>
                  <w:rFonts w:ascii="Arial" w:cs="Arial" w:eastAsia="Arial" w:hAnsi="Arial"/>
                  <w:sz w:val="16"/>
                  <w:szCs w:val="16"/>
                  <w:color w:val="auto"/>
                </w:rPr>
                <w:t>48</w:t>
              </w:r>
            </w:hyperlink>
          </w:p>
        </w:tc>
      </w:tr>
      <w:tr>
        <w:trPr>
          <w:trHeight w:val="195"/>
        </w:trPr>
        <w:tc>
          <w:tcPr>
            <w:tcW w:w="9040" w:type="dxa"/>
            <w:vAlign w:val="bottom"/>
          </w:tcPr>
          <w:p>
            <w:pPr>
              <w:ind w:left="180"/>
              <w:spacing w:after="0"/>
              <w:rPr>
                <w:rFonts w:ascii="Arial" w:cs="Arial" w:eastAsia="Arial" w:hAnsi="Arial"/>
                <w:sz w:val="16"/>
                <w:szCs w:val="16"/>
                <w:color w:val="auto"/>
              </w:rPr>
            </w:pPr>
            <w:hyperlink w:anchor="page51">
              <w:r>
                <w:rPr>
                  <w:rFonts w:ascii="Arial" w:cs="Arial" w:eastAsia="Arial" w:hAnsi="Arial"/>
                  <w:sz w:val="16"/>
                  <w:szCs w:val="16"/>
                  <w:color w:val="auto"/>
                </w:rPr>
                <w:t>Delinquent Section 16(a) Reports</w:t>
              </w:r>
            </w:hyperlink>
          </w:p>
        </w:tc>
        <w:tc>
          <w:tcPr>
            <w:tcW w:w="2020" w:type="dxa"/>
            <w:vAlign w:val="bottom"/>
          </w:tcPr>
          <w:p>
            <w:pPr>
              <w:jc w:val="right"/>
              <w:spacing w:after="0"/>
              <w:rPr>
                <w:rFonts w:ascii="Arial" w:cs="Arial" w:eastAsia="Arial" w:hAnsi="Arial"/>
                <w:sz w:val="16"/>
                <w:szCs w:val="16"/>
                <w:color w:val="auto"/>
              </w:rPr>
            </w:pPr>
            <w:hyperlink w:anchor="page51">
              <w:r>
                <w:rPr>
                  <w:rFonts w:ascii="Arial" w:cs="Arial" w:eastAsia="Arial" w:hAnsi="Arial"/>
                  <w:sz w:val="16"/>
                  <w:szCs w:val="16"/>
                  <w:color w:val="auto"/>
                </w:rPr>
                <w:t>50</w:t>
              </w:r>
            </w:hyperlink>
          </w:p>
        </w:tc>
      </w:tr>
      <w:tr>
        <w:trPr>
          <w:trHeight w:val="359"/>
        </w:trPr>
        <w:tc>
          <w:tcPr>
            <w:tcW w:w="9040" w:type="dxa"/>
            <w:vAlign w:val="bottom"/>
          </w:tcPr>
          <w:p>
            <w:pPr>
              <w:spacing w:after="0"/>
              <w:rPr>
                <w:rFonts w:ascii="Arial" w:cs="Arial" w:eastAsia="Arial" w:hAnsi="Arial"/>
                <w:sz w:val="18"/>
                <w:szCs w:val="18"/>
                <w:b w:val="1"/>
                <w:bCs w:val="1"/>
                <w:color w:val="04568A"/>
              </w:rPr>
            </w:pPr>
            <w:hyperlink w:anchor="page52">
              <w:r>
                <w:rPr>
                  <w:rFonts w:ascii="Arial" w:cs="Arial" w:eastAsia="Arial" w:hAnsi="Arial"/>
                  <w:sz w:val="18"/>
                  <w:szCs w:val="18"/>
                  <w:b w:val="1"/>
                  <w:bCs w:val="1"/>
                  <w:color w:val="04568A"/>
                </w:rPr>
                <w:t>Certain Related Parties and Related Party Transactions</w:t>
              </w:r>
            </w:hyperlink>
          </w:p>
        </w:tc>
        <w:tc>
          <w:tcPr>
            <w:tcW w:w="2020" w:type="dxa"/>
            <w:vAlign w:val="bottom"/>
          </w:tcPr>
          <w:p>
            <w:pPr>
              <w:jc w:val="right"/>
              <w:spacing w:after="0"/>
              <w:rPr>
                <w:rFonts w:ascii="Arial" w:cs="Arial" w:eastAsia="Arial" w:hAnsi="Arial"/>
                <w:sz w:val="18"/>
                <w:szCs w:val="18"/>
                <w:b w:val="1"/>
                <w:bCs w:val="1"/>
                <w:color w:val="auto"/>
              </w:rPr>
            </w:pPr>
            <w:hyperlink w:anchor="page52">
              <w:r>
                <w:rPr>
                  <w:rFonts w:ascii="Arial" w:cs="Arial" w:eastAsia="Arial" w:hAnsi="Arial"/>
                  <w:sz w:val="18"/>
                  <w:szCs w:val="18"/>
                  <w:b w:val="1"/>
                  <w:bCs w:val="1"/>
                  <w:color w:val="auto"/>
                </w:rPr>
                <w:t>51</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52">
              <w:r>
                <w:rPr>
                  <w:rFonts w:ascii="Arial" w:cs="Arial" w:eastAsia="Arial" w:hAnsi="Arial"/>
                  <w:sz w:val="16"/>
                  <w:szCs w:val="16"/>
                  <w:color w:val="auto"/>
                </w:rPr>
                <w:t>Review and Approval of Related Party Transactions</w:t>
              </w:r>
            </w:hyperlink>
          </w:p>
        </w:tc>
        <w:tc>
          <w:tcPr>
            <w:tcW w:w="2020" w:type="dxa"/>
            <w:vAlign w:val="bottom"/>
          </w:tcPr>
          <w:p>
            <w:pPr>
              <w:jc w:val="right"/>
              <w:spacing w:after="0"/>
              <w:rPr>
                <w:rFonts w:ascii="Arial" w:cs="Arial" w:eastAsia="Arial" w:hAnsi="Arial"/>
                <w:sz w:val="16"/>
                <w:szCs w:val="16"/>
                <w:color w:val="auto"/>
              </w:rPr>
            </w:pPr>
            <w:hyperlink w:anchor="page52">
              <w:r>
                <w:rPr>
                  <w:rFonts w:ascii="Arial" w:cs="Arial" w:eastAsia="Arial" w:hAnsi="Arial"/>
                  <w:sz w:val="16"/>
                  <w:szCs w:val="16"/>
                  <w:color w:val="auto"/>
                </w:rPr>
                <w:t>51</w:t>
              </w:r>
            </w:hyperlink>
          </w:p>
        </w:tc>
      </w:tr>
      <w:tr>
        <w:trPr>
          <w:trHeight w:val="195"/>
        </w:trPr>
        <w:tc>
          <w:tcPr>
            <w:tcW w:w="9040" w:type="dxa"/>
            <w:vAlign w:val="bottom"/>
          </w:tcPr>
          <w:p>
            <w:pPr>
              <w:ind w:left="180"/>
              <w:spacing w:after="0"/>
              <w:rPr>
                <w:rFonts w:ascii="Arial" w:cs="Arial" w:eastAsia="Arial" w:hAnsi="Arial"/>
                <w:sz w:val="16"/>
                <w:szCs w:val="16"/>
                <w:color w:val="auto"/>
              </w:rPr>
            </w:pPr>
            <w:hyperlink w:anchor="page52">
              <w:r>
                <w:rPr>
                  <w:rFonts w:ascii="Arial" w:cs="Arial" w:eastAsia="Arial" w:hAnsi="Arial"/>
                  <w:sz w:val="16"/>
                  <w:szCs w:val="16"/>
                  <w:color w:val="auto"/>
                </w:rPr>
                <w:t>Related Party Transactions</w:t>
              </w:r>
            </w:hyperlink>
          </w:p>
        </w:tc>
        <w:tc>
          <w:tcPr>
            <w:tcW w:w="2020" w:type="dxa"/>
            <w:vAlign w:val="bottom"/>
          </w:tcPr>
          <w:p>
            <w:pPr>
              <w:jc w:val="right"/>
              <w:spacing w:after="0"/>
              <w:rPr>
                <w:rFonts w:ascii="Arial" w:cs="Arial" w:eastAsia="Arial" w:hAnsi="Arial"/>
                <w:sz w:val="16"/>
                <w:szCs w:val="16"/>
                <w:color w:val="auto"/>
              </w:rPr>
            </w:pPr>
            <w:hyperlink w:anchor="page52">
              <w:r>
                <w:rPr>
                  <w:rFonts w:ascii="Arial" w:cs="Arial" w:eastAsia="Arial" w:hAnsi="Arial"/>
                  <w:sz w:val="16"/>
                  <w:szCs w:val="16"/>
                  <w:color w:val="auto"/>
                </w:rPr>
                <w:t>51</w:t>
              </w:r>
            </w:hyperlink>
          </w:p>
        </w:tc>
      </w:tr>
      <w:tr>
        <w:trPr>
          <w:trHeight w:val="370"/>
        </w:trPr>
        <w:tc>
          <w:tcPr>
            <w:tcW w:w="9040" w:type="dxa"/>
            <w:vAlign w:val="bottom"/>
          </w:tcPr>
          <w:p>
            <w:pPr>
              <w:spacing w:after="0"/>
              <w:rPr>
                <w:rFonts w:ascii="Arial" w:cs="Arial" w:eastAsia="Arial" w:hAnsi="Arial"/>
                <w:sz w:val="18"/>
                <w:szCs w:val="18"/>
                <w:b w:val="1"/>
                <w:bCs w:val="1"/>
                <w:color w:val="04568A"/>
              </w:rPr>
            </w:pPr>
            <w:hyperlink w:anchor="page59">
              <w:r>
                <w:rPr>
                  <w:rFonts w:ascii="Arial" w:cs="Arial" w:eastAsia="Arial" w:hAnsi="Arial"/>
                  <w:sz w:val="18"/>
                  <w:szCs w:val="18"/>
                  <w:b w:val="1"/>
                  <w:bCs w:val="1"/>
                  <w:color w:val="04568A"/>
                </w:rPr>
                <w:t>Report of the Audit Committee</w:t>
              </w:r>
            </w:hyperlink>
          </w:p>
        </w:tc>
        <w:tc>
          <w:tcPr>
            <w:tcW w:w="2020" w:type="dxa"/>
            <w:vAlign w:val="bottom"/>
          </w:tcPr>
          <w:p>
            <w:pPr>
              <w:jc w:val="right"/>
              <w:spacing w:after="0"/>
              <w:rPr>
                <w:rFonts w:ascii="Arial" w:cs="Arial" w:eastAsia="Arial" w:hAnsi="Arial"/>
                <w:sz w:val="18"/>
                <w:szCs w:val="18"/>
                <w:b w:val="1"/>
                <w:bCs w:val="1"/>
                <w:color w:val="auto"/>
              </w:rPr>
            </w:pPr>
            <w:hyperlink w:anchor="page59">
              <w:r>
                <w:rPr>
                  <w:rFonts w:ascii="Arial" w:cs="Arial" w:eastAsia="Arial" w:hAnsi="Arial"/>
                  <w:sz w:val="18"/>
                  <w:szCs w:val="18"/>
                  <w:b w:val="1"/>
                  <w:bCs w:val="1"/>
                  <w:color w:val="auto"/>
                </w:rPr>
                <w:t>58</w:t>
              </w:r>
            </w:hyperlink>
          </w:p>
        </w:tc>
      </w:tr>
      <w:tr>
        <w:trPr>
          <w:trHeight w:val="393"/>
        </w:trPr>
        <w:tc>
          <w:tcPr>
            <w:tcW w:w="9040" w:type="dxa"/>
            <w:vAlign w:val="bottom"/>
          </w:tcPr>
          <w:p>
            <w:pPr>
              <w:spacing w:after="0"/>
              <w:rPr>
                <w:rFonts w:ascii="Arial" w:cs="Arial" w:eastAsia="Arial" w:hAnsi="Arial"/>
                <w:sz w:val="18"/>
                <w:szCs w:val="18"/>
                <w:b w:val="1"/>
                <w:bCs w:val="1"/>
                <w:color w:val="04568A"/>
              </w:rPr>
            </w:pPr>
            <w:hyperlink w:anchor="page60">
              <w:r>
                <w:rPr>
                  <w:rFonts w:ascii="Arial" w:cs="Arial" w:eastAsia="Arial" w:hAnsi="Arial"/>
                  <w:sz w:val="18"/>
                  <w:szCs w:val="18"/>
                  <w:b w:val="1"/>
                  <w:bCs w:val="1"/>
                  <w:color w:val="04568A"/>
                </w:rPr>
                <w:t xml:space="preserve">Proposal 3 </w:t>
              </w:r>
              <w:r>
                <w:rPr>
                  <w:rFonts w:ascii="Arial" w:cs="Arial" w:eastAsia="Arial" w:hAnsi="Arial"/>
                  <w:sz w:val="18"/>
                  <w:szCs w:val="18"/>
                  <w:b w:val="1"/>
                  <w:bCs w:val="1"/>
                  <w:color w:val="000000"/>
                </w:rPr>
                <w:t>Appointment of Independent Registered Public Accounting Firm</w:t>
              </w:r>
            </w:hyperlink>
          </w:p>
        </w:tc>
        <w:tc>
          <w:tcPr>
            <w:tcW w:w="2020" w:type="dxa"/>
            <w:vAlign w:val="bottom"/>
          </w:tcPr>
          <w:p>
            <w:pPr>
              <w:jc w:val="right"/>
              <w:spacing w:after="0"/>
              <w:rPr>
                <w:rFonts w:ascii="Arial" w:cs="Arial" w:eastAsia="Arial" w:hAnsi="Arial"/>
                <w:sz w:val="18"/>
                <w:szCs w:val="18"/>
                <w:b w:val="1"/>
                <w:bCs w:val="1"/>
                <w:color w:val="auto"/>
              </w:rPr>
            </w:pPr>
            <w:hyperlink w:anchor="page60">
              <w:r>
                <w:rPr>
                  <w:rFonts w:ascii="Arial" w:cs="Arial" w:eastAsia="Arial" w:hAnsi="Arial"/>
                  <w:sz w:val="18"/>
                  <w:szCs w:val="18"/>
                  <w:b w:val="1"/>
                  <w:bCs w:val="1"/>
                  <w:color w:val="auto"/>
                </w:rPr>
                <w:t>59</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60">
              <w:r>
                <w:rPr>
                  <w:rFonts w:ascii="Arial" w:cs="Arial" w:eastAsia="Arial" w:hAnsi="Arial"/>
                  <w:sz w:val="16"/>
                  <w:szCs w:val="16"/>
                  <w:color w:val="auto"/>
                </w:rPr>
                <w:t>Introduction</w:t>
              </w:r>
            </w:hyperlink>
          </w:p>
        </w:tc>
        <w:tc>
          <w:tcPr>
            <w:tcW w:w="2020" w:type="dxa"/>
            <w:vAlign w:val="bottom"/>
          </w:tcPr>
          <w:p>
            <w:pPr>
              <w:jc w:val="right"/>
              <w:spacing w:after="0"/>
              <w:rPr>
                <w:rFonts w:ascii="Arial" w:cs="Arial" w:eastAsia="Arial" w:hAnsi="Arial"/>
                <w:sz w:val="16"/>
                <w:szCs w:val="16"/>
                <w:color w:val="auto"/>
              </w:rPr>
            </w:pPr>
            <w:hyperlink w:anchor="page60">
              <w:r>
                <w:rPr>
                  <w:rFonts w:ascii="Arial" w:cs="Arial" w:eastAsia="Arial" w:hAnsi="Arial"/>
                  <w:sz w:val="16"/>
                  <w:szCs w:val="16"/>
                  <w:color w:val="auto"/>
                </w:rPr>
                <w:t>59</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60">
              <w:r>
                <w:rPr>
                  <w:rFonts w:ascii="Arial" w:cs="Arial" w:eastAsia="Arial" w:hAnsi="Arial"/>
                  <w:sz w:val="16"/>
                  <w:szCs w:val="16"/>
                  <w:color w:val="auto"/>
                </w:rPr>
                <w:t>Independent Registered Public Accounting Firm Fees</w:t>
              </w:r>
            </w:hyperlink>
          </w:p>
        </w:tc>
        <w:tc>
          <w:tcPr>
            <w:tcW w:w="2020" w:type="dxa"/>
            <w:vAlign w:val="bottom"/>
          </w:tcPr>
          <w:p>
            <w:pPr>
              <w:jc w:val="right"/>
              <w:spacing w:after="0"/>
              <w:rPr>
                <w:rFonts w:ascii="Arial" w:cs="Arial" w:eastAsia="Arial" w:hAnsi="Arial"/>
                <w:sz w:val="16"/>
                <w:szCs w:val="16"/>
                <w:color w:val="auto"/>
              </w:rPr>
            </w:pPr>
            <w:hyperlink w:anchor="page60">
              <w:r>
                <w:rPr>
                  <w:rFonts w:ascii="Arial" w:cs="Arial" w:eastAsia="Arial" w:hAnsi="Arial"/>
                  <w:sz w:val="16"/>
                  <w:szCs w:val="16"/>
                  <w:color w:val="auto"/>
                </w:rPr>
                <w:t>59</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61">
              <w:r>
                <w:rPr>
                  <w:rFonts w:ascii="Arial" w:cs="Arial" w:eastAsia="Arial" w:hAnsi="Arial"/>
                  <w:sz w:val="16"/>
                  <w:szCs w:val="16"/>
                  <w:color w:val="auto"/>
                </w:rPr>
                <w:t>Required Vote</w:t>
              </w:r>
            </w:hyperlink>
          </w:p>
        </w:tc>
        <w:tc>
          <w:tcPr>
            <w:tcW w:w="2020" w:type="dxa"/>
            <w:vAlign w:val="bottom"/>
          </w:tcPr>
          <w:p>
            <w:pPr>
              <w:jc w:val="right"/>
              <w:spacing w:after="0"/>
              <w:rPr>
                <w:rFonts w:ascii="Arial" w:cs="Arial" w:eastAsia="Arial" w:hAnsi="Arial"/>
                <w:sz w:val="16"/>
                <w:szCs w:val="16"/>
                <w:color w:val="auto"/>
              </w:rPr>
            </w:pPr>
            <w:hyperlink w:anchor="page61">
              <w:r>
                <w:rPr>
                  <w:rFonts w:ascii="Arial" w:cs="Arial" w:eastAsia="Arial" w:hAnsi="Arial"/>
                  <w:sz w:val="16"/>
                  <w:szCs w:val="16"/>
                  <w:color w:val="auto"/>
                </w:rPr>
                <w:t>60</w:t>
              </w:r>
            </w:hyperlink>
          </w:p>
        </w:tc>
      </w:tr>
      <w:tr>
        <w:trPr>
          <w:trHeight w:val="195"/>
        </w:trPr>
        <w:tc>
          <w:tcPr>
            <w:tcW w:w="9040" w:type="dxa"/>
            <w:vAlign w:val="bottom"/>
          </w:tcPr>
          <w:p>
            <w:pPr>
              <w:ind w:left="180"/>
              <w:spacing w:after="0"/>
              <w:rPr>
                <w:rFonts w:ascii="Arial" w:cs="Arial" w:eastAsia="Arial" w:hAnsi="Arial"/>
                <w:sz w:val="16"/>
                <w:szCs w:val="16"/>
                <w:color w:val="auto"/>
              </w:rPr>
            </w:pPr>
            <w:hyperlink w:anchor="page61">
              <w:r>
                <w:rPr>
                  <w:rFonts w:ascii="Arial" w:cs="Arial" w:eastAsia="Arial" w:hAnsi="Arial"/>
                  <w:sz w:val="16"/>
                  <w:szCs w:val="16"/>
                  <w:color w:val="auto"/>
                </w:rPr>
                <w:t>Recommendation of the Board of Directors</w:t>
              </w:r>
            </w:hyperlink>
          </w:p>
        </w:tc>
        <w:tc>
          <w:tcPr>
            <w:tcW w:w="2020" w:type="dxa"/>
            <w:vAlign w:val="bottom"/>
          </w:tcPr>
          <w:p>
            <w:pPr>
              <w:jc w:val="right"/>
              <w:spacing w:after="0"/>
              <w:rPr>
                <w:rFonts w:ascii="Arial" w:cs="Arial" w:eastAsia="Arial" w:hAnsi="Arial"/>
                <w:sz w:val="16"/>
                <w:szCs w:val="16"/>
                <w:color w:val="auto"/>
              </w:rPr>
            </w:pPr>
            <w:hyperlink w:anchor="page61">
              <w:r>
                <w:rPr>
                  <w:rFonts w:ascii="Arial" w:cs="Arial" w:eastAsia="Arial" w:hAnsi="Arial"/>
                  <w:sz w:val="16"/>
                  <w:szCs w:val="16"/>
                  <w:color w:val="auto"/>
                </w:rPr>
                <w:t>60</w:t>
              </w:r>
            </w:hyperlink>
          </w:p>
        </w:tc>
      </w:tr>
      <w:tr>
        <w:trPr>
          <w:trHeight w:val="371"/>
        </w:trPr>
        <w:tc>
          <w:tcPr>
            <w:tcW w:w="9040" w:type="dxa"/>
            <w:vAlign w:val="bottom"/>
          </w:tcPr>
          <w:p>
            <w:pPr>
              <w:spacing w:after="0"/>
              <w:rPr>
                <w:rFonts w:ascii="Arial" w:cs="Arial" w:eastAsia="Arial" w:hAnsi="Arial"/>
                <w:sz w:val="18"/>
                <w:szCs w:val="18"/>
                <w:b w:val="1"/>
                <w:bCs w:val="1"/>
                <w:color w:val="04568A"/>
              </w:rPr>
            </w:pPr>
            <w:hyperlink w:anchor="page62">
              <w:r>
                <w:rPr>
                  <w:rFonts w:ascii="Arial" w:cs="Arial" w:eastAsia="Arial" w:hAnsi="Arial"/>
                  <w:sz w:val="18"/>
                  <w:szCs w:val="18"/>
                  <w:b w:val="1"/>
                  <w:bCs w:val="1"/>
                  <w:color w:val="04568A"/>
                </w:rPr>
                <w:t>Other Matters</w:t>
              </w:r>
            </w:hyperlink>
          </w:p>
        </w:tc>
        <w:tc>
          <w:tcPr>
            <w:tcW w:w="2020" w:type="dxa"/>
            <w:vAlign w:val="bottom"/>
          </w:tcPr>
          <w:p>
            <w:pPr>
              <w:jc w:val="right"/>
              <w:spacing w:after="0"/>
              <w:rPr>
                <w:rFonts w:ascii="Arial" w:cs="Arial" w:eastAsia="Arial" w:hAnsi="Arial"/>
                <w:sz w:val="18"/>
                <w:szCs w:val="18"/>
                <w:b w:val="1"/>
                <w:bCs w:val="1"/>
                <w:color w:val="auto"/>
              </w:rPr>
            </w:pPr>
            <w:hyperlink w:anchor="page62">
              <w:r>
                <w:rPr>
                  <w:rFonts w:ascii="Arial" w:cs="Arial" w:eastAsia="Arial" w:hAnsi="Arial"/>
                  <w:sz w:val="18"/>
                  <w:szCs w:val="18"/>
                  <w:b w:val="1"/>
                  <w:bCs w:val="1"/>
                  <w:color w:val="auto"/>
                </w:rPr>
                <w:t>61</w:t>
              </w:r>
            </w:hyperlink>
          </w:p>
        </w:tc>
      </w:tr>
      <w:tr>
        <w:trPr>
          <w:trHeight w:val="405"/>
        </w:trPr>
        <w:tc>
          <w:tcPr>
            <w:tcW w:w="9040" w:type="dxa"/>
            <w:vAlign w:val="bottom"/>
          </w:tcPr>
          <w:p>
            <w:pPr>
              <w:spacing w:after="0"/>
              <w:rPr>
                <w:rFonts w:ascii="Arial" w:cs="Arial" w:eastAsia="Arial" w:hAnsi="Arial"/>
                <w:sz w:val="18"/>
                <w:szCs w:val="18"/>
                <w:b w:val="1"/>
                <w:bCs w:val="1"/>
                <w:color w:val="04568A"/>
              </w:rPr>
            </w:pPr>
            <w:hyperlink w:anchor="page63">
              <w:r>
                <w:rPr>
                  <w:rFonts w:ascii="Arial" w:cs="Arial" w:eastAsia="Arial" w:hAnsi="Arial"/>
                  <w:sz w:val="18"/>
                  <w:szCs w:val="18"/>
                  <w:b w:val="1"/>
                  <w:bCs w:val="1"/>
                  <w:color w:val="04568A"/>
                </w:rPr>
                <w:t>About the Meeting</w:t>
              </w:r>
            </w:hyperlink>
          </w:p>
        </w:tc>
        <w:tc>
          <w:tcPr>
            <w:tcW w:w="2020" w:type="dxa"/>
            <w:vAlign w:val="bottom"/>
          </w:tcPr>
          <w:p>
            <w:pPr>
              <w:jc w:val="right"/>
              <w:spacing w:after="0"/>
              <w:rPr>
                <w:rFonts w:ascii="Arial" w:cs="Arial" w:eastAsia="Arial" w:hAnsi="Arial"/>
                <w:sz w:val="18"/>
                <w:szCs w:val="18"/>
                <w:b w:val="1"/>
                <w:bCs w:val="1"/>
                <w:color w:val="auto"/>
              </w:rPr>
            </w:pPr>
            <w:hyperlink w:anchor="page63">
              <w:r>
                <w:rPr>
                  <w:rFonts w:ascii="Arial" w:cs="Arial" w:eastAsia="Arial" w:hAnsi="Arial"/>
                  <w:sz w:val="18"/>
                  <w:szCs w:val="18"/>
                  <w:b w:val="1"/>
                  <w:bCs w:val="1"/>
                  <w:color w:val="auto"/>
                </w:rPr>
                <w:t>62</w:t>
              </w:r>
            </w:hyperlink>
          </w:p>
        </w:tc>
      </w:tr>
      <w:tr>
        <w:trPr>
          <w:trHeight w:val="393"/>
        </w:trPr>
        <w:tc>
          <w:tcPr>
            <w:tcW w:w="9040" w:type="dxa"/>
            <w:vAlign w:val="bottom"/>
          </w:tcPr>
          <w:p>
            <w:pPr>
              <w:spacing w:after="0"/>
              <w:rPr>
                <w:rFonts w:ascii="Arial" w:cs="Arial" w:eastAsia="Arial" w:hAnsi="Arial"/>
                <w:sz w:val="18"/>
                <w:szCs w:val="18"/>
                <w:b w:val="1"/>
                <w:bCs w:val="1"/>
                <w:color w:val="04568A"/>
              </w:rPr>
            </w:pPr>
            <w:hyperlink w:anchor="page67">
              <w:r>
                <w:rPr>
                  <w:rFonts w:ascii="Arial" w:cs="Arial" w:eastAsia="Arial" w:hAnsi="Arial"/>
                  <w:sz w:val="18"/>
                  <w:szCs w:val="18"/>
                  <w:b w:val="1"/>
                  <w:bCs w:val="1"/>
                  <w:color w:val="04568A"/>
                </w:rPr>
                <w:t>Additional Information</w:t>
              </w:r>
            </w:hyperlink>
          </w:p>
        </w:tc>
        <w:tc>
          <w:tcPr>
            <w:tcW w:w="2020" w:type="dxa"/>
            <w:vAlign w:val="bottom"/>
          </w:tcPr>
          <w:p>
            <w:pPr>
              <w:jc w:val="right"/>
              <w:spacing w:after="0"/>
              <w:rPr>
                <w:rFonts w:ascii="Arial" w:cs="Arial" w:eastAsia="Arial" w:hAnsi="Arial"/>
                <w:sz w:val="18"/>
                <w:szCs w:val="18"/>
                <w:b w:val="1"/>
                <w:bCs w:val="1"/>
                <w:color w:val="auto"/>
              </w:rPr>
            </w:pPr>
            <w:hyperlink w:anchor="page67">
              <w:r>
                <w:rPr>
                  <w:rFonts w:ascii="Arial" w:cs="Arial" w:eastAsia="Arial" w:hAnsi="Arial"/>
                  <w:sz w:val="18"/>
                  <w:szCs w:val="18"/>
                  <w:b w:val="1"/>
                  <w:bCs w:val="1"/>
                  <w:color w:val="auto"/>
                </w:rPr>
                <w:t>66</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67">
              <w:r>
                <w:rPr>
                  <w:rFonts w:ascii="Arial" w:cs="Arial" w:eastAsia="Arial" w:hAnsi="Arial"/>
                  <w:sz w:val="16"/>
                  <w:szCs w:val="16"/>
                  <w:color w:val="auto"/>
                </w:rPr>
                <w:t>Stockholder Proposals for Inclusion in Our 2023 Annual Meeting Proxy Statement and Proxy Card</w:t>
              </w:r>
            </w:hyperlink>
          </w:p>
        </w:tc>
        <w:tc>
          <w:tcPr>
            <w:tcW w:w="2020" w:type="dxa"/>
            <w:vAlign w:val="bottom"/>
          </w:tcPr>
          <w:p>
            <w:pPr>
              <w:jc w:val="right"/>
              <w:spacing w:after="0"/>
              <w:rPr>
                <w:rFonts w:ascii="Arial" w:cs="Arial" w:eastAsia="Arial" w:hAnsi="Arial"/>
                <w:sz w:val="16"/>
                <w:szCs w:val="16"/>
                <w:color w:val="auto"/>
              </w:rPr>
            </w:pPr>
            <w:hyperlink w:anchor="page67">
              <w:r>
                <w:rPr>
                  <w:rFonts w:ascii="Arial" w:cs="Arial" w:eastAsia="Arial" w:hAnsi="Arial"/>
                  <w:sz w:val="16"/>
                  <w:szCs w:val="16"/>
                  <w:color w:val="auto"/>
                </w:rPr>
                <w:t>66</w:t>
              </w:r>
            </w:hyperlink>
          </w:p>
        </w:tc>
      </w:tr>
      <w:tr>
        <w:trPr>
          <w:trHeight w:val="189"/>
        </w:trPr>
        <w:tc>
          <w:tcPr>
            <w:tcW w:w="9040" w:type="dxa"/>
            <w:vAlign w:val="bottom"/>
          </w:tcPr>
          <w:p>
            <w:pPr>
              <w:ind w:left="180"/>
              <w:spacing w:after="0"/>
              <w:rPr>
                <w:rFonts w:ascii="Arial" w:cs="Arial" w:eastAsia="Arial" w:hAnsi="Arial"/>
                <w:sz w:val="16"/>
                <w:szCs w:val="16"/>
                <w:color w:val="auto"/>
              </w:rPr>
            </w:pPr>
            <w:hyperlink w:anchor="page67">
              <w:r>
                <w:rPr>
                  <w:rFonts w:ascii="Arial" w:cs="Arial" w:eastAsia="Arial" w:hAnsi="Arial"/>
                  <w:sz w:val="16"/>
                  <w:szCs w:val="16"/>
                  <w:color w:val="auto"/>
                </w:rPr>
                <w:t>Director Nominations and Other Proposals to Be Presented at Our 2023 Annual Meeting</w:t>
              </w:r>
            </w:hyperlink>
          </w:p>
        </w:tc>
        <w:tc>
          <w:tcPr>
            <w:tcW w:w="2020" w:type="dxa"/>
            <w:vAlign w:val="bottom"/>
          </w:tcPr>
          <w:p>
            <w:pPr>
              <w:jc w:val="right"/>
              <w:spacing w:after="0"/>
              <w:rPr>
                <w:rFonts w:ascii="Arial" w:cs="Arial" w:eastAsia="Arial" w:hAnsi="Arial"/>
                <w:sz w:val="16"/>
                <w:szCs w:val="16"/>
                <w:color w:val="auto"/>
              </w:rPr>
            </w:pPr>
            <w:hyperlink w:anchor="page67">
              <w:r>
                <w:rPr>
                  <w:rFonts w:ascii="Arial" w:cs="Arial" w:eastAsia="Arial" w:hAnsi="Arial"/>
                  <w:sz w:val="16"/>
                  <w:szCs w:val="16"/>
                  <w:color w:val="auto"/>
                </w:rPr>
                <w:t>66</w:t>
              </w:r>
            </w:hyperlink>
          </w:p>
        </w:tc>
      </w:tr>
      <w:tr>
        <w:trPr>
          <w:trHeight w:val="195"/>
        </w:trPr>
        <w:tc>
          <w:tcPr>
            <w:tcW w:w="9040" w:type="dxa"/>
            <w:vAlign w:val="bottom"/>
          </w:tcPr>
          <w:p>
            <w:pPr>
              <w:ind w:left="180"/>
              <w:spacing w:after="0"/>
              <w:rPr>
                <w:rFonts w:ascii="Arial" w:cs="Arial" w:eastAsia="Arial" w:hAnsi="Arial"/>
                <w:sz w:val="16"/>
                <w:szCs w:val="16"/>
                <w:color w:val="auto"/>
              </w:rPr>
            </w:pPr>
            <w:hyperlink w:anchor="page67">
              <w:r>
                <w:rPr>
                  <w:rFonts w:ascii="Arial" w:cs="Arial" w:eastAsia="Arial" w:hAnsi="Arial"/>
                  <w:sz w:val="16"/>
                  <w:szCs w:val="16"/>
                  <w:color w:val="auto"/>
                </w:rPr>
                <w:t>Householding</w:t>
              </w:r>
            </w:hyperlink>
          </w:p>
        </w:tc>
        <w:tc>
          <w:tcPr>
            <w:tcW w:w="2020" w:type="dxa"/>
            <w:vAlign w:val="bottom"/>
          </w:tcPr>
          <w:p>
            <w:pPr>
              <w:jc w:val="right"/>
              <w:spacing w:after="0"/>
              <w:rPr>
                <w:rFonts w:ascii="Arial" w:cs="Arial" w:eastAsia="Arial" w:hAnsi="Arial"/>
                <w:sz w:val="16"/>
                <w:szCs w:val="16"/>
                <w:color w:val="auto"/>
              </w:rPr>
            </w:pPr>
            <w:hyperlink w:anchor="page67">
              <w:r>
                <w:rPr>
                  <w:rFonts w:ascii="Arial" w:cs="Arial" w:eastAsia="Arial" w:hAnsi="Arial"/>
                  <w:sz w:val="16"/>
                  <w:szCs w:val="16"/>
                  <w:color w:val="auto"/>
                </w:rPr>
                <w:t>66</w:t>
              </w:r>
            </w:hyperlink>
          </w:p>
        </w:tc>
      </w:tr>
      <w:tr>
        <w:trPr>
          <w:trHeight w:val="359"/>
        </w:trPr>
        <w:tc>
          <w:tcPr>
            <w:tcW w:w="9040" w:type="dxa"/>
            <w:vAlign w:val="bottom"/>
          </w:tcPr>
          <w:p>
            <w:pPr>
              <w:spacing w:after="0"/>
              <w:rPr>
                <w:rFonts w:ascii="Arial" w:cs="Arial" w:eastAsia="Arial" w:hAnsi="Arial"/>
                <w:sz w:val="18"/>
                <w:szCs w:val="18"/>
                <w:b w:val="1"/>
                <w:bCs w:val="1"/>
                <w:color w:val="04568A"/>
              </w:rPr>
            </w:pPr>
            <w:hyperlink w:anchor="page68">
              <w:r>
                <w:rPr>
                  <w:rFonts w:ascii="Arial" w:cs="Arial" w:eastAsia="Arial" w:hAnsi="Arial"/>
                  <w:sz w:val="18"/>
                  <w:szCs w:val="18"/>
                  <w:b w:val="1"/>
                  <w:bCs w:val="1"/>
                  <w:color w:val="04568A"/>
                </w:rPr>
                <w:t xml:space="preserve">Appendix A </w:t>
              </w:r>
              <w:r>
                <w:rPr>
                  <w:rFonts w:ascii="Arial" w:cs="Arial" w:eastAsia="Arial" w:hAnsi="Arial"/>
                  <w:sz w:val="18"/>
                  <w:szCs w:val="18"/>
                  <w:b w:val="1"/>
                  <w:bCs w:val="1"/>
                  <w:color w:val="000000"/>
                </w:rPr>
                <w:t>Non-GAAP Financial Measures</w:t>
              </w:r>
            </w:hyperlink>
          </w:p>
        </w:tc>
        <w:tc>
          <w:tcPr>
            <w:tcW w:w="2020" w:type="dxa"/>
            <w:vAlign w:val="bottom"/>
          </w:tcPr>
          <w:p>
            <w:pPr>
              <w:jc w:val="right"/>
              <w:spacing w:after="0"/>
              <w:rPr>
                <w:rFonts w:ascii="Arial" w:cs="Arial" w:eastAsia="Arial" w:hAnsi="Arial"/>
                <w:sz w:val="18"/>
                <w:szCs w:val="18"/>
                <w:b w:val="1"/>
                <w:bCs w:val="1"/>
                <w:color w:val="auto"/>
              </w:rPr>
            </w:pPr>
            <w:hyperlink w:anchor="page68">
              <w:r>
                <w:rPr>
                  <w:rFonts w:ascii="Arial" w:cs="Arial" w:eastAsia="Arial" w:hAnsi="Arial"/>
                  <w:sz w:val="18"/>
                  <w:szCs w:val="18"/>
                  <w:b w:val="1"/>
                  <w:bCs w:val="1"/>
                  <w:color w:val="auto"/>
                </w:rPr>
                <w:t>67</w:t>
              </w:r>
            </w:hyperlink>
          </w:p>
        </w:tc>
      </w:tr>
    </w:tbl>
    <w:p>
      <w:pPr>
        <w:spacing w:after="0" w:line="1" w:lineRule="exact"/>
        <w:rPr>
          <w:sz w:val="20"/>
          <w:szCs w:val="20"/>
          <w:color w:val="auto"/>
        </w:rPr>
      </w:pPr>
    </w:p>
    <w:p>
      <w:pPr>
        <w:sectPr>
          <w:pgSz w:w="11900" w:h="16838" w:orient="portrait"/>
          <w:cols w:equalWidth="0" w:num="1">
            <w:col w:w="11240"/>
          </w:cols>
          <w:pgMar w:left="320" w:top="384" w:right="339" w:bottom="0" w:gutter="0" w:footer="0" w:header="0"/>
        </w:sectPr>
      </w:pPr>
    </w:p>
    <w:tbl>
      <w:tblPr>
        <w:tblLayout w:type="fixed"/>
        <w:tblInd w:w="360" w:type="dxa"/>
        <w:tblCellMar>
          <w:top w:w="0" w:type="dxa"/>
          <w:left w:w="0" w:type="dxa"/>
          <w:bottom w:w="0" w:type="dxa"/>
          <w:right w:w="0" w:type="dxa"/>
        </w:tblCellMar>
      </w:tblPr>
      <w:tr>
        <w:trPr>
          <w:trHeight w:val="189"/>
        </w:trPr>
        <w:tc>
          <w:tcPr>
            <w:tcW w:w="8720" w:type="dxa"/>
            <w:vAlign w:val="bottom"/>
          </w:tcPr>
          <w:p>
            <w:pPr>
              <w:spacing w:after="0"/>
              <w:rPr>
                <w:rFonts w:ascii="Arial" w:cs="Arial" w:eastAsia="Arial" w:hAnsi="Arial"/>
                <w:sz w:val="16"/>
                <w:szCs w:val="16"/>
                <w:color w:val="auto"/>
              </w:rPr>
            </w:pPr>
            <w:hyperlink w:anchor="page68">
              <w:r>
                <w:rPr>
                  <w:rFonts w:ascii="Arial" w:cs="Arial" w:eastAsia="Arial" w:hAnsi="Arial"/>
                  <w:sz w:val="16"/>
                  <w:szCs w:val="16"/>
                  <w:color w:val="auto"/>
                </w:rPr>
                <w:t>Non-GAAP Financial Measures</w:t>
              </w:r>
            </w:hyperlink>
          </w:p>
        </w:tc>
        <w:tc>
          <w:tcPr>
            <w:tcW w:w="2160" w:type="dxa"/>
            <w:vAlign w:val="bottom"/>
          </w:tcPr>
          <w:p>
            <w:pPr>
              <w:jc w:val="right"/>
              <w:spacing w:after="0"/>
              <w:rPr>
                <w:rFonts w:ascii="Arial" w:cs="Arial" w:eastAsia="Arial" w:hAnsi="Arial"/>
                <w:sz w:val="16"/>
                <w:szCs w:val="16"/>
                <w:color w:val="auto"/>
              </w:rPr>
            </w:pPr>
            <w:hyperlink w:anchor="page68">
              <w:r>
                <w:rPr>
                  <w:rFonts w:ascii="Arial" w:cs="Arial" w:eastAsia="Arial" w:hAnsi="Arial"/>
                  <w:sz w:val="16"/>
                  <w:szCs w:val="16"/>
                  <w:color w:val="auto"/>
                </w:rPr>
                <w:t>67</w:t>
              </w:r>
            </w:hyperlink>
          </w:p>
        </w:tc>
      </w:tr>
      <w:tr>
        <w:trPr>
          <w:trHeight w:val="189"/>
        </w:trPr>
        <w:tc>
          <w:tcPr>
            <w:tcW w:w="8720" w:type="dxa"/>
            <w:vAlign w:val="bottom"/>
          </w:tcPr>
          <w:p>
            <w:pPr>
              <w:spacing w:after="0"/>
              <w:rPr>
                <w:rFonts w:ascii="Arial" w:cs="Arial" w:eastAsia="Arial" w:hAnsi="Arial"/>
                <w:sz w:val="16"/>
                <w:szCs w:val="16"/>
                <w:color w:val="auto"/>
              </w:rPr>
            </w:pPr>
            <w:hyperlink w:anchor="page69">
              <w:r>
                <w:rPr>
                  <w:rFonts w:ascii="Arial" w:cs="Arial" w:eastAsia="Arial" w:hAnsi="Arial"/>
                  <w:sz w:val="16"/>
                  <w:szCs w:val="16"/>
                  <w:color w:val="auto"/>
                </w:rPr>
                <w:t>Reconciliation of Net Income to Adjusted Net Income and Calculation of Adjusted Diluted EPS</w:t>
              </w:r>
            </w:hyperlink>
          </w:p>
        </w:tc>
        <w:tc>
          <w:tcPr>
            <w:tcW w:w="2160" w:type="dxa"/>
            <w:vAlign w:val="bottom"/>
          </w:tcPr>
          <w:p>
            <w:pPr>
              <w:jc w:val="right"/>
              <w:spacing w:after="0"/>
              <w:rPr>
                <w:rFonts w:ascii="Arial" w:cs="Arial" w:eastAsia="Arial" w:hAnsi="Arial"/>
                <w:sz w:val="16"/>
                <w:szCs w:val="16"/>
                <w:color w:val="auto"/>
              </w:rPr>
            </w:pPr>
            <w:hyperlink w:anchor="page69">
              <w:r>
                <w:rPr>
                  <w:rFonts w:ascii="Arial" w:cs="Arial" w:eastAsia="Arial" w:hAnsi="Arial"/>
                  <w:sz w:val="16"/>
                  <w:szCs w:val="16"/>
                  <w:color w:val="auto"/>
                </w:rPr>
                <w:t>68</w:t>
              </w:r>
            </w:hyperlink>
          </w:p>
        </w:tc>
      </w:tr>
      <w:tr>
        <w:trPr>
          <w:trHeight w:val="195"/>
        </w:trPr>
        <w:tc>
          <w:tcPr>
            <w:tcW w:w="8720" w:type="dxa"/>
            <w:vAlign w:val="bottom"/>
          </w:tcPr>
          <w:p>
            <w:pPr>
              <w:spacing w:after="0"/>
              <w:rPr>
                <w:rFonts w:ascii="Arial" w:cs="Arial" w:eastAsia="Arial" w:hAnsi="Arial"/>
                <w:sz w:val="16"/>
                <w:szCs w:val="16"/>
                <w:color w:val="auto"/>
              </w:rPr>
            </w:pPr>
            <w:hyperlink w:anchor="page70">
              <w:r>
                <w:rPr>
                  <w:rFonts w:ascii="Arial" w:cs="Arial" w:eastAsia="Arial" w:hAnsi="Arial"/>
                  <w:sz w:val="16"/>
                  <w:szCs w:val="16"/>
                  <w:color w:val="auto"/>
                </w:rPr>
                <w:t>Reconciliation of Net Income to EBITDA and Adjusted EBITDA</w:t>
              </w:r>
            </w:hyperlink>
          </w:p>
        </w:tc>
        <w:tc>
          <w:tcPr>
            <w:tcW w:w="2160" w:type="dxa"/>
            <w:vAlign w:val="bottom"/>
          </w:tcPr>
          <w:p>
            <w:pPr>
              <w:jc w:val="right"/>
              <w:spacing w:after="0"/>
              <w:rPr>
                <w:rFonts w:ascii="Arial" w:cs="Arial" w:eastAsia="Arial" w:hAnsi="Arial"/>
                <w:sz w:val="16"/>
                <w:szCs w:val="16"/>
                <w:color w:val="auto"/>
              </w:rPr>
            </w:pPr>
            <w:hyperlink w:anchor="page70">
              <w:r>
                <w:rPr>
                  <w:rFonts w:ascii="Arial" w:cs="Arial" w:eastAsia="Arial" w:hAnsi="Arial"/>
                  <w:sz w:val="16"/>
                  <w:szCs w:val="16"/>
                  <w:color w:val="auto"/>
                </w:rPr>
                <w:t>69</w:t>
              </w:r>
            </w:hyperlink>
          </w:p>
        </w:tc>
      </w:tr>
    </w:tbl>
    <w:p>
      <w:pPr>
        <w:sectPr>
          <w:pgSz w:w="11900" w:h="16838" w:orient="portrait"/>
          <w:cols w:equalWidth="0" w:num="1">
            <w:col w:w="11240"/>
          </w:cols>
          <w:pgMar w:left="320" w:top="384" w:right="339" w:bottom="0" w:gutter="0" w:footer="0" w:header="0"/>
          <w:type w:val="continuous"/>
        </w:sectPr>
      </w:pPr>
    </w:p>
    <w:bookmarkStart w:id="7" w:name="page8"/>
    <w:bookmarkEnd w:id="7"/>
    <w:p>
      <w:pPr>
        <w:jc w:val="right"/>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243205</wp:posOffset>
            </wp:positionV>
            <wp:extent cx="7132320" cy="342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Safe </w:t>
      </w:r>
      <w:r>
        <w:rPr>
          <w:rFonts w:ascii="Arial" w:cs="Arial" w:eastAsia="Arial" w:hAnsi="Arial"/>
          <w:sz w:val="47"/>
          <w:szCs w:val="47"/>
          <w:b w:val="1"/>
          <w:bCs w:val="1"/>
          <w:color w:val="000000"/>
        </w:rPr>
        <w:t>Harbor Statement</w:t>
      </w:r>
    </w:p>
    <w:p>
      <w:pPr>
        <w:spacing w:after="0" w:line="361"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Certain statements contained herein, regarding matters that are not historical facts, may be forward-looking statements (as defined in the U.S. Private Securities Litigation Reform Act of 1995). Such forward-looking statements include statements regarding management’s intentions, plans, beliefs, expectations or forecasts for the future, including among other things: discussions of future operations; expected operating results and financial performance; impact of planned acquisitions and dispositions; the Company’s strategy for growth; product development; regulatory approvals; market position and expenditures. Words such as “plans,” “expects,” “will,” “anticipates,” “estimates” and similar words are intended to identify estimates and forward-looking statements.</w:t>
      </w:r>
    </w:p>
    <w:p>
      <w:pPr>
        <w:spacing w:after="0" w:line="369" w:lineRule="exact"/>
        <w:rPr>
          <w:sz w:val="20"/>
          <w:szCs w:val="20"/>
          <w:color w:val="auto"/>
        </w:rPr>
      </w:pPr>
    </w:p>
    <w:p>
      <w:pPr>
        <w:jc w:val="both"/>
        <w:spacing w:after="0" w:line="247" w:lineRule="auto"/>
        <w:rPr>
          <w:sz w:val="20"/>
          <w:szCs w:val="20"/>
          <w:color w:val="auto"/>
        </w:rPr>
      </w:pPr>
      <w:r>
        <w:rPr>
          <w:rFonts w:ascii="Arial" w:cs="Arial" w:eastAsia="Arial" w:hAnsi="Arial"/>
          <w:sz w:val="16"/>
          <w:szCs w:val="16"/>
          <w:color w:val="auto"/>
        </w:rPr>
        <w:t>The reader is cautioned not to rely on these forward-looking statements. These forward-looking statements are based on current expectations of future events. If the underlying assumptions prove inaccurate or known or unknown risks or uncertainties materialize, actual results could vary materially from the expectations and projections of Amneal. Such risks and uncertainties include, but are not limited to: our ability to successfully develop, license, acquire and commercialize new products on a timely basis; the competition we face in the pharmaceutical industry from brand and generic drug product companies, and the impact of that competition on our ability to set prices; our ability to obtain exclusive marketing rights for our products; our ability to manage our growth through acquisitions and otherwise; our dependence on the sales of a limited number of products for a substantial portion of our total revenues; the continuing trend of consolidation of certain customer groups; our dependence on third-party suppliers and distributors for raw materials for our products and certain finished goods; legal, regulatory and legislative efforts by our brand competitors to deter competition from our generic alternatives; the impact of severe weather; the impact of the ongoing COVID-19 pandemic; risks related to federal regulation of arrangements between manufacturers of branded and generic products; our reliance on certain licenses to proprietary technologies from time to time; the significant amount of resources we expend on research and development; the risk of product liability and other claims against us by consumers and other third parties; risks related to changes in the regulatory environment, including U.S. federal and state laws related to healthcare fraud abuse and health information privacy and security and changes in such laws; changes to the Food and Drug Administration (“FDA”) product approval requirements; the impact of healthcare reform and changes in coverage and reimbursement levels by governmental authorities and other third-party payers; our dependence on third-party agreements for a portion of our product offerings; the impact of global economic conditions, including any economic effects stemming from adverse geopolitical events; our ability to identify, make and integrate acquisitions or investments in complementary businesses and products on advantageous terms; our substantial amount of indebtedness and our ability to generate sufficient cash to service our indebtedness in the future, and the impact of interest rate fluctuations on such indebtedness; our obligations under a tax receivable agreement may be significant; and the high concentration of ownership of our Class A Common Stock and the fact that we are controlled by the Amneal Group. The forward-looking statements contained herein are also subject generally to other risks and uncertainties that are described from time to time in our filings with the Securities and Exchange Commission (the “SEC”), including under Item 1A, “Risk Factors” in our most recent Annual Report on Form 10-K and in our subsequent reports on Forms 10-Q and 8-K. Investors are cautioned not to place undue reliance on any such forward-looking statements, which speak only as of the date they are made, and we undertake no obligation to revise or update such statements to reflect the occurrence of events or circumstances after the date hereof.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147955</wp:posOffset>
            </wp:positionV>
            <wp:extent cx="7132320" cy="342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9" w:name="page10"/>
    <w:bookmarkEnd w:id="9"/>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Corporate </w:t>
      </w:r>
      <w:r>
        <w:rPr>
          <w:rFonts w:ascii="Arial" w:cs="Arial" w:eastAsia="Arial" w:hAnsi="Arial"/>
          <w:sz w:val="47"/>
          <w:szCs w:val="47"/>
          <w:b w:val="1"/>
          <w:bCs w:val="1"/>
          <w:color w:val="000000"/>
        </w:rPr>
        <w:t>Governance</w:t>
      </w:r>
    </w:p>
    <w:p>
      <w:pPr>
        <w:spacing w:after="0" w:line="323"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Corporate Structure</w:t>
      </w:r>
    </w:p>
    <w:p>
      <w:pPr>
        <w:spacing w:after="0" w:line="359" w:lineRule="exact"/>
        <w:rPr>
          <w:sz w:val="20"/>
          <w:szCs w:val="20"/>
          <w:color w:val="auto"/>
        </w:rPr>
      </w:pPr>
    </w:p>
    <w:p>
      <w:pPr>
        <w:spacing w:after="0"/>
        <w:rPr>
          <w:sz w:val="20"/>
          <w:szCs w:val="20"/>
          <w:color w:val="auto"/>
        </w:rPr>
      </w:pPr>
      <w:r>
        <w:rPr>
          <w:rFonts w:ascii="Arial" w:cs="Arial" w:eastAsia="Arial" w:hAnsi="Arial"/>
          <w:sz w:val="16"/>
          <w:szCs w:val="16"/>
          <w:color w:val="auto"/>
        </w:rPr>
        <w:t>The Company is a holding company, whose principal assets are common units (“Amneal Common Units”) of Amneal Pharmaceuticals, LLC (“Amneal LLC”).</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In 2018, Amneal LLC completed the acquisition of Impax Laboratories, Inc. (“Impax”), a generic and specialty pharmaceutical company (the “Combination”).</w:t>
      </w:r>
    </w:p>
    <w:p>
      <w:pPr>
        <w:spacing w:after="0" w:line="194"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The group, together with their affiliates and certain assignees, who owned Amneal LLC when it was a private company (the “Amneal Group”) held 50.4% of Amneal Common Units and the Company held the remaining 49.6% as of December 31, 2021. Although the Company has a minority economic interest in Amneal LLC, it is Amneal LLC’s sole managing member, having the sole voting power to make all of Amneal LLC’s business decisions and control its management.</w:t>
      </w:r>
    </w:p>
    <w:p>
      <w:pPr>
        <w:spacing w:after="0" w:line="25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Stockholders Agreement</w:t>
      </w:r>
    </w:p>
    <w:p>
      <w:pPr>
        <w:spacing w:after="0" w:line="237"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 connection with the Combination, we entered into a stockholders agreement with the Amneal Group, which was amended and restated in August 2019 (the “Stockholders Agreement”), that sets forth, among other things, certain rights and obligations of the Company and the Amneal Group with respect to the corporate governance of the Company.</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Board Composition</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Stockholders Agreement provides that, until the Amneal Group owns less than 10% of the outstanding shares of the Company’s common stock, the Board of Directors of the Company (the “Board”) will consist of no more than 13 members.</w:t>
      </w:r>
    </w:p>
    <w:p>
      <w:pPr>
        <w:spacing w:after="0" w:line="168" w:lineRule="exact"/>
        <w:rPr>
          <w:sz w:val="20"/>
          <w:szCs w:val="20"/>
          <w:color w:val="auto"/>
        </w:rPr>
      </w:pPr>
    </w:p>
    <w:p>
      <w:pPr>
        <w:spacing w:after="0"/>
        <w:rPr>
          <w:sz w:val="20"/>
          <w:szCs w:val="20"/>
          <w:color w:val="auto"/>
        </w:rPr>
      </w:pPr>
      <w:r>
        <w:rPr>
          <w:rFonts w:ascii="Arial" w:cs="Arial" w:eastAsia="Arial" w:hAnsi="Arial"/>
          <w:sz w:val="16"/>
          <w:szCs w:val="16"/>
          <w:color w:val="auto"/>
        </w:rPr>
        <w:t>As of the date hereof, the Board has fixed its size at 10, composed as follows:</w:t>
      </w:r>
    </w:p>
    <w:p>
      <w:pPr>
        <w:spacing w:after="0" w:line="174" w:lineRule="exact"/>
        <w:rPr>
          <w:sz w:val="20"/>
          <w:szCs w:val="20"/>
          <w:color w:val="auto"/>
        </w:rPr>
      </w:pPr>
    </w:p>
    <w:p>
      <w:pPr>
        <w:jc w:val="both"/>
        <w:ind w:left="180" w:hanging="172"/>
        <w:spacing w:after="0" w:line="266" w:lineRule="auto"/>
        <w:tabs>
          <w:tab w:leader="none" w:pos="180" w:val="left"/>
        </w:tabs>
        <w:numPr>
          <w:ilvl w:val="0"/>
          <w:numId w:val="5"/>
        </w:numPr>
        <w:rPr>
          <w:rFonts w:ascii="Arial" w:cs="Arial" w:eastAsia="Arial" w:hAnsi="Arial"/>
          <w:sz w:val="16"/>
          <w:szCs w:val="16"/>
          <w:color w:val="04568A"/>
        </w:rPr>
      </w:pPr>
      <w:r>
        <w:rPr>
          <w:rFonts w:ascii="Arial" w:cs="Arial" w:eastAsia="Arial" w:hAnsi="Arial"/>
          <w:sz w:val="16"/>
          <w:szCs w:val="16"/>
          <w:b w:val="1"/>
          <w:bCs w:val="1"/>
          <w:color w:val="04568A"/>
        </w:rPr>
        <w:t xml:space="preserve">Amneal Group Directors. </w:t>
      </w:r>
      <w:r>
        <w:rPr>
          <w:rFonts w:ascii="Arial" w:cs="Arial" w:eastAsia="Arial" w:hAnsi="Arial"/>
          <w:sz w:val="16"/>
          <w:szCs w:val="16"/>
          <w:color w:val="000000"/>
        </w:rPr>
        <w:t>Six directors, including the Chairman of the Board, were designated by the Amneal Group. The directors designated by the</w:t>
      </w:r>
      <w:r>
        <w:rPr>
          <w:rFonts w:ascii="Arial" w:cs="Arial" w:eastAsia="Arial" w:hAnsi="Arial"/>
          <w:sz w:val="16"/>
          <w:szCs w:val="16"/>
          <w:b w:val="1"/>
          <w:bCs w:val="1"/>
          <w:color w:val="04568A"/>
        </w:rPr>
        <w:t xml:space="preserve"> </w:t>
      </w:r>
      <w:r>
        <w:rPr>
          <w:rFonts w:ascii="Arial" w:cs="Arial" w:eastAsia="Arial" w:hAnsi="Arial"/>
          <w:sz w:val="16"/>
          <w:szCs w:val="16"/>
          <w:color w:val="000000"/>
        </w:rPr>
        <w:t>Amneal Group, two of whom qualify as and are considered independent under the rules of the New York Stock Exchange (“NYSE”), are referred to herein as the “Amneal Group Directors.”</w:t>
      </w:r>
    </w:p>
    <w:p>
      <w:pPr>
        <w:spacing w:after="0" w:line="36" w:lineRule="exact"/>
        <w:rPr>
          <w:rFonts w:ascii="Arial" w:cs="Arial" w:eastAsia="Arial" w:hAnsi="Arial"/>
          <w:sz w:val="16"/>
          <w:szCs w:val="16"/>
          <w:color w:val="04568A"/>
        </w:rPr>
      </w:pPr>
    </w:p>
    <w:p>
      <w:pPr>
        <w:ind w:left="180" w:hanging="172"/>
        <w:spacing w:after="0" w:line="286" w:lineRule="auto"/>
        <w:tabs>
          <w:tab w:leader="none" w:pos="180" w:val="left"/>
        </w:tabs>
        <w:numPr>
          <w:ilvl w:val="0"/>
          <w:numId w:val="5"/>
        </w:numPr>
        <w:rPr>
          <w:rFonts w:ascii="Arial" w:cs="Arial" w:eastAsia="Arial" w:hAnsi="Arial"/>
          <w:sz w:val="16"/>
          <w:szCs w:val="16"/>
          <w:color w:val="04568A"/>
        </w:rPr>
      </w:pPr>
      <w:r>
        <w:rPr>
          <w:rFonts w:ascii="Arial" w:cs="Arial" w:eastAsia="Arial" w:hAnsi="Arial"/>
          <w:sz w:val="16"/>
          <w:szCs w:val="16"/>
          <w:b w:val="1"/>
          <w:bCs w:val="1"/>
          <w:color w:val="04568A"/>
        </w:rPr>
        <w:t xml:space="preserve">Non-Amneal Group Directors. </w:t>
      </w:r>
      <w:r>
        <w:rPr>
          <w:rFonts w:ascii="Arial" w:cs="Arial" w:eastAsia="Arial" w:hAnsi="Arial"/>
          <w:sz w:val="16"/>
          <w:szCs w:val="16"/>
          <w:color w:val="000000"/>
        </w:rPr>
        <w:t>Four directors were designated as the Company Independent Directors (as defined in the Stockholders Agreement). The</w:t>
      </w:r>
      <w:r>
        <w:rPr>
          <w:rFonts w:ascii="Arial" w:cs="Arial" w:eastAsia="Arial" w:hAnsi="Arial"/>
          <w:sz w:val="16"/>
          <w:szCs w:val="16"/>
          <w:b w:val="1"/>
          <w:bCs w:val="1"/>
          <w:color w:val="04568A"/>
        </w:rPr>
        <w:t xml:space="preserve"> </w:t>
      </w:r>
      <w:r>
        <w:rPr>
          <w:rFonts w:ascii="Arial" w:cs="Arial" w:eastAsia="Arial" w:hAnsi="Arial"/>
          <w:sz w:val="16"/>
          <w:szCs w:val="16"/>
          <w:color w:val="000000"/>
        </w:rPr>
        <w:t>directors not designated by the Amneal Group are referred to herein as the “Non-Amneal Group Directors.”</w:t>
      </w:r>
    </w:p>
    <w:p>
      <w:pPr>
        <w:spacing w:after="0" w:line="162"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Pursuant to, and effective as of, the amendment to the Stockholders Agreement in August 2019, the Amneal Group representative who appoints the Amneal Group Directors will not be (i) an employee of the Company or (ii) an individual controlled, directly or indirectly, by employees of the Company, a Company subsidiary, or any person controlled by the Company. This change was made in connection with the appointment of Chirag Patel and Chintu Patel as co-Chief Executive Officers in order to preserve the independence of those Amneal Group Directors who are intended to be independent.</w:t>
      </w:r>
    </w:p>
    <w:p>
      <w:pPr>
        <w:spacing w:after="0" w:line="175"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For so long as the Amneal Group continues to beneficially own more than 50% of the outstanding shares of the Company, the Amneal Group Directors will have the right to designate the Chairman or Co-Chairmen of the Board, and the Non-Amneal Group Directors will have the right to designate a lead Independent Director of the Board (as applicable).</w:t>
      </w:r>
    </w:p>
    <w:p>
      <w:pPr>
        <w:spacing w:after="0" w:line="18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TPG Group Holdings has the right, subject to certain ownership thresholds and other requirements, to designate a director for appointment to the Company’s Board (which right TPG currently has not exercised) or to designate an observer to the Board.</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There are currently two observers to the Board, one of whom has been designated by the Board of Directors and one of whom has been designated by TPG Group Holdings.</w:t>
      </w:r>
    </w:p>
    <w:p>
      <w:pPr>
        <w:spacing w:after="0" w:line="16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For so long as the Amneal Group continues to beneficially own more than 50% of the outstanding shares of the Company, the Amneal Group will have the right to designate for nomination the lowest number of designees that constitute a majority of the total number of directors comprising the Board. The Company will cause such nominee(s) to be included in any slate of nominees recommended by the Board to the stockholders of the Company for election. Seventy-five percent (75%) of the directors serving on the Nominating and Corporate Governance Committee will be required to approve (i) a decision not to nominate any of the initial directors of the Company as of the closing of the Combination for re-election to the Board at either of the first two annual meetings of stockholders of the Company following the completion of the Combination and (ii) until the third annual meeting of stockholders of the Company following the completion of the Combination, any change to the individuals serving as Chairman or Co-Chairmen of the Company’s Board.</w:t>
      </w:r>
    </w:p>
    <w:p>
      <w:pPr>
        <w:spacing w:after="0" w:line="161"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9</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10" w:name="page11"/>
    <w:bookmarkEnd w:id="10"/>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If the Amneal Group beneficially owns 50% or less but more than 10% of the outstanding shares of the Company, the Amneal Group will have the right to designate a number of directors proportionate to the beneficial ownership of outstanding shares of the Company held by the Amneal Group (rounded up to the nearest whole number); provided, however, that such rounding shall not result in the Amneal Group having the right to designate a majority of the total number of directors comprising the Board when the Amneal Group beneficially owns 50% or less of the outstanding shares of the Company’s common stock.</w:t>
      </w:r>
    </w:p>
    <w:p>
      <w:pPr>
        <w:spacing w:after="0" w:line="175"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With respect to the Amneal Group Directors, until the date on which the Amneal Group ceases to beneficially own at least 10% of the outstanding shares of the Company (the “Trigger Date”), any vacancy will be filled by the Board with a director designated by the Amneal Group, except when such vacancy is created when the number of the Amneal Group Directors then serving on the Board is in excess of the number of Amneal Group designees the Amneal Group has the right to designate under the Company’s Bylaws and the Stockholders Agreement.</w:t>
      </w:r>
    </w:p>
    <w:p>
      <w:pPr>
        <w:spacing w:after="0" w:line="175"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With respect to the Non-Amneal Group Directors, the Nominating and Corporate Governance Committee will recommend to the Company’s Board to fill any vacancy (other than the CEO of the Company) with a person who satisfies all the qualifications of a Company Independent Director (as defined in the Stockholders Agreement), subject to the prior written consent of the Conflicts Committee.</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Board Committees</w:t>
      </w:r>
    </w:p>
    <w:p>
      <w:pPr>
        <w:spacing w:after="0" w:line="23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Stockholders Agreement provides that the Company’s Board shall have the following committees: (i) Audit Committee, (ii) Nominating and Corporate Governance Committee, (iii) Compensation Committee, and (iv) Conflicts Committee. The formation of, composition of, and amendment to the charter of any other committee requires the approval of 75% of the directors on the Company’s Board.</w:t>
      </w:r>
    </w:p>
    <w:p>
      <w:pPr>
        <w:spacing w:after="0" w:line="17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Until the Trigger Date, each committee of the Company’s Board (other than the Conflicts Committee) will include at least one director designated by the Amneal Group, subject to the applicable NYSE requirements. If at any time, any committee (other than the Conflicts Committee) does not have at least one such Amneal Group-designated director, the Amneal Group will be entitled to designate a director to have observer rights with respect to such committee.</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Amneal Group Agreement to Vote</w:t>
      </w:r>
    </w:p>
    <w:p>
      <w:pPr>
        <w:spacing w:after="0" w:line="23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Until the Trigger Date, the Amneal Group must cause its shares to be present for quorum purposes at any stockholders meeting, vote in favor of all director nominees recommended by the Company’s Board, and not vote in favor of the removal of any Non-Amneal Group Director, unless such removal is recommended by the Nominating and Corporate Governance Committee.</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Amneal Group Consent Rights</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For so long as the Amneal Group beneficially owns more than 25% of the outstanding shares of the Company, the Company will not take the following actions without obtaining prior consent of the Amneal Group:</w:t>
      </w:r>
    </w:p>
    <w:p>
      <w:pPr>
        <w:spacing w:after="0" w:line="168" w:lineRule="exact"/>
        <w:rPr>
          <w:sz w:val="20"/>
          <w:szCs w:val="20"/>
          <w:color w:val="auto"/>
        </w:rPr>
      </w:pPr>
    </w:p>
    <w:p>
      <w:pPr>
        <w:ind w:left="180" w:hanging="172"/>
        <w:spacing w:after="0" w:line="260" w:lineRule="auto"/>
        <w:tabs>
          <w:tab w:leader="none" w:pos="180" w:val="left"/>
        </w:tabs>
        <w:numPr>
          <w:ilvl w:val="0"/>
          <w:numId w:val="6"/>
        </w:numPr>
        <w:rPr>
          <w:rFonts w:ascii="Arial" w:cs="Arial" w:eastAsia="Arial" w:hAnsi="Arial"/>
          <w:sz w:val="16"/>
          <w:szCs w:val="16"/>
          <w:color w:val="04568A"/>
        </w:rPr>
      </w:pPr>
      <w:r>
        <w:rPr>
          <w:rFonts w:ascii="Arial" w:cs="Arial" w:eastAsia="Arial" w:hAnsi="Arial"/>
          <w:sz w:val="16"/>
          <w:szCs w:val="16"/>
          <w:color w:val="auto"/>
        </w:rPr>
        <w:t>amend, modify, or repeal any provision of the Company’s Certificate of Incorporation or Bylaws in a manner that adversely impacts any Amneal Group member;</w:t>
      </w:r>
    </w:p>
    <w:p>
      <w:pPr>
        <w:spacing w:after="0" w:line="60" w:lineRule="exact"/>
        <w:rPr>
          <w:rFonts w:ascii="Arial" w:cs="Arial" w:eastAsia="Arial" w:hAnsi="Arial"/>
          <w:sz w:val="16"/>
          <w:szCs w:val="16"/>
          <w:color w:val="04568A"/>
        </w:rPr>
      </w:pPr>
    </w:p>
    <w:p>
      <w:pPr>
        <w:ind w:left="180" w:hanging="172"/>
        <w:spacing w:after="0"/>
        <w:tabs>
          <w:tab w:leader="none" w:pos="180" w:val="left"/>
        </w:tabs>
        <w:numPr>
          <w:ilvl w:val="0"/>
          <w:numId w:val="6"/>
        </w:numPr>
        <w:rPr>
          <w:rFonts w:ascii="Arial" w:cs="Arial" w:eastAsia="Arial" w:hAnsi="Arial"/>
          <w:sz w:val="16"/>
          <w:szCs w:val="16"/>
          <w:color w:val="04568A"/>
        </w:rPr>
      </w:pPr>
      <w:r>
        <w:rPr>
          <w:rFonts w:ascii="Arial" w:cs="Arial" w:eastAsia="Arial" w:hAnsi="Arial"/>
          <w:sz w:val="16"/>
          <w:szCs w:val="16"/>
          <w:color w:val="auto"/>
        </w:rPr>
        <w:t>effect any change in the authorized number of directors, except pursuant to the Stockholders Agreement;</w:t>
      </w:r>
    </w:p>
    <w:p>
      <w:pPr>
        <w:spacing w:after="0" w:line="86"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6"/>
        </w:numPr>
        <w:rPr>
          <w:rFonts w:ascii="Arial" w:cs="Arial" w:eastAsia="Arial" w:hAnsi="Arial"/>
          <w:sz w:val="16"/>
          <w:szCs w:val="16"/>
          <w:color w:val="04568A"/>
        </w:rPr>
      </w:pPr>
      <w:r>
        <w:rPr>
          <w:rFonts w:ascii="Arial" w:cs="Arial" w:eastAsia="Arial" w:hAnsi="Arial"/>
          <w:sz w:val="16"/>
          <w:szCs w:val="16"/>
          <w:color w:val="auto"/>
        </w:rPr>
        <w:t>create or reclassify any new or existing class or series of capital stock to grant rights, preferences, or privileges with respect to voting, liquidation, redemption, conversion or dividends that are senior to or on parity with those of the shares held by the Amneal Group; or</w:t>
      </w:r>
    </w:p>
    <w:p>
      <w:pPr>
        <w:spacing w:after="0" w:line="60" w:lineRule="exact"/>
        <w:rPr>
          <w:rFonts w:ascii="Arial" w:cs="Arial" w:eastAsia="Arial" w:hAnsi="Arial"/>
          <w:sz w:val="16"/>
          <w:szCs w:val="16"/>
          <w:color w:val="04568A"/>
        </w:rPr>
      </w:pPr>
    </w:p>
    <w:p>
      <w:pPr>
        <w:jc w:val="both"/>
        <w:ind w:left="180" w:right="20" w:hanging="172"/>
        <w:spacing w:after="0" w:line="253" w:lineRule="auto"/>
        <w:tabs>
          <w:tab w:leader="none" w:pos="180" w:val="left"/>
        </w:tabs>
        <w:numPr>
          <w:ilvl w:val="0"/>
          <w:numId w:val="6"/>
        </w:numPr>
        <w:rPr>
          <w:rFonts w:ascii="Arial" w:cs="Arial" w:eastAsia="Arial" w:hAnsi="Arial"/>
          <w:sz w:val="16"/>
          <w:szCs w:val="16"/>
          <w:color w:val="04568A"/>
        </w:rPr>
      </w:pPr>
      <w:r>
        <w:rPr>
          <w:rFonts w:ascii="Arial" w:cs="Arial" w:eastAsia="Arial" w:hAnsi="Arial"/>
          <w:sz w:val="16"/>
          <w:szCs w:val="16"/>
          <w:color w:val="auto"/>
        </w:rPr>
        <w:t>consummate any transaction as a result of which (a) more than 50% of the outstanding shares of the Company will be beneficially owned by any persons other than Amneal Group members and (b) any Amneal Group member receives an amount or form of consideration different from that which is granted to other holders of the Company’s shares.</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Bylaws Amendments</w:t>
      </w:r>
    </w:p>
    <w:p>
      <w:pPr>
        <w:spacing w:after="0" w:line="23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As previously disclosed and referenced above, in light of the substantial investment of the Amneal Group prior to the Combination, the Company continues to have certain legacy obligations and corporate governance features that were adopted in connection with the Combination. In particular, the Bylaws that we adopted following the Combination contained a provision requiring the vote of not less than two-thirds of the voting power of the issued and outstanding shares entitled to vote at a duly called and convened annual or special meeting of stockholders in order to amend certain limited Bylaws provisions, including provisions related to stockholder meetings and proposals as well as to the number, term and removal of and nominating</w:t>
      </w:r>
    </w:p>
    <w:p>
      <w:pPr>
        <w:spacing w:after="0" w:line="156"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11" w:name="page12"/>
    <w:bookmarkEnd w:id="11"/>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process for directors. Given the consent rights afforded to the Amneal Group described above pursuant to the Stockholders Agreement, coupled with the continued significant ownership stake of the Company by the Amneal Group, as exemplified by the Company’s designation as a “controlled company” as further discussed below, we expect that this provision will remain in place for the foreseeable future unless otherwise determined by the Amneal Group.</w:t>
      </w:r>
    </w:p>
    <w:p>
      <w:pPr>
        <w:spacing w:after="0" w:line="258" w:lineRule="exact"/>
        <w:rPr>
          <w:sz w:val="20"/>
          <w:szCs w:val="20"/>
          <w:color w:val="auto"/>
        </w:rPr>
      </w:pPr>
    </w:p>
    <w:p>
      <w:pPr>
        <w:ind w:right="500"/>
        <w:spacing w:after="0" w:line="286" w:lineRule="auto"/>
        <w:rPr>
          <w:sz w:val="20"/>
          <w:szCs w:val="20"/>
          <w:color w:val="auto"/>
        </w:rPr>
      </w:pPr>
      <w:r>
        <w:rPr>
          <w:rFonts w:ascii="Arial" w:cs="Arial" w:eastAsia="Arial" w:hAnsi="Arial"/>
          <w:sz w:val="32"/>
          <w:szCs w:val="32"/>
          <w:b w:val="1"/>
          <w:bCs w:val="1"/>
          <w:color w:val="04568A"/>
        </w:rPr>
        <w:t>Code of Business Conduct; Corporate Governance Guidelines; Board Committee Charters</w:t>
      </w:r>
    </w:p>
    <w:p>
      <w:pPr>
        <w:spacing w:after="0" w:line="106"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We are committed to conducting every aspect of our business in an ethical, open and honest manner and in full compliance with the law, both in letter and in spirit. Our Code of Business Conduct applies to all of our employees, officers and directors and lays out guidelines for our employees, officers and directors to follow as they conduct business on behalf of our Company. We have also adopted Corporate Governance Guidelines, which, together with our Certificate of Incorporation, Bylaws and Board committee charters, form the framework for the corporate governance of the Company. In addition, the Stockholders Agreement between the Company and the Amneal Group and the limited liability company agreement of Amneal LLC set forth a number of corporate governance requirements with respect to the Company.</w:t>
      </w:r>
    </w:p>
    <w:p>
      <w:pPr>
        <w:spacing w:after="0" w:line="17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 full text of the Code of Business Conduct as well as our Corporate Governance Guidelines, Audit Committee Charter, Compensation Committee Charter, Nominating and Corporate Governance Committee Charter and Conflicts Committee Charter are available at the investors section of our web site, http://investors.amneal.com. We intend to satisfy our disclosure obligations, if any, with respect to any amendment to, or waiver from, a provision of the Code of Business Conduct that applies to our directors or executive officers, including our principal executive officers, principal financial officer or principal accounting officer, in the investors section of our web site. Stockholders may request free printed copies of the Code of Business Conduct, Corporate Governance Guidelines and the Board committee charters by writing to: Amneal Pharmaceuticals, Inc., Attention: Corporate Secretary, 400 Crossing Boulevard, Bridgewater, NJ 08807 or corporatesecretary@amneal.com.</w:t>
      </w:r>
    </w:p>
    <w:p>
      <w:pPr>
        <w:spacing w:after="0" w:line="265"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Controlled Company Status</w:t>
      </w:r>
    </w:p>
    <w:p>
      <w:pPr>
        <w:spacing w:after="0" w:line="237"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 Amneal Group holds a majority of the voting power of our common stock. As a result, we are a “controlled company” as defined by NYSE listing rules and may elect to avail ourselves of exemptions from certain NYSE corporate governance listing requirements. Despite our status as a controlled company, we have chosen to govern ourselves without using these exemptions, which we believe sets the right tone with respect to our approach to corporate governance. Generally speaking, a controlled company is exempt from the requirements of (a) a majority of the board of directors consisting of independent directors; (b) a nominating and corporate governance committee composed entirely of independent directors with a written charter addressing specified matters; and (c) a compensation committee composed entirely of independent directors, with a written charter addressing specified matters. Although we currently do not avail ourselves of any of these exemptions, if we were to take advantage of any of them, our stockholders would not have the same protections afforded to stockholders of companies that are subject to all of the NYSE corporate governance listing requirements.</w:t>
      </w:r>
    </w:p>
    <w:p>
      <w:pPr>
        <w:spacing w:after="0" w:line="263"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Board Leadership Structure</w:t>
      </w:r>
    </w:p>
    <w:p>
      <w:pPr>
        <w:spacing w:after="0" w:line="237"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Our Board of Directors is led by an independent Chairman. The Chairman’s responsibilities include, but are not limited to, presiding over all meetings of the Board at which members of management are not present, including any executive sessions of independent directors, reviewing Board meeting schedules and agendas and acting as a liaison between the independent directors and the Co-Chief Executive Officers. Our Co-Chief Executive Officers do not hold leadership positions on the Board, but our Corporate Governance Guidelines do not prohibit them from doing so, as the Board retains the discretion to modify its leadership structure in the future as it deems appropriate. The Board has determined that its leadership structure currently is in the best interests of the Company and our stockholders because it allows our Co-Chief Executive Officers to focus on our day-to-day business and our Chairman to focus on managing Board operations and effectiveness and other corporate governance matters, while providing independent Board leadership.</w:t>
      </w:r>
    </w:p>
    <w:p>
      <w:pPr>
        <w:spacing w:after="0" w:line="161"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11</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12" w:name="page13"/>
    <w:bookmarkEnd w:id="12"/>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Meetings of the Board of Directors</w:t>
      </w:r>
    </w:p>
    <w:p>
      <w:pPr>
        <w:spacing w:after="0" w:line="359"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In the fiscal year ended December 31, 2021 (“fiscal 2021”), the Board of Directors held eight meetings. Each of the directors attended at least 75% of the aggregate of all meetings held by the Board of Directors and each committee of the Board of Directors on which he or she served during fiscal 2021, in each case held during the period for which he or she was a director and committee member. Our independent directors meet in executive session at least twice annually. The Chairman presides over executive sessions of the independent directors.</w:t>
      </w:r>
    </w:p>
    <w:p>
      <w:pPr>
        <w:spacing w:after="0" w:line="259" w:lineRule="exact"/>
        <w:rPr>
          <w:sz w:val="20"/>
          <w:szCs w:val="20"/>
          <w:color w:val="auto"/>
        </w:rPr>
      </w:pPr>
    </w:p>
    <w:p>
      <w:pPr>
        <w:ind w:right="860"/>
        <w:spacing w:after="0" w:line="286" w:lineRule="auto"/>
        <w:rPr>
          <w:sz w:val="20"/>
          <w:szCs w:val="20"/>
          <w:color w:val="auto"/>
        </w:rPr>
      </w:pPr>
      <w:r>
        <w:rPr>
          <w:rFonts w:ascii="Arial" w:cs="Arial" w:eastAsia="Arial" w:hAnsi="Arial"/>
          <w:sz w:val="32"/>
          <w:szCs w:val="32"/>
          <w:b w:val="1"/>
          <w:bCs w:val="1"/>
          <w:color w:val="04568A"/>
        </w:rPr>
        <w:t>Communication with the Board of Directors; Director Attendance at Annual Meetings</w:t>
      </w:r>
    </w:p>
    <w:p>
      <w:pPr>
        <w:spacing w:after="0" w:line="106"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Stockholders, employees and all other interested parties may communicate with a member or members or a committee of the Board of Directors by addressing their correspondence to the Board member or members or committee c/o Corporate Secretary, Amneal Pharmaceuticals, Inc., 400 Crossing Boulevard, Bridgewater, NJ 08807 or by email to corporatesecretary@amneal.com. Our corporate secretary will review the correspondence and will determine, in his good faith judgment, which stockholder communications will be relayed to the Board of Directors, any committee or any director. Our corporate secretary has the authority to discard or disregard any inappropriate communications or to take other appropriate actions with respect to any such inappropriate communications. Subject to the foregoing, mail addressed to “Board of Directors” or “non-management directors” will be forwarded to the Chairman.</w:t>
      </w:r>
    </w:p>
    <w:p>
      <w:pPr>
        <w:spacing w:after="0" w:line="18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Recognizing that director attendance at our annual meetings can provide our stockholders with a valuable opportunity to communicate with Board members about issues affecting our Company, we encourage and expect our directors to attend each annual meeting of stockholders. All 10 of our directors attended the 2021 annual meeting.</w:t>
      </w:r>
    </w:p>
    <w:p>
      <w:pPr>
        <w:spacing w:after="0" w:line="258"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Director Independence</w:t>
      </w:r>
    </w:p>
    <w:p>
      <w:pPr>
        <w:spacing w:after="0" w:line="237"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 making independence determinations, the Board of Directors observes all criteria for independence established by the SEC, the NYSE, other governing laws and regulations, and the Stockholders Agreement, and considers all relevant facts and circumstances. In accordance with our Corporate Governance Guidelines, to be considered independent:</w:t>
      </w:r>
    </w:p>
    <w:p>
      <w:pPr>
        <w:spacing w:after="0" w:line="174" w:lineRule="exact"/>
        <w:rPr>
          <w:sz w:val="20"/>
          <w:szCs w:val="20"/>
          <w:color w:val="auto"/>
        </w:rPr>
      </w:pPr>
    </w:p>
    <w:p>
      <w:pPr>
        <w:ind w:left="180" w:hanging="172"/>
        <w:spacing w:after="0"/>
        <w:tabs>
          <w:tab w:leader="none" w:pos="180" w:val="left"/>
        </w:tabs>
        <w:numPr>
          <w:ilvl w:val="0"/>
          <w:numId w:val="7"/>
        </w:numPr>
        <w:rPr>
          <w:rFonts w:ascii="Arial" w:cs="Arial" w:eastAsia="Arial" w:hAnsi="Arial"/>
          <w:sz w:val="16"/>
          <w:szCs w:val="16"/>
          <w:color w:val="04568A"/>
        </w:rPr>
      </w:pPr>
      <w:r>
        <w:rPr>
          <w:rFonts w:ascii="Arial" w:cs="Arial" w:eastAsia="Arial" w:hAnsi="Arial"/>
          <w:sz w:val="16"/>
          <w:szCs w:val="16"/>
          <w:color w:val="auto"/>
        </w:rPr>
        <w:t>the director must meet the bright-line independence tests under the listing standards of the NYSE; and</w:t>
      </w:r>
    </w:p>
    <w:p>
      <w:pPr>
        <w:spacing w:after="0" w:line="86"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7"/>
        </w:numPr>
        <w:rPr>
          <w:rFonts w:ascii="Arial" w:cs="Arial" w:eastAsia="Arial" w:hAnsi="Arial"/>
          <w:sz w:val="16"/>
          <w:szCs w:val="16"/>
          <w:color w:val="04568A"/>
        </w:rPr>
      </w:pPr>
      <w:r>
        <w:rPr>
          <w:rFonts w:ascii="Arial" w:cs="Arial" w:eastAsia="Arial" w:hAnsi="Arial"/>
          <w:sz w:val="16"/>
          <w:szCs w:val="16"/>
          <w:color w:val="auto"/>
        </w:rPr>
        <w:t>the Board must affirmatively determine that the director otherwise has no material relationship with our Company either directly or as a partner, stockholder or officer of an organization that has a relationship with our Company.</w:t>
      </w:r>
    </w:p>
    <w:p>
      <w:pPr>
        <w:spacing w:after="0" w:line="168"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The Board of Directors, through its Conflicts Committee, annually reviews all relevant business relationships any director may have with our Company. As a result of its annual review, the Board has affirmatively determined that each of the following directors meets the independence tests under the listing standards of the NYSE, none of them has a material relationship with the Company and, as a result, such directors are independent: Paul Meister, J. Kevin Buchi, Jeff George, John Kiely, Ted Nark, and Shlomo Yanai.</w:t>
      </w:r>
    </w:p>
    <w:p>
      <w:pPr>
        <w:spacing w:after="0" w:line="175"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In making the foregoing independence determination, the Board of Directors considered the following relationship in light of the Company’s independence standards and determined that it does not constitute a material relationship with the Company:</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Ted Nark was previously listed on the website of Tarsadia Investments, a family office investment firm, as an independent senior advisor. Tushar Patel, who is a member of the Amneal Group and an observer to the Board, is the Chairman and Founder of Tarsadia Investments. Gautam Patel, who is a member of the Amneal Group and a member of the Board, is a Managing Director of Tarsadia Investments. Mr. Nark does not receive and has never received any compensation from Tarsadia Investments. Further, Mr. Nark does not maintain an office at, participate in the management of, or have access to any proprietary or confidential information held by Tarsadia Investments nor does he have any contractual or legal relationship with Tarsadia or Tushar Patel.</w:t>
      </w:r>
    </w:p>
    <w:p>
      <w:pPr>
        <w:spacing w:after="0" w:line="176"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In addition to the director independence standards described above, the Stockholders Agreement imposes additional independence requirements that apply in certain circumstances. The Stockholders Agreement defines a “Company Independent Director” as a director who:</w:t>
      </w:r>
    </w:p>
    <w:p>
      <w:pPr>
        <w:spacing w:after="0" w:line="168" w:lineRule="exact"/>
        <w:rPr>
          <w:sz w:val="20"/>
          <w:szCs w:val="20"/>
          <w:color w:val="auto"/>
        </w:rPr>
      </w:pPr>
    </w:p>
    <w:p>
      <w:pPr>
        <w:ind w:left="180" w:hanging="172"/>
        <w:spacing w:after="0"/>
        <w:tabs>
          <w:tab w:leader="none" w:pos="180" w:val="left"/>
        </w:tabs>
        <w:numPr>
          <w:ilvl w:val="0"/>
          <w:numId w:val="8"/>
        </w:numPr>
        <w:rPr>
          <w:rFonts w:ascii="Arial" w:cs="Arial" w:eastAsia="Arial" w:hAnsi="Arial"/>
          <w:sz w:val="16"/>
          <w:szCs w:val="16"/>
          <w:color w:val="04568A"/>
        </w:rPr>
      </w:pPr>
      <w:r>
        <w:rPr>
          <w:rFonts w:ascii="Arial" w:cs="Arial" w:eastAsia="Arial" w:hAnsi="Arial"/>
          <w:sz w:val="16"/>
          <w:szCs w:val="16"/>
          <w:color w:val="auto"/>
        </w:rPr>
        <w:t>meets the independence standards under the rules of the NYSE;</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8"/>
        </w:numPr>
        <w:rPr>
          <w:rFonts w:ascii="Arial" w:cs="Arial" w:eastAsia="Arial" w:hAnsi="Arial"/>
          <w:sz w:val="16"/>
          <w:szCs w:val="16"/>
          <w:color w:val="04568A"/>
        </w:rPr>
      </w:pPr>
      <w:r>
        <w:rPr>
          <w:rFonts w:ascii="Arial" w:cs="Arial" w:eastAsia="Arial" w:hAnsi="Arial"/>
          <w:sz w:val="16"/>
          <w:szCs w:val="16"/>
          <w:color w:val="auto"/>
        </w:rPr>
        <w:t>is a non-Amneal Group Director;</w:t>
      </w:r>
    </w:p>
    <w:p>
      <w:pPr>
        <w:spacing w:after="0" w:line="86"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8"/>
        </w:numPr>
        <w:rPr>
          <w:rFonts w:ascii="Arial" w:cs="Arial" w:eastAsia="Arial" w:hAnsi="Arial"/>
          <w:sz w:val="16"/>
          <w:szCs w:val="16"/>
          <w:color w:val="04568A"/>
        </w:rPr>
      </w:pPr>
      <w:r>
        <w:rPr>
          <w:rFonts w:ascii="Arial" w:cs="Arial" w:eastAsia="Arial" w:hAnsi="Arial"/>
          <w:sz w:val="16"/>
          <w:szCs w:val="16"/>
          <w:color w:val="auto"/>
        </w:rPr>
        <w:t>is not a current or former member of the Board of Directors of any Amneal Group member or its affiliates or officer or employee of any Amneal Group member or its affiliates;</w:t>
      </w:r>
    </w:p>
    <w:p>
      <w:pPr>
        <w:spacing w:after="0" w:line="60" w:lineRule="exact"/>
        <w:rPr>
          <w:rFonts w:ascii="Arial" w:cs="Arial" w:eastAsia="Arial" w:hAnsi="Arial"/>
          <w:sz w:val="16"/>
          <w:szCs w:val="16"/>
          <w:color w:val="04568A"/>
        </w:rPr>
      </w:pPr>
    </w:p>
    <w:p>
      <w:pPr>
        <w:ind w:left="180" w:hanging="172"/>
        <w:spacing w:after="0"/>
        <w:tabs>
          <w:tab w:leader="none" w:pos="180" w:val="left"/>
        </w:tabs>
        <w:numPr>
          <w:ilvl w:val="0"/>
          <w:numId w:val="8"/>
        </w:numPr>
        <w:rPr>
          <w:rFonts w:ascii="Arial" w:cs="Arial" w:eastAsia="Arial" w:hAnsi="Arial"/>
          <w:sz w:val="16"/>
          <w:szCs w:val="16"/>
          <w:color w:val="04568A"/>
        </w:rPr>
      </w:pPr>
      <w:r>
        <w:rPr>
          <w:rFonts w:ascii="Arial" w:cs="Arial" w:eastAsia="Arial" w:hAnsi="Arial"/>
          <w:sz w:val="16"/>
          <w:szCs w:val="16"/>
          <w:color w:val="auto"/>
        </w:rPr>
        <w:t>does not have and has not had any other material relationship with the Company or its affiliates; and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8"/>
        </w:numPr>
        <w:rPr>
          <w:rFonts w:ascii="Arial" w:cs="Arial" w:eastAsia="Arial" w:hAnsi="Arial"/>
          <w:sz w:val="16"/>
          <w:szCs w:val="16"/>
          <w:color w:val="04568A"/>
        </w:rPr>
      </w:pPr>
      <w:r>
        <w:rPr>
          <w:rFonts w:ascii="Arial" w:cs="Arial" w:eastAsia="Arial" w:hAnsi="Arial"/>
          <w:sz w:val="16"/>
          <w:szCs w:val="16"/>
          <w:color w:val="auto"/>
        </w:rPr>
        <w:t>is designated as a “Company Independent Director.”</w:t>
      </w:r>
    </w:p>
    <w:p>
      <w:pPr>
        <w:spacing w:after="0" w:line="174"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13" w:name="page14"/>
    <w:bookmarkEnd w:id="13"/>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Committees of the Board of Directors</w:t>
      </w:r>
    </w:p>
    <w:p>
      <w:pPr>
        <w:spacing w:after="0" w:line="359" w:lineRule="exact"/>
        <w:rPr>
          <w:sz w:val="20"/>
          <w:szCs w:val="20"/>
          <w:color w:val="auto"/>
        </w:rPr>
      </w:pPr>
    </w:p>
    <w:p>
      <w:pPr>
        <w:spacing w:after="0" w:line="260" w:lineRule="auto"/>
        <w:rPr>
          <w:sz w:val="20"/>
          <w:szCs w:val="20"/>
          <w:color w:val="auto"/>
        </w:rPr>
      </w:pPr>
      <w:r>
        <w:rPr>
          <w:rFonts w:ascii="Arial" w:cs="Arial" w:eastAsia="Arial" w:hAnsi="Arial"/>
          <w:sz w:val="16"/>
          <w:szCs w:val="16"/>
          <w:color w:val="auto"/>
        </w:rPr>
        <w:t>The Board of Directors has five standing committees: an Audit Committee, a Compensation Committee, a Nominating and Corporate Governance Committee, a Conflicts Committee, and a Technology and Operational Compliance Committee.</w:t>
      </w:r>
    </w:p>
    <w:p>
      <w:pPr>
        <w:spacing w:after="0" w:line="168" w:lineRule="exact"/>
        <w:rPr>
          <w:sz w:val="20"/>
          <w:szCs w:val="20"/>
          <w:color w:val="auto"/>
        </w:rPr>
      </w:pPr>
    </w:p>
    <w:p>
      <w:pPr>
        <w:spacing w:after="0" w:line="260" w:lineRule="auto"/>
        <w:rPr>
          <w:sz w:val="20"/>
          <w:szCs w:val="20"/>
          <w:color w:val="auto"/>
        </w:rPr>
      </w:pPr>
      <w:r>
        <w:rPr>
          <w:rFonts w:ascii="Arial" w:cs="Arial" w:eastAsia="Arial" w:hAnsi="Arial"/>
          <w:sz w:val="16"/>
          <w:szCs w:val="16"/>
          <w:color w:val="auto"/>
        </w:rPr>
        <w:t>The following table sets forth the members of each committee and the number of meetings held during fiscal 2021 for each of the Board’s committees, as well as each director’s status as either independent or not independent and either an Amneal Group Director or Non-Amneal Group Director.</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4580" w:type="dxa"/>
            <w:vAlign w:val="bottom"/>
          </w:tcPr>
          <w:p>
            <w:pPr>
              <w:spacing w:after="0"/>
              <w:rPr>
                <w:sz w:val="16"/>
                <w:szCs w:val="16"/>
                <w:color w:val="auto"/>
              </w:rPr>
            </w:pPr>
          </w:p>
        </w:tc>
        <w:tc>
          <w:tcPr>
            <w:tcW w:w="1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Arial" w:cs="Arial" w:eastAsia="Arial" w:hAnsi="Arial"/>
                <w:sz w:val="16"/>
                <w:szCs w:val="16"/>
                <w:b w:val="1"/>
                <w:bCs w:val="1"/>
                <w:color w:val="04568A"/>
              </w:rPr>
              <w:t>Technology</w:t>
            </w:r>
          </w:p>
        </w:tc>
      </w:tr>
      <w:tr>
        <w:trPr>
          <w:trHeight w:val="189"/>
        </w:trPr>
        <w:tc>
          <w:tcPr>
            <w:tcW w:w="4580" w:type="dxa"/>
            <w:vAlign w:val="bottom"/>
          </w:tcPr>
          <w:p>
            <w:pPr>
              <w:spacing w:after="0"/>
              <w:rPr>
                <w:sz w:val="16"/>
                <w:szCs w:val="16"/>
                <w:color w:val="auto"/>
              </w:rPr>
            </w:pPr>
          </w:p>
        </w:tc>
        <w:tc>
          <w:tcPr>
            <w:tcW w:w="1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jc w:val="center"/>
              <w:spacing w:after="0"/>
              <w:rPr>
                <w:sz w:val="20"/>
                <w:szCs w:val="20"/>
                <w:color w:val="auto"/>
              </w:rPr>
            </w:pPr>
            <w:r>
              <w:rPr>
                <w:rFonts w:ascii="Arial" w:cs="Arial" w:eastAsia="Arial" w:hAnsi="Arial"/>
                <w:sz w:val="16"/>
                <w:szCs w:val="16"/>
                <w:b w:val="1"/>
                <w:bCs w:val="1"/>
                <w:color w:val="04568A"/>
                <w:w w:val="99"/>
              </w:rPr>
              <w:t>Nominating</w:t>
            </w:r>
          </w:p>
        </w:tc>
        <w:tc>
          <w:tcPr>
            <w:tcW w:w="100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Arial" w:cs="Arial" w:eastAsia="Arial" w:hAnsi="Arial"/>
                <w:sz w:val="16"/>
                <w:szCs w:val="16"/>
                <w:b w:val="1"/>
                <w:bCs w:val="1"/>
                <w:color w:val="04568A"/>
                <w:w w:val="98"/>
              </w:rPr>
              <w:t>and</w:t>
            </w:r>
          </w:p>
        </w:tc>
      </w:tr>
      <w:tr>
        <w:trPr>
          <w:trHeight w:val="189"/>
        </w:trPr>
        <w:tc>
          <w:tcPr>
            <w:tcW w:w="4580" w:type="dxa"/>
            <w:vAlign w:val="bottom"/>
          </w:tcPr>
          <w:p>
            <w:pPr>
              <w:ind w:left="3900"/>
              <w:spacing w:after="0"/>
              <w:rPr>
                <w:sz w:val="20"/>
                <w:szCs w:val="20"/>
                <w:color w:val="auto"/>
              </w:rPr>
            </w:pPr>
            <w:r>
              <w:rPr>
                <w:rFonts w:ascii="Arial" w:cs="Arial" w:eastAsia="Arial" w:hAnsi="Arial"/>
                <w:sz w:val="16"/>
                <w:szCs w:val="16"/>
                <w:b w:val="1"/>
                <w:bCs w:val="1"/>
                <w:color w:val="04568A"/>
              </w:rPr>
              <w:t>Amneal</w:t>
            </w:r>
          </w:p>
        </w:tc>
        <w:tc>
          <w:tcPr>
            <w:tcW w:w="1100" w:type="dxa"/>
            <w:vAlign w:val="bottom"/>
          </w:tcPr>
          <w:p>
            <w:pPr>
              <w:jc w:val="center"/>
              <w:spacing w:after="0"/>
              <w:rPr>
                <w:sz w:val="20"/>
                <w:szCs w:val="20"/>
                <w:color w:val="auto"/>
              </w:rPr>
            </w:pPr>
            <w:r>
              <w:rPr>
                <w:rFonts w:ascii="Arial" w:cs="Arial" w:eastAsia="Arial" w:hAnsi="Arial"/>
                <w:sz w:val="16"/>
                <w:szCs w:val="16"/>
                <w:b w:val="1"/>
                <w:bCs w:val="1"/>
                <w:color w:val="04568A"/>
                <w:w w:val="99"/>
              </w:rPr>
              <w:t>Non-Amneal</w:t>
            </w:r>
          </w:p>
        </w:tc>
        <w:tc>
          <w:tcPr>
            <w:tcW w:w="10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jc w:val="center"/>
              <w:spacing w:after="0"/>
              <w:rPr>
                <w:sz w:val="20"/>
                <w:szCs w:val="20"/>
                <w:color w:val="auto"/>
              </w:rPr>
            </w:pPr>
            <w:r>
              <w:rPr>
                <w:rFonts w:ascii="Arial" w:cs="Arial" w:eastAsia="Arial" w:hAnsi="Arial"/>
                <w:sz w:val="16"/>
                <w:szCs w:val="16"/>
                <w:b w:val="1"/>
                <w:bCs w:val="1"/>
                <w:color w:val="04568A"/>
              </w:rPr>
              <w:t>and Corporate</w:t>
            </w:r>
          </w:p>
        </w:tc>
        <w:tc>
          <w:tcPr>
            <w:tcW w:w="100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Arial" w:cs="Arial" w:eastAsia="Arial" w:hAnsi="Arial"/>
                <w:sz w:val="16"/>
                <w:szCs w:val="16"/>
                <w:b w:val="1"/>
                <w:bCs w:val="1"/>
                <w:color w:val="04568A"/>
              </w:rPr>
              <w:t>Operational</w:t>
            </w:r>
          </w:p>
        </w:tc>
      </w:tr>
      <w:tr>
        <w:trPr>
          <w:trHeight w:val="189"/>
        </w:trPr>
        <w:tc>
          <w:tcPr>
            <w:tcW w:w="4580" w:type="dxa"/>
            <w:vAlign w:val="bottom"/>
          </w:tcPr>
          <w:p>
            <w:pPr>
              <w:ind w:left="3940"/>
              <w:spacing w:after="0"/>
              <w:rPr>
                <w:sz w:val="20"/>
                <w:szCs w:val="20"/>
                <w:color w:val="auto"/>
              </w:rPr>
            </w:pPr>
            <w:r>
              <w:rPr>
                <w:rFonts w:ascii="Arial" w:cs="Arial" w:eastAsia="Arial" w:hAnsi="Arial"/>
                <w:sz w:val="16"/>
                <w:szCs w:val="16"/>
                <w:b w:val="1"/>
                <w:bCs w:val="1"/>
                <w:color w:val="04568A"/>
              </w:rPr>
              <w:t>Group</w:t>
            </w:r>
          </w:p>
        </w:tc>
        <w:tc>
          <w:tcPr>
            <w:tcW w:w="1100" w:type="dxa"/>
            <w:vAlign w:val="bottom"/>
          </w:tcPr>
          <w:p>
            <w:pPr>
              <w:jc w:val="center"/>
              <w:spacing w:after="0"/>
              <w:rPr>
                <w:sz w:val="20"/>
                <w:szCs w:val="20"/>
                <w:color w:val="auto"/>
              </w:rPr>
            </w:pPr>
            <w:r>
              <w:rPr>
                <w:rFonts w:ascii="Arial" w:cs="Arial" w:eastAsia="Arial" w:hAnsi="Arial"/>
                <w:sz w:val="16"/>
                <w:szCs w:val="16"/>
                <w:b w:val="1"/>
                <w:bCs w:val="1"/>
                <w:color w:val="04568A"/>
              </w:rPr>
              <w:t>Group</w:t>
            </w:r>
          </w:p>
        </w:tc>
        <w:tc>
          <w:tcPr>
            <w:tcW w:w="1000" w:type="dxa"/>
            <w:vAlign w:val="bottom"/>
          </w:tcPr>
          <w:p>
            <w:pPr>
              <w:jc w:val="center"/>
              <w:spacing w:after="0"/>
              <w:rPr>
                <w:sz w:val="20"/>
                <w:szCs w:val="20"/>
                <w:color w:val="auto"/>
              </w:rPr>
            </w:pPr>
            <w:r>
              <w:rPr>
                <w:rFonts w:ascii="Arial" w:cs="Arial" w:eastAsia="Arial" w:hAnsi="Arial"/>
                <w:sz w:val="16"/>
                <w:szCs w:val="16"/>
                <w:b w:val="1"/>
                <w:bCs w:val="1"/>
                <w:color w:val="04568A"/>
              </w:rPr>
              <w:t>Audit</w:t>
            </w:r>
          </w:p>
        </w:tc>
        <w:tc>
          <w:tcPr>
            <w:tcW w:w="1280" w:type="dxa"/>
            <w:vAlign w:val="bottom"/>
          </w:tcPr>
          <w:p>
            <w:pPr>
              <w:jc w:val="center"/>
              <w:spacing w:after="0"/>
              <w:rPr>
                <w:sz w:val="20"/>
                <w:szCs w:val="20"/>
                <w:color w:val="auto"/>
              </w:rPr>
            </w:pPr>
            <w:r>
              <w:rPr>
                <w:rFonts w:ascii="Arial" w:cs="Arial" w:eastAsia="Arial" w:hAnsi="Arial"/>
                <w:sz w:val="16"/>
                <w:szCs w:val="16"/>
                <w:b w:val="1"/>
                <w:bCs w:val="1"/>
                <w:color w:val="04568A"/>
              </w:rPr>
              <w:t>Compensation</w:t>
            </w:r>
          </w:p>
        </w:tc>
        <w:tc>
          <w:tcPr>
            <w:tcW w:w="1280" w:type="dxa"/>
            <w:vAlign w:val="bottom"/>
          </w:tcPr>
          <w:p>
            <w:pPr>
              <w:jc w:val="center"/>
              <w:spacing w:after="0"/>
              <w:rPr>
                <w:sz w:val="20"/>
                <w:szCs w:val="20"/>
                <w:color w:val="auto"/>
              </w:rPr>
            </w:pPr>
            <w:r>
              <w:rPr>
                <w:rFonts w:ascii="Arial" w:cs="Arial" w:eastAsia="Arial" w:hAnsi="Arial"/>
                <w:sz w:val="16"/>
                <w:szCs w:val="16"/>
                <w:b w:val="1"/>
                <w:bCs w:val="1"/>
                <w:color w:val="04568A"/>
                <w:w w:val="99"/>
              </w:rPr>
              <w:t>Governance</w:t>
            </w:r>
          </w:p>
        </w:tc>
        <w:tc>
          <w:tcPr>
            <w:tcW w:w="1000" w:type="dxa"/>
            <w:vAlign w:val="bottom"/>
          </w:tcPr>
          <w:p>
            <w:pPr>
              <w:jc w:val="center"/>
              <w:spacing w:after="0"/>
              <w:rPr>
                <w:sz w:val="20"/>
                <w:szCs w:val="20"/>
                <w:color w:val="auto"/>
              </w:rPr>
            </w:pPr>
            <w:r>
              <w:rPr>
                <w:rFonts w:ascii="Arial" w:cs="Arial" w:eastAsia="Arial" w:hAnsi="Arial"/>
                <w:sz w:val="16"/>
                <w:szCs w:val="16"/>
                <w:b w:val="1"/>
                <w:bCs w:val="1"/>
                <w:color w:val="04568A"/>
              </w:rPr>
              <w:t>Conflicts</w:t>
            </w:r>
          </w:p>
        </w:tc>
        <w:tc>
          <w:tcPr>
            <w:tcW w:w="1000" w:type="dxa"/>
            <w:vAlign w:val="bottom"/>
          </w:tcPr>
          <w:p>
            <w:pPr>
              <w:jc w:val="center"/>
              <w:spacing w:after="0"/>
              <w:rPr>
                <w:sz w:val="20"/>
                <w:szCs w:val="20"/>
                <w:color w:val="auto"/>
              </w:rPr>
            </w:pPr>
            <w:r>
              <w:rPr>
                <w:rFonts w:ascii="Arial" w:cs="Arial" w:eastAsia="Arial" w:hAnsi="Arial"/>
                <w:sz w:val="16"/>
                <w:szCs w:val="16"/>
                <w:b w:val="1"/>
                <w:bCs w:val="1"/>
                <w:color w:val="04568A"/>
              </w:rPr>
              <w:t>Compliance</w:t>
            </w:r>
          </w:p>
        </w:tc>
      </w:tr>
      <w:tr>
        <w:trPr>
          <w:trHeight w:val="207"/>
        </w:trPr>
        <w:tc>
          <w:tcPr>
            <w:tcW w:w="4580" w:type="dxa"/>
            <w:vAlign w:val="bottom"/>
            <w:tcBorders>
              <w:bottom w:val="single" w:sz="8" w:color="04568A"/>
            </w:tcBorders>
          </w:tcPr>
          <w:p>
            <w:pPr>
              <w:ind w:left="2760"/>
              <w:spacing w:after="0"/>
              <w:rPr>
                <w:sz w:val="20"/>
                <w:szCs w:val="20"/>
                <w:color w:val="auto"/>
              </w:rPr>
            </w:pPr>
            <w:r>
              <w:rPr>
                <w:rFonts w:ascii="Arial" w:cs="Arial" w:eastAsia="Arial" w:hAnsi="Arial"/>
                <w:sz w:val="16"/>
                <w:szCs w:val="16"/>
                <w:b w:val="1"/>
                <w:bCs w:val="1"/>
                <w:color w:val="04568A"/>
              </w:rPr>
              <w:t>Independent  Director</w:t>
            </w:r>
          </w:p>
        </w:tc>
        <w:tc>
          <w:tcPr>
            <w:tcW w:w="1100" w:type="dxa"/>
            <w:vAlign w:val="bottom"/>
            <w:tcBorders>
              <w:bottom w:val="single" w:sz="8" w:color="04568A"/>
            </w:tcBorders>
          </w:tcPr>
          <w:p>
            <w:pPr>
              <w:jc w:val="center"/>
              <w:spacing w:after="0"/>
              <w:rPr>
                <w:sz w:val="20"/>
                <w:szCs w:val="20"/>
                <w:color w:val="auto"/>
              </w:rPr>
            </w:pPr>
            <w:r>
              <w:rPr>
                <w:rFonts w:ascii="Arial" w:cs="Arial" w:eastAsia="Arial" w:hAnsi="Arial"/>
                <w:sz w:val="16"/>
                <w:szCs w:val="16"/>
                <w:b w:val="1"/>
                <w:bCs w:val="1"/>
                <w:color w:val="04568A"/>
              </w:rPr>
              <w:t>Director</w:t>
            </w:r>
          </w:p>
        </w:tc>
        <w:tc>
          <w:tcPr>
            <w:tcW w:w="1000" w:type="dxa"/>
            <w:vAlign w:val="bottom"/>
            <w:tcBorders>
              <w:bottom w:val="single" w:sz="8" w:color="04568A"/>
            </w:tcBorders>
          </w:tcPr>
          <w:p>
            <w:pPr>
              <w:jc w:val="center"/>
              <w:spacing w:after="0"/>
              <w:rPr>
                <w:sz w:val="20"/>
                <w:szCs w:val="20"/>
                <w:color w:val="auto"/>
              </w:rPr>
            </w:pPr>
            <w:r>
              <w:rPr>
                <w:rFonts w:ascii="Arial" w:cs="Arial" w:eastAsia="Arial" w:hAnsi="Arial"/>
                <w:sz w:val="16"/>
                <w:szCs w:val="16"/>
                <w:b w:val="1"/>
                <w:bCs w:val="1"/>
                <w:color w:val="04568A"/>
              </w:rPr>
              <w:t>Committee</w:t>
            </w:r>
          </w:p>
        </w:tc>
        <w:tc>
          <w:tcPr>
            <w:tcW w:w="1280" w:type="dxa"/>
            <w:vAlign w:val="bottom"/>
            <w:tcBorders>
              <w:bottom w:val="single" w:sz="8" w:color="04568A"/>
            </w:tcBorders>
          </w:tcPr>
          <w:p>
            <w:pPr>
              <w:jc w:val="center"/>
              <w:spacing w:after="0"/>
              <w:rPr>
                <w:sz w:val="20"/>
                <w:szCs w:val="20"/>
                <w:color w:val="auto"/>
              </w:rPr>
            </w:pPr>
            <w:r>
              <w:rPr>
                <w:rFonts w:ascii="Arial" w:cs="Arial" w:eastAsia="Arial" w:hAnsi="Arial"/>
                <w:sz w:val="16"/>
                <w:szCs w:val="16"/>
                <w:b w:val="1"/>
                <w:bCs w:val="1"/>
                <w:color w:val="04568A"/>
              </w:rPr>
              <w:t>Committee</w:t>
            </w:r>
          </w:p>
        </w:tc>
        <w:tc>
          <w:tcPr>
            <w:tcW w:w="1280" w:type="dxa"/>
            <w:vAlign w:val="bottom"/>
            <w:tcBorders>
              <w:bottom w:val="single" w:sz="8" w:color="04568A"/>
            </w:tcBorders>
          </w:tcPr>
          <w:p>
            <w:pPr>
              <w:jc w:val="center"/>
              <w:spacing w:after="0"/>
              <w:rPr>
                <w:sz w:val="20"/>
                <w:szCs w:val="20"/>
                <w:color w:val="auto"/>
              </w:rPr>
            </w:pPr>
            <w:r>
              <w:rPr>
                <w:rFonts w:ascii="Arial" w:cs="Arial" w:eastAsia="Arial" w:hAnsi="Arial"/>
                <w:sz w:val="16"/>
                <w:szCs w:val="16"/>
                <w:b w:val="1"/>
                <w:bCs w:val="1"/>
                <w:color w:val="04568A"/>
              </w:rPr>
              <w:t>Committee</w:t>
            </w:r>
          </w:p>
        </w:tc>
        <w:tc>
          <w:tcPr>
            <w:tcW w:w="1000" w:type="dxa"/>
            <w:vAlign w:val="bottom"/>
            <w:tcBorders>
              <w:bottom w:val="single" w:sz="8" w:color="04568A"/>
            </w:tcBorders>
          </w:tcPr>
          <w:p>
            <w:pPr>
              <w:jc w:val="center"/>
              <w:spacing w:after="0"/>
              <w:rPr>
                <w:sz w:val="20"/>
                <w:szCs w:val="20"/>
                <w:color w:val="auto"/>
              </w:rPr>
            </w:pPr>
            <w:r>
              <w:rPr>
                <w:rFonts w:ascii="Arial" w:cs="Arial" w:eastAsia="Arial" w:hAnsi="Arial"/>
                <w:sz w:val="16"/>
                <w:szCs w:val="16"/>
                <w:b w:val="1"/>
                <w:bCs w:val="1"/>
                <w:color w:val="04568A"/>
              </w:rPr>
              <w:t>Committee</w:t>
            </w:r>
          </w:p>
        </w:tc>
        <w:tc>
          <w:tcPr>
            <w:tcW w:w="1000" w:type="dxa"/>
            <w:vAlign w:val="bottom"/>
            <w:tcBorders>
              <w:bottom w:val="single" w:sz="8" w:color="04568A"/>
            </w:tcBorders>
          </w:tcPr>
          <w:p>
            <w:pPr>
              <w:jc w:val="center"/>
              <w:spacing w:after="0"/>
              <w:rPr>
                <w:sz w:val="20"/>
                <w:szCs w:val="20"/>
                <w:color w:val="auto"/>
              </w:rPr>
            </w:pPr>
            <w:r>
              <w:rPr>
                <w:rFonts w:ascii="Arial" w:cs="Arial" w:eastAsia="Arial" w:hAnsi="Arial"/>
                <w:sz w:val="16"/>
                <w:szCs w:val="16"/>
                <w:b w:val="1"/>
                <w:bCs w:val="1"/>
                <w:color w:val="04568A"/>
              </w:rPr>
              <w:t>Committee</w:t>
            </w:r>
          </w:p>
        </w:tc>
      </w:tr>
      <w:tr>
        <w:trPr>
          <w:trHeight w:val="209"/>
        </w:trPr>
        <w:tc>
          <w:tcPr>
            <w:tcW w:w="4580" w:type="dxa"/>
            <w:vAlign w:val="bottom"/>
          </w:tcPr>
          <w:p>
            <w:pPr>
              <w:ind w:left="60"/>
              <w:spacing w:after="0"/>
              <w:rPr>
                <w:sz w:val="20"/>
                <w:szCs w:val="20"/>
                <w:color w:val="auto"/>
              </w:rPr>
            </w:pPr>
            <w:r>
              <w:rPr>
                <w:rFonts w:ascii="Arial" w:cs="Arial" w:eastAsia="Arial" w:hAnsi="Arial"/>
                <w:sz w:val="16"/>
                <w:szCs w:val="16"/>
                <w:color w:val="auto"/>
              </w:rPr>
              <w:t>Emily Peterson Alva</w:t>
            </w:r>
          </w:p>
        </w:tc>
        <w:tc>
          <w:tcPr>
            <w:tcW w:w="11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280" w:type="dxa"/>
            <w:vAlign w:val="bottom"/>
          </w:tcPr>
          <w:p>
            <w:pPr>
              <w:spacing w:after="0"/>
              <w:rPr>
                <w:sz w:val="18"/>
                <w:szCs w:val="18"/>
                <w:color w:val="auto"/>
              </w:rPr>
            </w:pPr>
          </w:p>
        </w:tc>
        <w:tc>
          <w:tcPr>
            <w:tcW w:w="128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000" w:type="dxa"/>
            <w:vAlign w:val="bottom"/>
          </w:tcPr>
          <w:p>
            <w:pPr>
              <w:spacing w:after="0"/>
              <w:rPr>
                <w:sz w:val="18"/>
                <w:szCs w:val="18"/>
                <w:color w:val="auto"/>
              </w:rPr>
            </w:pPr>
          </w:p>
        </w:tc>
      </w:tr>
      <w:tr>
        <w:trPr>
          <w:trHeight w:val="189"/>
        </w:trPr>
        <w:tc>
          <w:tcPr>
            <w:tcW w:w="4580" w:type="dxa"/>
            <w:vAlign w:val="bottom"/>
            <w:shd w:val="clear" w:color="auto" w:fill="E4E9F2"/>
          </w:tcPr>
          <w:p>
            <w:pPr>
              <w:ind w:left="60"/>
              <w:spacing w:after="0"/>
              <w:rPr>
                <w:sz w:val="20"/>
                <w:szCs w:val="20"/>
                <w:color w:val="auto"/>
              </w:rPr>
            </w:pPr>
            <w:r>
              <w:rPr>
                <w:rFonts w:ascii="Arial" w:cs="Arial" w:eastAsia="Arial" w:hAnsi="Arial"/>
                <w:sz w:val="16"/>
                <w:szCs w:val="16"/>
                <w:color w:val="auto"/>
              </w:rPr>
              <w:t>J. Kevin Buchi</w:t>
            </w:r>
          </w:p>
        </w:tc>
        <w:tc>
          <w:tcPr>
            <w:tcW w:w="110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c>
          <w:tcPr>
            <w:tcW w:w="1280" w:type="dxa"/>
            <w:vAlign w:val="bottom"/>
            <w:shd w:val="clear" w:color="auto" w:fill="E4E9F2"/>
          </w:tcPr>
          <w:p>
            <w:pPr>
              <w:spacing w:after="0"/>
              <w:rPr>
                <w:sz w:val="16"/>
                <w:szCs w:val="16"/>
                <w:color w:val="auto"/>
              </w:rPr>
            </w:pPr>
          </w:p>
        </w:tc>
        <w:tc>
          <w:tcPr>
            <w:tcW w:w="1280" w:type="dxa"/>
            <w:vAlign w:val="bottom"/>
            <w:shd w:val="clear" w:color="auto" w:fill="E4E9F2"/>
          </w:tcPr>
          <w:p>
            <w:pPr>
              <w:spacing w:after="0"/>
              <w:rPr>
                <w:sz w:val="16"/>
                <w:szCs w:val="16"/>
                <w:color w:val="auto"/>
              </w:rPr>
            </w:pPr>
          </w:p>
        </w:tc>
        <w:tc>
          <w:tcPr>
            <w:tcW w:w="1000" w:type="dxa"/>
            <w:vAlign w:val="bottom"/>
            <w:shd w:val="clear" w:color="auto" w:fill="E4E9F2"/>
          </w:tcPr>
          <w:p>
            <w:pPr>
              <w:jc w:val="center"/>
              <w:spacing w:after="0"/>
              <w:rPr>
                <w:sz w:val="20"/>
                <w:szCs w:val="20"/>
                <w:color w:val="auto"/>
              </w:rPr>
            </w:pPr>
            <w:r>
              <w:rPr>
                <w:rFonts w:ascii="Arial" w:cs="Arial" w:eastAsia="Arial" w:hAnsi="Arial"/>
                <w:sz w:val="16"/>
                <w:szCs w:val="16"/>
                <w:color w:val="auto"/>
                <w:w w:val="99"/>
              </w:rPr>
              <w:t>Chair</w:t>
            </w:r>
          </w:p>
        </w:tc>
        <w:tc>
          <w:tcPr>
            <w:tcW w:w="1000" w:type="dxa"/>
            <w:vAlign w:val="bottom"/>
            <w:shd w:val="clear" w:color="auto" w:fill="E4E9F2"/>
          </w:tcPr>
          <w:p>
            <w:pPr>
              <w:spacing w:after="0"/>
              <w:rPr>
                <w:sz w:val="16"/>
                <w:szCs w:val="16"/>
                <w:color w:val="auto"/>
              </w:rPr>
            </w:pPr>
          </w:p>
        </w:tc>
      </w:tr>
      <w:tr>
        <w:trPr>
          <w:trHeight w:val="189"/>
        </w:trPr>
        <w:tc>
          <w:tcPr>
            <w:tcW w:w="4580" w:type="dxa"/>
            <w:vAlign w:val="bottom"/>
          </w:tcPr>
          <w:p>
            <w:pPr>
              <w:ind w:left="60"/>
              <w:spacing w:after="0"/>
              <w:rPr>
                <w:sz w:val="20"/>
                <w:szCs w:val="20"/>
                <w:color w:val="auto"/>
              </w:rPr>
            </w:pPr>
            <w:r>
              <w:rPr>
                <w:rFonts w:ascii="Arial" w:cs="Arial" w:eastAsia="Arial" w:hAnsi="Arial"/>
                <w:sz w:val="16"/>
                <w:szCs w:val="16"/>
                <w:color w:val="auto"/>
              </w:rPr>
              <w:t>Jeff George</w:t>
            </w:r>
          </w:p>
        </w:tc>
        <w:tc>
          <w:tcPr>
            <w:tcW w:w="1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Arial" w:cs="Arial" w:eastAsia="Arial" w:hAnsi="Arial"/>
                <w:sz w:val="16"/>
                <w:szCs w:val="16"/>
                <w:color w:val="auto"/>
                <w:w w:val="99"/>
              </w:rPr>
              <w:t>Chair</w:t>
            </w:r>
          </w:p>
        </w:tc>
      </w:tr>
      <w:tr>
        <w:trPr>
          <w:trHeight w:val="189"/>
        </w:trPr>
        <w:tc>
          <w:tcPr>
            <w:tcW w:w="4580" w:type="dxa"/>
            <w:vAlign w:val="bottom"/>
            <w:shd w:val="clear" w:color="auto" w:fill="E4E9F2"/>
          </w:tcPr>
          <w:p>
            <w:pPr>
              <w:ind w:left="60"/>
              <w:spacing w:after="0"/>
              <w:rPr>
                <w:sz w:val="20"/>
                <w:szCs w:val="20"/>
                <w:color w:val="auto"/>
              </w:rPr>
            </w:pPr>
            <w:r>
              <w:rPr>
                <w:rFonts w:ascii="Arial" w:cs="Arial" w:eastAsia="Arial" w:hAnsi="Arial"/>
                <w:sz w:val="16"/>
                <w:szCs w:val="16"/>
                <w:color w:val="auto"/>
              </w:rPr>
              <w:t>John Kiely</w:t>
            </w:r>
          </w:p>
        </w:tc>
        <w:tc>
          <w:tcPr>
            <w:tcW w:w="1100" w:type="dxa"/>
            <w:vAlign w:val="bottom"/>
            <w:shd w:val="clear" w:color="auto" w:fill="E4E9F2"/>
          </w:tcPr>
          <w:p>
            <w:pPr>
              <w:spacing w:after="0"/>
              <w:rPr>
                <w:sz w:val="16"/>
                <w:szCs w:val="16"/>
                <w:color w:val="auto"/>
              </w:rPr>
            </w:pPr>
          </w:p>
        </w:tc>
        <w:tc>
          <w:tcPr>
            <w:tcW w:w="1000" w:type="dxa"/>
            <w:vAlign w:val="bottom"/>
            <w:shd w:val="clear" w:color="auto" w:fill="E4E9F2"/>
          </w:tcPr>
          <w:p>
            <w:pPr>
              <w:jc w:val="center"/>
              <w:spacing w:after="0"/>
              <w:rPr>
                <w:sz w:val="20"/>
                <w:szCs w:val="20"/>
                <w:color w:val="auto"/>
              </w:rPr>
            </w:pPr>
            <w:r>
              <w:rPr>
                <w:rFonts w:ascii="Arial" w:cs="Arial" w:eastAsia="Arial" w:hAnsi="Arial"/>
                <w:sz w:val="16"/>
                <w:szCs w:val="16"/>
                <w:color w:val="auto"/>
                <w:w w:val="99"/>
              </w:rPr>
              <w:t>Chair</w:t>
            </w:r>
          </w:p>
        </w:tc>
        <w:tc>
          <w:tcPr>
            <w:tcW w:w="1280" w:type="dxa"/>
            <w:vAlign w:val="bottom"/>
            <w:shd w:val="clear" w:color="auto" w:fill="E4E9F2"/>
          </w:tcPr>
          <w:p>
            <w:pPr>
              <w:spacing w:after="0"/>
              <w:rPr>
                <w:sz w:val="16"/>
                <w:szCs w:val="16"/>
                <w:color w:val="auto"/>
              </w:rPr>
            </w:pPr>
          </w:p>
        </w:tc>
        <w:tc>
          <w:tcPr>
            <w:tcW w:w="128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r>
      <w:tr>
        <w:trPr>
          <w:trHeight w:val="189"/>
        </w:trPr>
        <w:tc>
          <w:tcPr>
            <w:tcW w:w="4580" w:type="dxa"/>
            <w:vAlign w:val="bottom"/>
          </w:tcPr>
          <w:p>
            <w:pPr>
              <w:ind w:left="60"/>
              <w:spacing w:after="0"/>
              <w:rPr>
                <w:sz w:val="20"/>
                <w:szCs w:val="20"/>
                <w:color w:val="auto"/>
              </w:rPr>
            </w:pPr>
            <w:r>
              <w:rPr>
                <w:rFonts w:ascii="Arial" w:cs="Arial" w:eastAsia="Arial" w:hAnsi="Arial"/>
                <w:sz w:val="16"/>
                <w:szCs w:val="16"/>
                <w:color w:val="auto"/>
              </w:rPr>
              <w:t>Paul Meister</w:t>
            </w:r>
          </w:p>
        </w:tc>
        <w:tc>
          <w:tcPr>
            <w:tcW w:w="1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jc w:val="center"/>
              <w:spacing w:after="0"/>
              <w:rPr>
                <w:sz w:val="20"/>
                <w:szCs w:val="20"/>
                <w:color w:val="auto"/>
              </w:rPr>
            </w:pPr>
            <w:r>
              <w:rPr>
                <w:rFonts w:ascii="Arial" w:cs="Arial" w:eastAsia="Arial" w:hAnsi="Arial"/>
                <w:sz w:val="16"/>
                <w:szCs w:val="16"/>
                <w:color w:val="auto"/>
              </w:rPr>
              <w:t>Chair</w:t>
            </w:r>
          </w:p>
        </w:tc>
        <w:tc>
          <w:tcPr>
            <w:tcW w:w="100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189"/>
        </w:trPr>
        <w:tc>
          <w:tcPr>
            <w:tcW w:w="4580" w:type="dxa"/>
            <w:vAlign w:val="bottom"/>
            <w:shd w:val="clear" w:color="auto" w:fill="E4E9F2"/>
          </w:tcPr>
          <w:p>
            <w:pPr>
              <w:ind w:left="60"/>
              <w:spacing w:after="0"/>
              <w:rPr>
                <w:sz w:val="20"/>
                <w:szCs w:val="20"/>
                <w:color w:val="auto"/>
              </w:rPr>
            </w:pPr>
            <w:r>
              <w:rPr>
                <w:rFonts w:ascii="Arial" w:cs="Arial" w:eastAsia="Arial" w:hAnsi="Arial"/>
                <w:sz w:val="16"/>
                <w:szCs w:val="16"/>
                <w:color w:val="auto"/>
              </w:rPr>
              <w:t>Ted Nark</w:t>
            </w:r>
          </w:p>
        </w:tc>
        <w:tc>
          <w:tcPr>
            <w:tcW w:w="110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c>
          <w:tcPr>
            <w:tcW w:w="1280" w:type="dxa"/>
            <w:vAlign w:val="bottom"/>
            <w:shd w:val="clear" w:color="auto" w:fill="E4E9F2"/>
          </w:tcPr>
          <w:p>
            <w:pPr>
              <w:jc w:val="center"/>
              <w:spacing w:after="0"/>
              <w:rPr>
                <w:sz w:val="20"/>
                <w:szCs w:val="20"/>
                <w:color w:val="auto"/>
              </w:rPr>
            </w:pPr>
            <w:r>
              <w:rPr>
                <w:rFonts w:ascii="Arial" w:cs="Arial" w:eastAsia="Arial" w:hAnsi="Arial"/>
                <w:sz w:val="16"/>
                <w:szCs w:val="16"/>
                <w:color w:val="auto"/>
                <w:w w:val="99"/>
              </w:rPr>
              <w:t>Chair</w:t>
            </w:r>
          </w:p>
        </w:tc>
        <w:tc>
          <w:tcPr>
            <w:tcW w:w="128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r>
      <w:tr>
        <w:trPr>
          <w:trHeight w:val="189"/>
        </w:trPr>
        <w:tc>
          <w:tcPr>
            <w:tcW w:w="4580" w:type="dxa"/>
            <w:vAlign w:val="bottom"/>
          </w:tcPr>
          <w:p>
            <w:pPr>
              <w:ind w:left="60"/>
              <w:spacing w:after="0"/>
              <w:rPr>
                <w:sz w:val="20"/>
                <w:szCs w:val="20"/>
                <w:color w:val="auto"/>
              </w:rPr>
            </w:pPr>
            <w:r>
              <w:rPr>
                <w:rFonts w:ascii="Arial" w:cs="Arial" w:eastAsia="Arial" w:hAnsi="Arial"/>
                <w:sz w:val="16"/>
                <w:szCs w:val="16"/>
                <w:color w:val="auto"/>
              </w:rPr>
              <w:t>Chintu Patel</w:t>
            </w:r>
          </w:p>
        </w:tc>
        <w:tc>
          <w:tcPr>
            <w:tcW w:w="1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189"/>
        </w:trPr>
        <w:tc>
          <w:tcPr>
            <w:tcW w:w="4580" w:type="dxa"/>
            <w:vAlign w:val="bottom"/>
            <w:shd w:val="clear" w:color="auto" w:fill="E4E9F2"/>
          </w:tcPr>
          <w:p>
            <w:pPr>
              <w:ind w:left="60"/>
              <w:spacing w:after="0"/>
              <w:rPr>
                <w:sz w:val="20"/>
                <w:szCs w:val="20"/>
                <w:color w:val="auto"/>
              </w:rPr>
            </w:pPr>
            <w:r>
              <w:rPr>
                <w:rFonts w:ascii="Arial" w:cs="Arial" w:eastAsia="Arial" w:hAnsi="Arial"/>
                <w:sz w:val="16"/>
                <w:szCs w:val="16"/>
                <w:color w:val="auto"/>
              </w:rPr>
              <w:t>Chirag Patel</w:t>
            </w:r>
          </w:p>
        </w:tc>
        <w:tc>
          <w:tcPr>
            <w:tcW w:w="110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c>
          <w:tcPr>
            <w:tcW w:w="1280" w:type="dxa"/>
            <w:vAlign w:val="bottom"/>
            <w:shd w:val="clear" w:color="auto" w:fill="E4E9F2"/>
          </w:tcPr>
          <w:p>
            <w:pPr>
              <w:spacing w:after="0"/>
              <w:rPr>
                <w:sz w:val="16"/>
                <w:szCs w:val="16"/>
                <w:color w:val="auto"/>
              </w:rPr>
            </w:pPr>
          </w:p>
        </w:tc>
        <w:tc>
          <w:tcPr>
            <w:tcW w:w="128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r>
      <w:tr>
        <w:trPr>
          <w:trHeight w:val="189"/>
        </w:trPr>
        <w:tc>
          <w:tcPr>
            <w:tcW w:w="4580" w:type="dxa"/>
            <w:vAlign w:val="bottom"/>
          </w:tcPr>
          <w:p>
            <w:pPr>
              <w:ind w:left="60"/>
              <w:spacing w:after="0"/>
              <w:rPr>
                <w:sz w:val="20"/>
                <w:szCs w:val="20"/>
                <w:color w:val="auto"/>
              </w:rPr>
            </w:pPr>
            <w:r>
              <w:rPr>
                <w:rFonts w:ascii="Arial" w:cs="Arial" w:eastAsia="Arial" w:hAnsi="Arial"/>
                <w:sz w:val="16"/>
                <w:szCs w:val="16"/>
                <w:color w:val="auto"/>
              </w:rPr>
              <w:t>Gautam Patel</w:t>
            </w:r>
          </w:p>
        </w:tc>
        <w:tc>
          <w:tcPr>
            <w:tcW w:w="1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189"/>
        </w:trPr>
        <w:tc>
          <w:tcPr>
            <w:tcW w:w="4580" w:type="dxa"/>
            <w:vAlign w:val="bottom"/>
            <w:shd w:val="clear" w:color="auto" w:fill="E4E9F2"/>
          </w:tcPr>
          <w:p>
            <w:pPr>
              <w:ind w:left="60"/>
              <w:spacing w:after="0"/>
              <w:rPr>
                <w:sz w:val="20"/>
                <w:szCs w:val="20"/>
                <w:color w:val="auto"/>
              </w:rPr>
            </w:pPr>
            <w:r>
              <w:rPr>
                <w:rFonts w:ascii="Arial" w:cs="Arial" w:eastAsia="Arial" w:hAnsi="Arial"/>
                <w:sz w:val="16"/>
                <w:szCs w:val="16"/>
                <w:color w:val="auto"/>
              </w:rPr>
              <w:t>Shlomo Yanai</w:t>
            </w:r>
          </w:p>
        </w:tc>
        <w:tc>
          <w:tcPr>
            <w:tcW w:w="110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c>
          <w:tcPr>
            <w:tcW w:w="1280" w:type="dxa"/>
            <w:vAlign w:val="bottom"/>
            <w:shd w:val="clear" w:color="auto" w:fill="E4E9F2"/>
          </w:tcPr>
          <w:p>
            <w:pPr>
              <w:spacing w:after="0"/>
              <w:rPr>
                <w:sz w:val="16"/>
                <w:szCs w:val="16"/>
                <w:color w:val="auto"/>
              </w:rPr>
            </w:pPr>
          </w:p>
        </w:tc>
        <w:tc>
          <w:tcPr>
            <w:tcW w:w="128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r>
      <w:tr>
        <w:trPr>
          <w:trHeight w:val="189"/>
        </w:trPr>
        <w:tc>
          <w:tcPr>
            <w:tcW w:w="458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auto"/>
              </w:rPr>
              <w:t># of Meetings in 2021</w:t>
            </w:r>
          </w:p>
        </w:tc>
        <w:tc>
          <w:tcPr>
            <w:tcW w:w="1100" w:type="dxa"/>
            <w:vAlign w:val="bottom"/>
            <w:tcBorders>
              <w:bottom w:val="single" w:sz="8" w:color="04568A"/>
            </w:tcBorders>
          </w:tcPr>
          <w:p>
            <w:pPr>
              <w:spacing w:after="0"/>
              <w:rPr>
                <w:sz w:val="16"/>
                <w:szCs w:val="16"/>
                <w:color w:val="auto"/>
              </w:rPr>
            </w:pPr>
          </w:p>
        </w:tc>
        <w:tc>
          <w:tcPr>
            <w:tcW w:w="1000" w:type="dxa"/>
            <w:vAlign w:val="bottom"/>
            <w:tcBorders>
              <w:bottom w:val="single" w:sz="8" w:color="04568A"/>
            </w:tcBorders>
          </w:tcPr>
          <w:p>
            <w:pPr>
              <w:jc w:val="center"/>
              <w:spacing w:after="0"/>
              <w:rPr>
                <w:sz w:val="20"/>
                <w:szCs w:val="20"/>
                <w:color w:val="auto"/>
              </w:rPr>
            </w:pPr>
            <w:r>
              <w:rPr>
                <w:rFonts w:ascii="Arial" w:cs="Arial" w:eastAsia="Arial" w:hAnsi="Arial"/>
                <w:sz w:val="16"/>
                <w:szCs w:val="16"/>
                <w:color w:val="auto"/>
                <w:w w:val="89"/>
              </w:rPr>
              <w:t>6</w:t>
            </w:r>
          </w:p>
        </w:tc>
        <w:tc>
          <w:tcPr>
            <w:tcW w:w="1280" w:type="dxa"/>
            <w:vAlign w:val="bottom"/>
            <w:tcBorders>
              <w:bottom w:val="single" w:sz="8" w:color="04568A"/>
            </w:tcBorders>
          </w:tcPr>
          <w:p>
            <w:pPr>
              <w:jc w:val="center"/>
              <w:spacing w:after="0"/>
              <w:rPr>
                <w:sz w:val="20"/>
                <w:szCs w:val="20"/>
                <w:color w:val="auto"/>
              </w:rPr>
            </w:pPr>
            <w:r>
              <w:rPr>
                <w:rFonts w:ascii="Arial" w:cs="Arial" w:eastAsia="Arial" w:hAnsi="Arial"/>
                <w:sz w:val="16"/>
                <w:szCs w:val="16"/>
                <w:color w:val="auto"/>
              </w:rPr>
              <w:t>6</w:t>
            </w:r>
          </w:p>
        </w:tc>
        <w:tc>
          <w:tcPr>
            <w:tcW w:w="1280" w:type="dxa"/>
            <w:vAlign w:val="bottom"/>
            <w:tcBorders>
              <w:bottom w:val="single" w:sz="8" w:color="04568A"/>
            </w:tcBorders>
          </w:tcPr>
          <w:p>
            <w:pPr>
              <w:jc w:val="center"/>
              <w:spacing w:after="0"/>
              <w:rPr>
                <w:sz w:val="20"/>
                <w:szCs w:val="20"/>
                <w:color w:val="auto"/>
              </w:rPr>
            </w:pPr>
            <w:r>
              <w:rPr>
                <w:rFonts w:ascii="Arial" w:cs="Arial" w:eastAsia="Arial" w:hAnsi="Arial"/>
                <w:sz w:val="16"/>
                <w:szCs w:val="16"/>
                <w:color w:val="auto"/>
                <w:w w:val="89"/>
              </w:rPr>
              <w:t>4</w:t>
            </w:r>
          </w:p>
        </w:tc>
        <w:tc>
          <w:tcPr>
            <w:tcW w:w="1000" w:type="dxa"/>
            <w:vAlign w:val="bottom"/>
            <w:tcBorders>
              <w:bottom w:val="single" w:sz="8" w:color="04568A"/>
            </w:tcBorders>
          </w:tcPr>
          <w:p>
            <w:pPr>
              <w:jc w:val="center"/>
              <w:spacing w:after="0"/>
              <w:rPr>
                <w:sz w:val="20"/>
                <w:szCs w:val="20"/>
                <w:color w:val="auto"/>
              </w:rPr>
            </w:pPr>
            <w:r>
              <w:rPr>
                <w:rFonts w:ascii="Arial" w:cs="Arial" w:eastAsia="Arial" w:hAnsi="Arial"/>
                <w:sz w:val="16"/>
                <w:szCs w:val="16"/>
                <w:color w:val="auto"/>
              </w:rPr>
              <w:t>7</w:t>
            </w:r>
          </w:p>
        </w:tc>
        <w:tc>
          <w:tcPr>
            <w:tcW w:w="1000" w:type="dxa"/>
            <w:vAlign w:val="bottom"/>
            <w:tcBorders>
              <w:bottom w:val="single" w:sz="8" w:color="04568A"/>
            </w:tcBorders>
          </w:tcPr>
          <w:p>
            <w:pPr>
              <w:jc w:val="center"/>
              <w:spacing w:after="0"/>
              <w:rPr>
                <w:sz w:val="20"/>
                <w:szCs w:val="20"/>
                <w:color w:val="auto"/>
              </w:rPr>
            </w:pPr>
            <w:r>
              <w:rPr>
                <w:rFonts w:ascii="Arial" w:cs="Arial" w:eastAsia="Arial" w:hAnsi="Arial"/>
                <w:sz w:val="16"/>
                <w:szCs w:val="16"/>
                <w:color w:val="auto"/>
              </w:rPr>
              <w:t>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2602230</wp:posOffset>
            </wp:positionH>
            <wp:positionV relativeFrom="paragraph">
              <wp:posOffset>-1319530</wp:posOffset>
            </wp:positionV>
            <wp:extent cx="111125" cy="1117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11125" cy="111760"/>
                    </a:xfrm>
                    <a:prstGeom prst="rect">
                      <a:avLst/>
                    </a:prstGeom>
                    <a:noFill/>
                  </pic:spPr>
                </pic:pic>
              </a:graphicData>
            </a:graphic>
          </wp:anchor>
        </w:drawing>
        <w:drawing>
          <wp:anchor simplePos="0" relativeHeight="251657728" behindDoc="1" locked="0" layoutInCell="0" allowOverlap="1">
            <wp:simplePos x="0" y="0"/>
            <wp:positionH relativeFrom="column">
              <wp:posOffset>6785610</wp:posOffset>
            </wp:positionH>
            <wp:positionV relativeFrom="paragraph">
              <wp:posOffset>-1319530</wp:posOffset>
            </wp:positionV>
            <wp:extent cx="111760" cy="1117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11760" cy="111760"/>
                    </a:xfrm>
                    <a:prstGeom prst="rect">
                      <a:avLst/>
                    </a:prstGeom>
                    <a:noFill/>
                  </pic:spPr>
                </pic:pic>
              </a:graphicData>
            </a:graphic>
          </wp:anchor>
        </w:drawing>
        <w:drawing>
          <wp:anchor simplePos="0" relativeHeight="251657728" behindDoc="1" locked="0" layoutInCell="0" allowOverlap="1">
            <wp:simplePos x="0" y="0"/>
            <wp:positionH relativeFrom="column">
              <wp:posOffset>2002155</wp:posOffset>
            </wp:positionH>
            <wp:positionV relativeFrom="paragraph">
              <wp:posOffset>-1208405</wp:posOffset>
            </wp:positionV>
            <wp:extent cx="4894580" cy="10718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4894580" cy="1071880"/>
                    </a:xfrm>
                    <a:prstGeom prst="rect">
                      <a:avLst/>
                    </a:prstGeom>
                    <a:noFill/>
                  </pic:spPr>
                </pic:pic>
              </a:graphicData>
            </a:graphic>
          </wp:anchor>
        </w:drawing>
      </w:r>
    </w:p>
    <w:p>
      <w:pPr>
        <w:spacing w:after="0" w:line="260"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Audit Committee</w:t>
      </w: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The principal duties and responsibilities of our Audit Committee are to assist the Board in its oversight of:</w:t>
      </w:r>
    </w:p>
    <w:p>
      <w:pPr>
        <w:spacing w:after="0" w:line="194" w:lineRule="exact"/>
        <w:rPr>
          <w:sz w:val="20"/>
          <w:szCs w:val="20"/>
          <w:color w:val="auto"/>
        </w:rPr>
      </w:pPr>
    </w:p>
    <w:p>
      <w:pPr>
        <w:ind w:left="180" w:hanging="172"/>
        <w:spacing w:after="0"/>
        <w:tabs>
          <w:tab w:leader="none" w:pos="180" w:val="left"/>
        </w:tabs>
        <w:numPr>
          <w:ilvl w:val="0"/>
          <w:numId w:val="9"/>
        </w:numPr>
        <w:rPr>
          <w:rFonts w:ascii="Arial" w:cs="Arial" w:eastAsia="Arial" w:hAnsi="Arial"/>
          <w:sz w:val="16"/>
          <w:szCs w:val="16"/>
          <w:color w:val="04568A"/>
        </w:rPr>
      </w:pPr>
      <w:r>
        <w:rPr>
          <w:rFonts w:ascii="Arial" w:cs="Arial" w:eastAsia="Arial" w:hAnsi="Arial"/>
          <w:sz w:val="16"/>
          <w:szCs w:val="16"/>
          <w:color w:val="auto"/>
        </w:rPr>
        <w:t>the quality and integrity of the Company’s financial statements;</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9"/>
        </w:numPr>
        <w:rPr>
          <w:rFonts w:ascii="Arial" w:cs="Arial" w:eastAsia="Arial" w:hAnsi="Arial"/>
          <w:sz w:val="16"/>
          <w:szCs w:val="16"/>
          <w:color w:val="04568A"/>
        </w:rPr>
      </w:pPr>
      <w:r>
        <w:rPr>
          <w:rFonts w:ascii="Arial" w:cs="Arial" w:eastAsia="Arial" w:hAnsi="Arial"/>
          <w:sz w:val="16"/>
          <w:szCs w:val="16"/>
          <w:color w:val="auto"/>
        </w:rPr>
        <w:t>the Company’s compliance with legal and regulatory requirements;</w:t>
      </w:r>
    </w:p>
    <w:p>
      <w:pPr>
        <w:spacing w:after="0" w:line="86"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9"/>
        </w:numPr>
        <w:rPr>
          <w:rFonts w:ascii="Arial" w:cs="Arial" w:eastAsia="Arial" w:hAnsi="Arial"/>
          <w:sz w:val="16"/>
          <w:szCs w:val="16"/>
          <w:color w:val="04568A"/>
        </w:rPr>
      </w:pPr>
      <w:r>
        <w:rPr>
          <w:rFonts w:ascii="Arial" w:cs="Arial" w:eastAsia="Arial" w:hAnsi="Arial"/>
          <w:sz w:val="16"/>
          <w:szCs w:val="16"/>
          <w:color w:val="auto"/>
        </w:rPr>
        <w:t>the implementation of the Company’s enterprise risk management program and policies with respect to risk assessment and risk management, including cyber risks and information security;</w:t>
      </w:r>
    </w:p>
    <w:p>
      <w:pPr>
        <w:spacing w:after="0" w:line="60" w:lineRule="exact"/>
        <w:rPr>
          <w:rFonts w:ascii="Arial" w:cs="Arial" w:eastAsia="Arial" w:hAnsi="Arial"/>
          <w:sz w:val="16"/>
          <w:szCs w:val="16"/>
          <w:color w:val="04568A"/>
        </w:rPr>
      </w:pPr>
    </w:p>
    <w:p>
      <w:pPr>
        <w:ind w:left="180" w:hanging="172"/>
        <w:spacing w:after="0"/>
        <w:tabs>
          <w:tab w:leader="none" w:pos="180" w:val="left"/>
        </w:tabs>
        <w:numPr>
          <w:ilvl w:val="0"/>
          <w:numId w:val="9"/>
        </w:numPr>
        <w:rPr>
          <w:rFonts w:ascii="Arial" w:cs="Arial" w:eastAsia="Arial" w:hAnsi="Arial"/>
          <w:sz w:val="16"/>
          <w:szCs w:val="16"/>
          <w:color w:val="04568A"/>
        </w:rPr>
      </w:pPr>
      <w:r>
        <w:rPr>
          <w:rFonts w:ascii="Arial" w:cs="Arial" w:eastAsia="Arial" w:hAnsi="Arial"/>
          <w:sz w:val="16"/>
          <w:szCs w:val="16"/>
          <w:color w:val="auto"/>
        </w:rPr>
        <w:t>the independent auditor’s qualifications, performance and independence; and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9"/>
        </w:numPr>
        <w:rPr>
          <w:rFonts w:ascii="Arial" w:cs="Arial" w:eastAsia="Arial" w:hAnsi="Arial"/>
          <w:sz w:val="16"/>
          <w:szCs w:val="16"/>
          <w:color w:val="04568A"/>
        </w:rPr>
      </w:pPr>
      <w:r>
        <w:rPr>
          <w:rFonts w:ascii="Arial" w:cs="Arial" w:eastAsia="Arial" w:hAnsi="Arial"/>
          <w:sz w:val="16"/>
          <w:szCs w:val="16"/>
          <w:color w:val="auto"/>
        </w:rPr>
        <w:t>the performance of the Company’s internal audit function.</w:t>
      </w:r>
    </w:p>
    <w:p>
      <w:pPr>
        <w:spacing w:after="0" w:line="208"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The Audit Committee has the power to investigate any matter brought to its attention within the scope of its duties. It also has the authority to retain counsel and advisors to fulfill its responsibilities and duties. Each director who serves on the Audit Committee is independent under the listing standards of the NYSE and as that term is used in Section 10A(m)(3) of the Securities Exchange Act of 1934, as amended. The Board of Directors has determined that each member of the Audit Committee meets the financial literacy requirements of the NYSE. Further, the Board of Directors has determined that John Kiely qualifies as an Audit Committee financial expert as that term is defined by applicable SEC regulations and has designated Mr. Kiely as the Audit Committee’s financial expert.</w:t>
      </w:r>
    </w:p>
    <w:p>
      <w:pPr>
        <w:spacing w:after="0" w:line="382"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The Audit Committee operates under a written charter adopted by the Board of Directors. A copy of the charter is available at the investor relations section of our website at https://investors. amneal.com/corporate-governance/policies. The report of the Audit Committee begins on page 58 of this proxy statement.</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13</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14" w:name="page15"/>
    <w:bookmarkEnd w:id="14"/>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Compensation Committee</w:t>
      </w: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The principal duties and responsibilities of the Compensation Committee are as follows:</w:t>
      </w:r>
    </w:p>
    <w:p>
      <w:pPr>
        <w:spacing w:after="0" w:line="194" w:lineRule="exact"/>
        <w:rPr>
          <w:sz w:val="20"/>
          <w:szCs w:val="20"/>
          <w:color w:val="auto"/>
        </w:rPr>
      </w:pPr>
    </w:p>
    <w:p>
      <w:pPr>
        <w:ind w:left="180" w:hanging="172"/>
        <w:spacing w:after="0" w:line="260" w:lineRule="auto"/>
        <w:tabs>
          <w:tab w:leader="none" w:pos="180" w:val="left"/>
        </w:tabs>
        <w:numPr>
          <w:ilvl w:val="0"/>
          <w:numId w:val="10"/>
        </w:numPr>
        <w:rPr>
          <w:rFonts w:ascii="Arial" w:cs="Arial" w:eastAsia="Arial" w:hAnsi="Arial"/>
          <w:sz w:val="16"/>
          <w:szCs w:val="16"/>
          <w:color w:val="04568A"/>
        </w:rPr>
      </w:pPr>
      <w:r>
        <w:rPr>
          <w:rFonts w:ascii="Arial" w:cs="Arial" w:eastAsia="Arial" w:hAnsi="Arial"/>
          <w:sz w:val="16"/>
          <w:szCs w:val="16"/>
          <w:color w:val="auto"/>
        </w:rPr>
        <w:t>review and oversee the Company’s overall compensation philosophy and oversee the development and implementation of compensation programs aligned with the Company’s business strategy;</w:t>
      </w:r>
    </w:p>
    <w:p>
      <w:pPr>
        <w:spacing w:after="0" w:line="60"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10"/>
        </w:numPr>
        <w:rPr>
          <w:rFonts w:ascii="Arial" w:cs="Arial" w:eastAsia="Arial" w:hAnsi="Arial"/>
          <w:sz w:val="16"/>
          <w:szCs w:val="16"/>
          <w:color w:val="04568A"/>
        </w:rPr>
      </w:pPr>
      <w:r>
        <w:rPr>
          <w:rFonts w:ascii="Arial" w:cs="Arial" w:eastAsia="Arial" w:hAnsi="Arial"/>
          <w:sz w:val="16"/>
          <w:szCs w:val="16"/>
          <w:color w:val="auto"/>
        </w:rPr>
        <w:t>review and make recommendations to the Board in overseeing the compensation of the Company’s directors and Co-Chief Executive Officers and review and approve the compensation of the Company’s other executive officers;</w:t>
      </w:r>
    </w:p>
    <w:p>
      <w:pPr>
        <w:spacing w:after="0" w:line="60" w:lineRule="exact"/>
        <w:rPr>
          <w:rFonts w:ascii="Arial" w:cs="Arial" w:eastAsia="Arial" w:hAnsi="Arial"/>
          <w:sz w:val="16"/>
          <w:szCs w:val="16"/>
          <w:color w:val="04568A"/>
        </w:rPr>
      </w:pPr>
    </w:p>
    <w:p>
      <w:pPr>
        <w:ind w:left="180" w:hanging="172"/>
        <w:spacing w:after="0"/>
        <w:tabs>
          <w:tab w:leader="none" w:pos="180" w:val="left"/>
        </w:tabs>
        <w:numPr>
          <w:ilvl w:val="0"/>
          <w:numId w:val="10"/>
        </w:numPr>
        <w:rPr>
          <w:rFonts w:ascii="Arial" w:cs="Arial" w:eastAsia="Arial" w:hAnsi="Arial"/>
          <w:sz w:val="16"/>
          <w:szCs w:val="16"/>
          <w:color w:val="04568A"/>
        </w:rPr>
      </w:pPr>
      <w:r>
        <w:rPr>
          <w:rFonts w:ascii="Arial" w:cs="Arial" w:eastAsia="Arial" w:hAnsi="Arial"/>
          <w:sz w:val="16"/>
          <w:szCs w:val="16"/>
          <w:color w:val="auto"/>
        </w:rPr>
        <w:t>oversee the Company’s policies and practices with respect to managing compensation-related risks; and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0"/>
        </w:numPr>
        <w:rPr>
          <w:rFonts w:ascii="Arial" w:cs="Arial" w:eastAsia="Arial" w:hAnsi="Arial"/>
          <w:sz w:val="16"/>
          <w:szCs w:val="16"/>
          <w:color w:val="04568A"/>
        </w:rPr>
      </w:pPr>
      <w:r>
        <w:rPr>
          <w:rFonts w:ascii="Arial" w:cs="Arial" w:eastAsia="Arial" w:hAnsi="Arial"/>
          <w:sz w:val="16"/>
          <w:szCs w:val="16"/>
          <w:color w:val="auto"/>
        </w:rPr>
        <w:t>oversee and approve the management continuity process.</w:t>
      </w:r>
    </w:p>
    <w:p>
      <w:pPr>
        <w:spacing w:after="0" w:line="194"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Each director who serves on the Compensation Committee is independent under the listing standards of the NYSE and applicable SEC regulations with respect to Compensation Committees. In addition to satisfying all other applicable independence requirements, all members of the Compensation Committee qualify as “non-employee directors” for purposes of Rule 16b-3 under the Securities Exchange Act of 1934, as amended (the “Exchange Act”). The Compensation Committee operates under a written charter adopted by the Board of Directors, a copy of which is available at the investor relations section of our website at https://investors.amneal.com/corporate-governance/policies. The report of the Compensation Committee is on page 37 of this proxy statement.</w:t>
      </w:r>
    </w:p>
    <w:p>
      <w:pPr>
        <w:spacing w:after="0" w:line="369"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Pursuant to the Stockholders Agreement, the Amneal Group has the right to nominate two of the four directors serving on the Compensation Committee for so long as the Amneal Group beneficially owns more than 50% of the outstanding shares of the Company. The remaining directors are designated by a majority of the Company Independent Directors of the Company’s Board.</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Nominating and Corporate Governance Committee</w:t>
      </w: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The principal duties and responsibilities of the nominating and governance committee are as follows:</w:t>
      </w:r>
    </w:p>
    <w:p>
      <w:pPr>
        <w:spacing w:after="0" w:line="194" w:lineRule="exact"/>
        <w:rPr>
          <w:sz w:val="20"/>
          <w:szCs w:val="20"/>
          <w:color w:val="auto"/>
        </w:rPr>
      </w:pPr>
    </w:p>
    <w:p>
      <w:pPr>
        <w:ind w:left="180" w:hanging="172"/>
        <w:spacing w:after="0"/>
        <w:tabs>
          <w:tab w:leader="none" w:pos="180" w:val="left"/>
        </w:tabs>
        <w:numPr>
          <w:ilvl w:val="0"/>
          <w:numId w:val="11"/>
        </w:numPr>
        <w:rPr>
          <w:rFonts w:ascii="Arial" w:cs="Arial" w:eastAsia="Arial" w:hAnsi="Arial"/>
          <w:sz w:val="16"/>
          <w:szCs w:val="16"/>
          <w:color w:val="04568A"/>
        </w:rPr>
      </w:pPr>
      <w:r>
        <w:rPr>
          <w:rFonts w:ascii="Arial" w:cs="Arial" w:eastAsia="Arial" w:hAnsi="Arial"/>
          <w:sz w:val="16"/>
          <w:szCs w:val="16"/>
          <w:color w:val="auto"/>
        </w:rPr>
        <w:t>identify individuals qualified to become Board members consistent with the criteria approved by the Board;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1"/>
        </w:numPr>
        <w:rPr>
          <w:rFonts w:ascii="Arial" w:cs="Arial" w:eastAsia="Arial" w:hAnsi="Arial"/>
          <w:sz w:val="16"/>
          <w:szCs w:val="16"/>
          <w:color w:val="04568A"/>
        </w:rPr>
      </w:pPr>
      <w:r>
        <w:rPr>
          <w:rFonts w:ascii="Arial" w:cs="Arial" w:eastAsia="Arial" w:hAnsi="Arial"/>
          <w:sz w:val="16"/>
          <w:szCs w:val="16"/>
          <w:color w:val="auto"/>
        </w:rPr>
        <w:t>recommend to the Board director nominees for election by stockholders;</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1"/>
        </w:numPr>
        <w:rPr>
          <w:rFonts w:ascii="Arial" w:cs="Arial" w:eastAsia="Arial" w:hAnsi="Arial"/>
          <w:sz w:val="16"/>
          <w:szCs w:val="16"/>
          <w:color w:val="04568A"/>
        </w:rPr>
      </w:pPr>
      <w:r>
        <w:rPr>
          <w:rFonts w:ascii="Arial" w:cs="Arial" w:eastAsia="Arial" w:hAnsi="Arial"/>
          <w:sz w:val="16"/>
          <w:szCs w:val="16"/>
          <w:color w:val="auto"/>
        </w:rPr>
        <w:t>take leadership role in overseeing management’s handling of ESG matters of importance to the Company;</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1"/>
        </w:numPr>
        <w:rPr>
          <w:rFonts w:ascii="Arial" w:cs="Arial" w:eastAsia="Arial" w:hAnsi="Arial"/>
          <w:sz w:val="16"/>
          <w:szCs w:val="16"/>
          <w:color w:val="04568A"/>
        </w:rPr>
      </w:pPr>
      <w:r>
        <w:rPr>
          <w:rFonts w:ascii="Arial" w:cs="Arial" w:eastAsia="Arial" w:hAnsi="Arial"/>
          <w:sz w:val="16"/>
          <w:szCs w:val="16"/>
          <w:color w:val="auto"/>
        </w:rPr>
        <w:t>develop and recommend to the Board a set of Corporate Governance Guidelines; and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1"/>
        </w:numPr>
        <w:rPr>
          <w:rFonts w:ascii="Arial" w:cs="Arial" w:eastAsia="Arial" w:hAnsi="Arial"/>
          <w:sz w:val="16"/>
          <w:szCs w:val="16"/>
          <w:color w:val="04568A"/>
        </w:rPr>
      </w:pPr>
      <w:r>
        <w:rPr>
          <w:rFonts w:ascii="Arial" w:cs="Arial" w:eastAsia="Arial" w:hAnsi="Arial"/>
          <w:sz w:val="16"/>
          <w:szCs w:val="16"/>
          <w:color w:val="auto"/>
        </w:rPr>
        <w:t>oversee the evaluation of the Board and management.</w:t>
      </w:r>
    </w:p>
    <w:p>
      <w:pPr>
        <w:spacing w:after="0" w:line="19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Each director who serves on the Nominating and Corporate Governance Committee is independent under the listing standards of the NYSE. The Nominating and Corporate Governance Committee operates under a written charter adopted by the Board of Directors, a copy of which is available at the investor relations section of our website at https://investors.amneal.com/ corporate-governance/policies.</w:t>
      </w:r>
    </w:p>
    <w:p>
      <w:pPr>
        <w:spacing w:after="0" w:line="17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Pursuant to the Stockholders Agreement, the Amneal Group has the right to nominate two of the four directors serving on the Nominating and Corporate Governance Committee for so long as the Amneal Group beneficially owns more than 50% of the outstanding shares of the Company. The remaining directors are designated by a majority of the Company Independent Directors of the Company’s Board.</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Conflicts Committee</w:t>
      </w:r>
    </w:p>
    <w:p>
      <w:pPr>
        <w:spacing w:after="0" w:line="231"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The principal duties and responsibilities of the Conflicts Committee are to provide leadership and guidance to the Board and the Company regarding transactions or situations involving potential conflicts of interest between the Company and its related parties.</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Conflicts Committee operates under a written charter adopted by the Board of Directors, a copy of which is available at the investor relations section of our website https://investors. amneal.com/corporate-governance/policies.</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Pursuant to the Stockholders Agreement, until the Trigger Date, the Board will have a Conflicts Committee comprised solely of Company Independent Directors. Any amendments to the Conflicts Committee Charter will be approved by (i) 75% of the directors of the Company’s Board, (ii) a majority of the Company Independent Directors, and (iii) a majority of the Conflicts Committee. The responsibilities of the Conflicts Committee include approval of certain transfers of shares of the Company by an Amneal Group member to third parties, approval of any related party transactions, and approval of any material amendment to the Stockholders Agreement, as set forth in the Conflicts Committee Charter.</w:t>
      </w:r>
    </w:p>
    <w:p>
      <w:pPr>
        <w:spacing w:after="0" w:line="265"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Technology and Operational Compliance Committee</w:t>
      </w:r>
    </w:p>
    <w:p>
      <w:pPr>
        <w:spacing w:after="0" w:line="23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principal duties and responsibilities of the Technology and Operational Compliance Committee are to assist the Board in overseeing the Company’s application of technology to its manufacturing, research and development and operations and quality compliance functions, and to act as an advisory committee to management to provide input in connection with the Company’s operations.</w:t>
      </w:r>
    </w:p>
    <w:p>
      <w:pPr>
        <w:spacing w:after="0" w:line="154"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15" w:name="page16"/>
    <w:bookmarkEnd w:id="15"/>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The Board’s Role in Risk Oversight</w:t>
      </w:r>
    </w:p>
    <w:p>
      <w:pPr>
        <w:spacing w:after="0" w:line="359" w:lineRule="exact"/>
        <w:rPr>
          <w:sz w:val="20"/>
          <w:szCs w:val="20"/>
          <w:color w:val="auto"/>
        </w:rPr>
      </w:pPr>
    </w:p>
    <w:p>
      <w:pPr>
        <w:spacing w:after="0"/>
        <w:rPr>
          <w:sz w:val="20"/>
          <w:szCs w:val="20"/>
          <w:color w:val="auto"/>
        </w:rPr>
      </w:pPr>
      <w:r>
        <w:rPr>
          <w:rFonts w:ascii="Arial" w:cs="Arial" w:eastAsia="Arial" w:hAnsi="Arial"/>
          <w:sz w:val="16"/>
          <w:szCs w:val="16"/>
          <w:color w:val="auto"/>
        </w:rPr>
        <w:t>Management is responsible for managing the day-to-day risks our Company faces. Our Board of Directors is responsible for:</w:t>
      </w:r>
    </w:p>
    <w:p>
      <w:pPr>
        <w:spacing w:after="0" w:line="194" w:lineRule="exact"/>
        <w:rPr>
          <w:sz w:val="20"/>
          <w:szCs w:val="20"/>
          <w:color w:val="auto"/>
        </w:rPr>
      </w:pPr>
    </w:p>
    <w:p>
      <w:pPr>
        <w:ind w:left="180" w:hanging="172"/>
        <w:spacing w:after="0" w:line="260" w:lineRule="auto"/>
        <w:tabs>
          <w:tab w:leader="none" w:pos="180" w:val="left"/>
        </w:tabs>
        <w:numPr>
          <w:ilvl w:val="0"/>
          <w:numId w:val="12"/>
        </w:numPr>
        <w:rPr>
          <w:rFonts w:ascii="Arial" w:cs="Arial" w:eastAsia="Arial" w:hAnsi="Arial"/>
          <w:sz w:val="16"/>
          <w:szCs w:val="16"/>
          <w:color w:val="04568A"/>
        </w:rPr>
      </w:pPr>
      <w:r>
        <w:rPr>
          <w:rFonts w:ascii="Arial" w:cs="Arial" w:eastAsia="Arial" w:hAnsi="Arial"/>
          <w:sz w:val="16"/>
          <w:szCs w:val="16"/>
          <w:color w:val="auto"/>
        </w:rPr>
        <w:t>confirming that management has implemented an appropriate system to manage these risks, i.e., to identify, assess, mitigate, monitor and communicate about these risks; and</w:t>
      </w:r>
    </w:p>
    <w:p>
      <w:pPr>
        <w:spacing w:after="0" w:line="60" w:lineRule="exact"/>
        <w:rPr>
          <w:rFonts w:ascii="Arial" w:cs="Arial" w:eastAsia="Arial" w:hAnsi="Arial"/>
          <w:sz w:val="16"/>
          <w:szCs w:val="16"/>
          <w:color w:val="04568A"/>
        </w:rPr>
      </w:pPr>
    </w:p>
    <w:p>
      <w:pPr>
        <w:ind w:left="180" w:hanging="172"/>
        <w:spacing w:after="0"/>
        <w:tabs>
          <w:tab w:leader="none" w:pos="180" w:val="left"/>
        </w:tabs>
        <w:numPr>
          <w:ilvl w:val="0"/>
          <w:numId w:val="12"/>
        </w:numPr>
        <w:rPr>
          <w:rFonts w:ascii="Arial" w:cs="Arial" w:eastAsia="Arial" w:hAnsi="Arial"/>
          <w:sz w:val="16"/>
          <w:szCs w:val="16"/>
          <w:color w:val="04568A"/>
        </w:rPr>
      </w:pPr>
      <w:r>
        <w:rPr>
          <w:rFonts w:ascii="Arial" w:cs="Arial" w:eastAsia="Arial" w:hAnsi="Arial"/>
          <w:sz w:val="16"/>
          <w:szCs w:val="16"/>
          <w:color w:val="auto"/>
        </w:rPr>
        <w:t>providing effective risk oversight through the Board’s committee structure and oversight processes.</w:t>
      </w:r>
    </w:p>
    <w:p>
      <w:pPr>
        <w:spacing w:after="0" w:line="194"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Beyond these fundamental responsibilities for risk oversight, our Board concentrates on the broader implications of our strategic plans and allows the committees to focus on specific areas of risk. Our directors, through their risk oversight role, are responsible for confirming that the risk management processes designed and implemented by the Company’s executive officers and other senior managers are consistent with the Company’s corporate strategy and are functioning as intended.</w:t>
      </w:r>
    </w:p>
    <w:p>
      <w:pPr>
        <w:spacing w:after="0" w:line="175"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The Board believes that full and open communication between management and the Board of Directors is essential for effective risk management and oversight. Our executive officers attend our quarterly Board meetings. In addition to making quarterly presentations at such meetings regarding our operations, our executive officers are available to discuss any questions or concerns raised by the Board relating to risk management and any other matters. In addition, management typically reports on cybersecurity matters to our Audit Committee twice a year.</w:t>
      </w:r>
    </w:p>
    <w:p>
      <w:pPr>
        <w:spacing w:after="0" w:line="175"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While the Board is ultimately responsible for risk oversight at our Company, our Board committees assist the Board in fulfilling its oversight responsibilities in certain areas of risk.</w:t>
      </w:r>
    </w:p>
    <w:p>
      <w:pPr>
        <w:spacing w:after="0" w:line="257"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Audit Committee</w:t>
      </w:r>
    </w:p>
    <w:p>
      <w:pPr>
        <w:spacing w:after="0" w:line="231"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In accordance with its charter, the Audit Committee is required to, among other things, focus on the reasonableness of control processes for identifying and managing key business, financial and regulatory reporting risks. The Audit Committee is also mandated by its charter to discuss with management our Company’s major financial risk exposures and the steps management has taken to monitor and control such exposures, including, as required by the NYSE, our risk assessment and risk management policies. The Audit Committee monitors our Company’s credit risk, liquidity risk, regulatory risk, operational risk and enterprise risk through regular reviews with management, external auditors and our Company’s internal audit function. The Audit Committee reviews and discusses with management the implementation, execution and performance of the Company’s enterprise risk management program and the strategies, processes and controls pertaining to the management of the company’s information technology operations, including cyber risks and information security.</w:t>
      </w:r>
    </w:p>
    <w:p>
      <w:pPr>
        <w:spacing w:after="0" w:line="270"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Compensation Committee</w:t>
      </w:r>
    </w:p>
    <w:p>
      <w:pPr>
        <w:spacing w:after="0" w:line="23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Compensation Committee assists the Board in fulfilling its oversight responsibilities with respect to the evaluation and management of risks arising from our compensation policies and programs. As a result of its evaluation, the Compensation Committee has concluded that the risks arising from our compensation policies and practices are not reasonably likely to have a material adverse effect on our Company.</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Nominating and Corporate Governance Committee</w:t>
      </w:r>
    </w:p>
    <w:p>
      <w:pPr>
        <w:spacing w:after="0" w:line="23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Nominating and Corporate Governance Committee assists the Board in fulfilling its oversight responsibilities with respect to the management of risks associated with corporate governance, including Board structure, size, membership and succession planning for our directors, as well as ESG matters of importance to the Company. As discussed in more detail in “Director Nominations--Board and Organizational Diversity,” and consistent with the Company’s commitment to strong ESG standards and diverse representation on its Board, the Nominating and Corporate Governance Committee has made it a priority to identify an additional, highly-qualified, diverse candidate for the Board in advance of the 2023 Annual Meeting of Stockholders.</w:t>
      </w:r>
    </w:p>
    <w:p>
      <w:pPr>
        <w:spacing w:after="0" w:line="265"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Conflicts Committee</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Conflicts Committee assists the Board in fulfilling its oversight responsibilities with respect to the management of the risks associated with the conflicts of interest that may arise from certain related party transactions.</w:t>
      </w:r>
    </w:p>
    <w:p>
      <w:pPr>
        <w:spacing w:after="0" w:line="257"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Technology and Operational Compliance Committee</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Technology and Operational Compliance Committee assists the Board in fulfilling its oversight responsibilities with respect to the management of the risks associated with the Company’s use of technology, including in its manufacturing and research and development operations.</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15</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16" w:name="page17"/>
    <w:bookmarkEnd w:id="16"/>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Director Nominations</w:t>
      </w:r>
    </w:p>
    <w:p>
      <w:pPr>
        <w:spacing w:after="0" w:line="359"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The Nominating and Corporate Governance Committee considers recommendations for directorships submitted by our stockholders on a substantially similar basis as it considers other nominees. Stockholders who wish the Nominating and Corporate Governance Committee to consider their recommendations for nominees for the position of director should submit their recommendations, in accordance with the procedures (including the information requirements) set forth in our Bylaws, in writing to: Corporate Secretary, Amneal Pharmaceuticals, Inc., 400 Crossing Boulevard, Bridgewater, NJ 08807. For the Nominating and Corporate Governance Committee to have adequate time to consider such candidate, the stockholder’s notice should be received at the address above within the time period set forth in our Bylaws (see “Director Nominations and Other Proposals to Be Presented at Our 2023 Annual Meeting” below).</w:t>
      </w:r>
    </w:p>
    <w:p>
      <w:pPr>
        <w:spacing w:after="0" w:line="367"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 its assessment of each potential candidate, the Nominating and Corporate Governance Committee reviews the nominee’s personal and professional integrity, ethics and values and ability to make mature business decisions. The Nominating and Corporate Governance Committee may also consider the following criteria, as well as any other factor the committee deems relevant:</w:t>
      </w:r>
    </w:p>
    <w:p>
      <w:pPr>
        <w:spacing w:after="0" w:line="174" w:lineRule="exact"/>
        <w:rPr>
          <w:sz w:val="20"/>
          <w:szCs w:val="20"/>
          <w:color w:val="auto"/>
        </w:rPr>
      </w:pPr>
    </w:p>
    <w:p>
      <w:pPr>
        <w:ind w:left="180" w:hanging="172"/>
        <w:spacing w:after="0"/>
        <w:tabs>
          <w:tab w:leader="none" w:pos="180" w:val="left"/>
        </w:tabs>
        <w:numPr>
          <w:ilvl w:val="0"/>
          <w:numId w:val="13"/>
        </w:numPr>
        <w:rPr>
          <w:rFonts w:ascii="Arial" w:cs="Arial" w:eastAsia="Arial" w:hAnsi="Arial"/>
          <w:sz w:val="16"/>
          <w:szCs w:val="16"/>
          <w:color w:val="04568A"/>
        </w:rPr>
      </w:pPr>
      <w:r>
        <w:rPr>
          <w:rFonts w:ascii="Arial" w:cs="Arial" w:eastAsia="Arial" w:hAnsi="Arial"/>
          <w:sz w:val="16"/>
          <w:szCs w:val="16"/>
          <w:color w:val="auto"/>
        </w:rPr>
        <w:t>the candidate’s experience in corporate management, such as serving as an officer of a publicly held company;</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3"/>
        </w:numPr>
        <w:rPr>
          <w:rFonts w:ascii="Arial" w:cs="Arial" w:eastAsia="Arial" w:hAnsi="Arial"/>
          <w:sz w:val="16"/>
          <w:szCs w:val="16"/>
          <w:color w:val="04568A"/>
        </w:rPr>
      </w:pPr>
      <w:r>
        <w:rPr>
          <w:rFonts w:ascii="Arial" w:cs="Arial" w:eastAsia="Arial" w:hAnsi="Arial"/>
          <w:sz w:val="16"/>
          <w:szCs w:val="16"/>
          <w:color w:val="auto"/>
        </w:rPr>
        <w:t>the candidate’s experience as a board member of a publicly held company;</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3"/>
        </w:numPr>
        <w:rPr>
          <w:rFonts w:ascii="Arial" w:cs="Arial" w:eastAsia="Arial" w:hAnsi="Arial"/>
          <w:sz w:val="16"/>
          <w:szCs w:val="16"/>
          <w:color w:val="04568A"/>
        </w:rPr>
      </w:pPr>
      <w:r>
        <w:rPr>
          <w:rFonts w:ascii="Arial" w:cs="Arial" w:eastAsia="Arial" w:hAnsi="Arial"/>
          <w:sz w:val="16"/>
          <w:szCs w:val="16"/>
          <w:color w:val="auto"/>
        </w:rPr>
        <w:t>the candidate’s professional and academic experience relevant to our industry;</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3"/>
        </w:numPr>
        <w:rPr>
          <w:rFonts w:ascii="Arial" w:cs="Arial" w:eastAsia="Arial" w:hAnsi="Arial"/>
          <w:sz w:val="16"/>
          <w:szCs w:val="16"/>
          <w:color w:val="04568A"/>
        </w:rPr>
      </w:pPr>
      <w:r>
        <w:rPr>
          <w:rFonts w:ascii="Arial" w:cs="Arial" w:eastAsia="Arial" w:hAnsi="Arial"/>
          <w:sz w:val="16"/>
          <w:szCs w:val="16"/>
          <w:color w:val="auto"/>
        </w:rPr>
        <w:t>the strength of the candidate’s leadership skills;</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3"/>
        </w:numPr>
        <w:rPr>
          <w:rFonts w:ascii="Arial" w:cs="Arial" w:eastAsia="Arial" w:hAnsi="Arial"/>
          <w:sz w:val="16"/>
          <w:szCs w:val="16"/>
          <w:color w:val="04568A"/>
        </w:rPr>
      </w:pPr>
      <w:r>
        <w:rPr>
          <w:rFonts w:ascii="Arial" w:cs="Arial" w:eastAsia="Arial" w:hAnsi="Arial"/>
          <w:sz w:val="16"/>
          <w:szCs w:val="16"/>
          <w:color w:val="auto"/>
        </w:rPr>
        <w:t>the candidate’s experience in finance and accounting and executive compensation practices;</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3"/>
        </w:numPr>
        <w:rPr>
          <w:rFonts w:ascii="Arial" w:cs="Arial" w:eastAsia="Arial" w:hAnsi="Arial"/>
          <w:sz w:val="16"/>
          <w:szCs w:val="16"/>
          <w:color w:val="04568A"/>
        </w:rPr>
      </w:pPr>
      <w:r>
        <w:rPr>
          <w:rFonts w:ascii="Arial" w:cs="Arial" w:eastAsia="Arial" w:hAnsi="Arial"/>
          <w:sz w:val="16"/>
          <w:szCs w:val="16"/>
          <w:color w:val="auto"/>
        </w:rPr>
        <w:t>diversity of viewpoints, background, experience and other demographics; and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13"/>
        </w:numPr>
        <w:rPr>
          <w:rFonts w:ascii="Arial" w:cs="Arial" w:eastAsia="Arial" w:hAnsi="Arial"/>
          <w:sz w:val="16"/>
          <w:szCs w:val="16"/>
          <w:color w:val="04568A"/>
        </w:rPr>
      </w:pPr>
      <w:r>
        <w:rPr>
          <w:rFonts w:ascii="Arial" w:cs="Arial" w:eastAsia="Arial" w:hAnsi="Arial"/>
          <w:sz w:val="16"/>
          <w:szCs w:val="16"/>
          <w:color w:val="auto"/>
        </w:rPr>
        <w:t>whether the candidate has the time required for the preparation, participation and attendance at board and committee meetings.</w:t>
      </w:r>
    </w:p>
    <w:p>
      <w:pPr>
        <w:spacing w:after="0" w:line="194"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Nominees may also be recommended by directors, members of management, or, in some cases, by a third-party firm. In identifying and considering candidates for nomination to the Board, the Nominating and Corporate Governance Committee may consider, in addition to the requirements described above and set out in its charter, quality of experience, our needs and the range of knowledge, experience and diversity represented on the Board. Each director candidate is evaluated by the Nominating and Corporate Governance Committee based on the same criteria and in the same manner, regardless of whether the candidate was recommended by a stockholder or by others.</w:t>
      </w:r>
    </w:p>
    <w:p>
      <w:pPr>
        <w:spacing w:after="0" w:line="176"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 Board of Directors does not have a formal policy on Board diversity as it relates to the selection of nominees for the Board. That said, the Board believes that diversity and a variety of experiences and viewpoints should be represented on the Board. In selecting a director nominee, the Nominating and Corporate Governance Committee focuses on skills, viewpoints, expertise or background that would complement the existing Board. The Nominating and Corporate Governance Committee seeks to identify candidates representing diverse experience at policy-making levels in business, management, marketing, finance, human resources, communications and other areas that are relevant to our activities. In addition, one of the many factors that the Board and the Nominating and Corporate Governance Committee carefully considers is the importance to the Company of ethnic and gender diversity. The Nominating and Corporate Governance Committee assesses its effectiveness in this regard when evaluating the composition of the Board.</w:t>
      </w:r>
    </w:p>
    <w:p>
      <w:pPr>
        <w:spacing w:after="0" w:line="18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In the case of a recommendation submitted by a stockholder, after full consideration, the stockholder proponent will be notified of the decision of the Nominating and Corporate Governance Committee.</w:t>
      </w:r>
    </w:p>
    <w:p>
      <w:pPr>
        <w:spacing w:after="0" w:line="168" w:lineRule="exact"/>
        <w:rPr>
          <w:sz w:val="20"/>
          <w:szCs w:val="20"/>
          <w:color w:val="auto"/>
        </w:rPr>
      </w:pPr>
    </w:p>
    <w:p>
      <w:pPr>
        <w:jc w:val="both"/>
        <w:spacing w:after="0" w:line="247" w:lineRule="auto"/>
        <w:rPr>
          <w:sz w:val="20"/>
          <w:szCs w:val="20"/>
          <w:color w:val="auto"/>
        </w:rPr>
      </w:pPr>
      <w:r>
        <w:rPr>
          <w:rFonts w:ascii="Arial" w:cs="Arial" w:eastAsia="Arial" w:hAnsi="Arial"/>
          <w:sz w:val="16"/>
          <w:szCs w:val="16"/>
          <w:color w:val="auto"/>
        </w:rPr>
        <w:t>The Nominating and Corporate Governance Committee conducts the appropriate and necessary inquiries with respect to the backgrounds and qualifications of all director nominees. Diversity is essential to Amneal’s success. It starts at the top, with five out of ten of our executives identifying as diverse by race, ethnicity, or gender, and permeates through the organization of Amneal employees. In 2021, women represented 19% of our global workforce of Amneal employees. In the United States, they represented 39% of our workforce and held 27% of leadership roles at the level of Director and above for Amneal employees. Approximately 69% of our U.S. workforce of Amneal employees identified as diverse by race or ethnicity. The Nominating and Corporate Governance Committee also reviews the independence of each candidate and other qualifications of all director candidates, as well as considers questions of possible conflicts of interest between director nominees and our Company. After the Nominating and Corporate Governance Committee has completed its review of a nominee’s qualifications and conducted the appropriate inquiries, the Nominating and Corporate Governance Committee makes a determination whether to recommend the nominee for approval by the Board of Directors. If the Nominating and Corporate Governance Committee decides to recommend the director nominee for nomination by the Board of Directors and such recommendation is accepted by the Board, the form of our proxy solicitation will include the name of the director nominee.</w:t>
      </w:r>
    </w:p>
    <w:p>
      <w:pPr>
        <w:spacing w:after="0" w:line="274"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Board and Organizational Diversity</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Company also places a high priority on creating a Board that reflects expanded experiences and perspectives, including experiences and perspectives arising out of diversity related to race, gender, and areas of expertise. Consistent with this philosophy, our Board reflects a mix of ethnic and gender diversity.</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We are committed to expanding that diversity further. To that end, the Nominating and Corporate Governance Committee and the Board have made it a priority to identify an additional, highly-qualified candidate for the Board in advance of the 2023 Annual Meeting of Stockholders.</w:t>
      </w:r>
    </w:p>
    <w:p>
      <w:pPr>
        <w:spacing w:after="0" w:line="148"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17" w:name="page18"/>
    <w:bookmarkEnd w:id="17"/>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Director Compensation</w:t>
      </w:r>
    </w:p>
    <w:p>
      <w:pPr>
        <w:spacing w:after="0" w:line="237"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Each of our non-employee directors receives an annual fee payable in cash. In addition, so that our non-employee directors have an ownership interest aligned with our stockholders, each non-employee director also receives an annual grant of restricted stock units. Board members also receive an initial equity grant when they join the Board. Members of our Board committees receive an additional annual fee for each committee on which they serve. In addition to the annual grant of restricted stock units that all non-employee directors are eligible to receive, our Chairman receives an additional annual award of restricted stock units with a grant date fair value of $100,000 in connection with his increased duties. From time to time, the Compensation Committee reviews the compensation of our non-employee directors with our independent compensation consultant and makes recommendations to the Board with respect to any changes; our non-employee director compensation program was last reviewed in May 2021. In connection with this update, and as recommended by the independent compensation consultant based on market practices, the non-employee directors received an increase to their annual grant of restricted stock units and members of the Conflicts Committee received an increase to their annual cash fee.</w:t>
      </w:r>
    </w:p>
    <w:p>
      <w:pPr>
        <w:spacing w:after="0" w:line="179" w:lineRule="exact"/>
        <w:rPr>
          <w:sz w:val="20"/>
          <w:szCs w:val="20"/>
          <w:color w:val="auto"/>
        </w:rPr>
      </w:pPr>
    </w:p>
    <w:p>
      <w:pPr>
        <w:spacing w:after="0"/>
        <w:rPr>
          <w:sz w:val="20"/>
          <w:szCs w:val="20"/>
          <w:color w:val="auto"/>
        </w:rPr>
      </w:pPr>
      <w:r>
        <w:rPr>
          <w:rFonts w:ascii="Arial" w:cs="Arial" w:eastAsia="Arial" w:hAnsi="Arial"/>
          <w:sz w:val="16"/>
          <w:szCs w:val="16"/>
          <w:color w:val="auto"/>
        </w:rPr>
        <w:t>Our director compensation program is summarized in the table below.</w:t>
      </w:r>
    </w:p>
    <w:p>
      <w:pPr>
        <w:spacing w:after="0" w:line="172"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5360" w:type="dxa"/>
            <w:vAlign w:val="bottom"/>
            <w:tcBorders>
              <w:top w:val="single" w:sz="8" w:color="04568A"/>
              <w:bottom w:val="single" w:sz="8" w:color="04568A"/>
            </w:tcBorders>
          </w:tcPr>
          <w:p>
            <w:pPr>
              <w:ind w:left="60"/>
              <w:spacing w:after="0"/>
              <w:rPr>
                <w:sz w:val="20"/>
                <w:szCs w:val="20"/>
                <w:color w:val="auto"/>
              </w:rPr>
            </w:pPr>
            <w:r>
              <w:rPr>
                <w:rFonts w:ascii="Arial" w:cs="Arial" w:eastAsia="Arial" w:hAnsi="Arial"/>
                <w:sz w:val="16"/>
                <w:szCs w:val="16"/>
                <w:b w:val="1"/>
                <w:bCs w:val="1"/>
                <w:color w:val="auto"/>
              </w:rPr>
              <w:t>Annual Cash Retainer</w:t>
            </w:r>
          </w:p>
        </w:tc>
        <w:tc>
          <w:tcPr>
            <w:tcW w:w="1640" w:type="dxa"/>
            <w:vAlign w:val="bottom"/>
            <w:tcBorders>
              <w:top w:val="single" w:sz="8" w:color="04568A"/>
              <w:bottom w:val="single" w:sz="8" w:color="04568A"/>
            </w:tcBorders>
          </w:tcPr>
          <w:p>
            <w:pPr>
              <w:spacing w:after="0"/>
              <w:rPr>
                <w:sz w:val="17"/>
                <w:szCs w:val="17"/>
                <w:color w:val="auto"/>
              </w:rPr>
            </w:pPr>
          </w:p>
        </w:tc>
        <w:tc>
          <w:tcPr>
            <w:tcW w:w="1340" w:type="dxa"/>
            <w:vAlign w:val="bottom"/>
            <w:tcBorders>
              <w:top w:val="single" w:sz="8" w:color="04568A"/>
              <w:bottom w:val="single" w:sz="8" w:color="04568A"/>
            </w:tcBorders>
          </w:tcPr>
          <w:p>
            <w:pPr>
              <w:ind w:left="200"/>
              <w:spacing w:after="0"/>
              <w:rPr>
                <w:sz w:val="20"/>
                <w:szCs w:val="20"/>
                <w:color w:val="auto"/>
              </w:rPr>
            </w:pPr>
            <w:r>
              <w:rPr>
                <w:rFonts w:ascii="Arial" w:cs="Arial" w:eastAsia="Arial" w:hAnsi="Arial"/>
                <w:sz w:val="16"/>
                <w:szCs w:val="16"/>
                <w:color w:val="auto"/>
              </w:rPr>
              <w:t>$75,000</w:t>
            </w:r>
          </w:p>
        </w:tc>
        <w:tc>
          <w:tcPr>
            <w:tcW w:w="480" w:type="dxa"/>
            <w:vAlign w:val="bottom"/>
            <w:tcBorders>
              <w:top w:val="single" w:sz="8" w:color="04568A"/>
              <w:bottom w:val="single" w:sz="8" w:color="04568A"/>
            </w:tcBorders>
          </w:tcPr>
          <w:p>
            <w:pPr>
              <w:spacing w:after="0"/>
              <w:rPr>
                <w:sz w:val="17"/>
                <w:szCs w:val="17"/>
                <w:color w:val="auto"/>
              </w:rPr>
            </w:pPr>
          </w:p>
        </w:tc>
        <w:tc>
          <w:tcPr>
            <w:tcW w:w="980" w:type="dxa"/>
            <w:vAlign w:val="bottom"/>
            <w:tcBorders>
              <w:top w:val="single" w:sz="8" w:color="04568A"/>
              <w:bottom w:val="single" w:sz="8" w:color="04568A"/>
            </w:tcBorders>
          </w:tcPr>
          <w:p>
            <w:pPr>
              <w:spacing w:after="0"/>
              <w:rPr>
                <w:sz w:val="17"/>
                <w:szCs w:val="17"/>
                <w:color w:val="auto"/>
              </w:rPr>
            </w:pPr>
          </w:p>
        </w:tc>
        <w:tc>
          <w:tcPr>
            <w:tcW w:w="540" w:type="dxa"/>
            <w:vAlign w:val="bottom"/>
            <w:tcBorders>
              <w:top w:val="single" w:sz="8" w:color="04568A"/>
              <w:bottom w:val="single" w:sz="8" w:color="04568A"/>
            </w:tcBorders>
          </w:tcPr>
          <w:p>
            <w:pPr>
              <w:spacing w:after="0"/>
              <w:rPr>
                <w:sz w:val="17"/>
                <w:szCs w:val="17"/>
                <w:color w:val="auto"/>
              </w:rPr>
            </w:pPr>
          </w:p>
        </w:tc>
        <w:tc>
          <w:tcPr>
            <w:tcW w:w="900" w:type="dxa"/>
            <w:vAlign w:val="bottom"/>
            <w:tcBorders>
              <w:top w:val="single" w:sz="8" w:color="04568A"/>
              <w:bottom w:val="single" w:sz="8" w:color="04568A"/>
            </w:tcBorders>
          </w:tcPr>
          <w:p>
            <w:pPr>
              <w:spacing w:after="0"/>
              <w:rPr>
                <w:sz w:val="17"/>
                <w:szCs w:val="17"/>
                <w:color w:val="auto"/>
              </w:rPr>
            </w:pPr>
          </w:p>
        </w:tc>
      </w:tr>
      <w:tr>
        <w:trPr>
          <w:trHeight w:val="183"/>
        </w:trPr>
        <w:tc>
          <w:tcPr>
            <w:tcW w:w="5360" w:type="dxa"/>
            <w:vAlign w:val="bottom"/>
            <w:shd w:val="clear" w:color="auto" w:fill="E4E9F2"/>
          </w:tcPr>
          <w:p>
            <w:pPr>
              <w:ind w:left="60"/>
              <w:spacing w:after="0" w:line="183" w:lineRule="exact"/>
              <w:rPr>
                <w:sz w:val="20"/>
                <w:szCs w:val="20"/>
                <w:color w:val="auto"/>
              </w:rPr>
            </w:pPr>
            <w:r>
              <w:rPr>
                <w:rFonts w:ascii="Arial" w:cs="Arial" w:eastAsia="Arial" w:hAnsi="Arial"/>
                <w:sz w:val="16"/>
                <w:szCs w:val="16"/>
                <w:b w:val="1"/>
                <w:bCs w:val="1"/>
                <w:color w:val="auto"/>
              </w:rPr>
              <w:t>Annual Equity Grant</w:t>
            </w:r>
          </w:p>
        </w:tc>
        <w:tc>
          <w:tcPr>
            <w:tcW w:w="1640" w:type="dxa"/>
            <w:vAlign w:val="bottom"/>
            <w:shd w:val="clear" w:color="auto" w:fill="E4E9F2"/>
          </w:tcPr>
          <w:p>
            <w:pPr>
              <w:spacing w:after="0"/>
              <w:rPr>
                <w:sz w:val="15"/>
                <w:szCs w:val="15"/>
                <w:color w:val="auto"/>
              </w:rPr>
            </w:pPr>
          </w:p>
        </w:tc>
        <w:tc>
          <w:tcPr>
            <w:tcW w:w="1340" w:type="dxa"/>
            <w:vAlign w:val="bottom"/>
            <w:shd w:val="clear" w:color="auto" w:fill="E4E9F2"/>
          </w:tcPr>
          <w:p>
            <w:pPr>
              <w:spacing w:after="0"/>
              <w:rPr>
                <w:sz w:val="15"/>
                <w:szCs w:val="15"/>
                <w:color w:val="auto"/>
              </w:rPr>
            </w:pPr>
          </w:p>
        </w:tc>
        <w:tc>
          <w:tcPr>
            <w:tcW w:w="480" w:type="dxa"/>
            <w:vAlign w:val="bottom"/>
            <w:shd w:val="clear" w:color="auto" w:fill="E4E9F2"/>
          </w:tcPr>
          <w:p>
            <w:pPr>
              <w:spacing w:after="0"/>
              <w:rPr>
                <w:sz w:val="15"/>
                <w:szCs w:val="15"/>
                <w:color w:val="auto"/>
              </w:rPr>
            </w:pPr>
          </w:p>
        </w:tc>
        <w:tc>
          <w:tcPr>
            <w:tcW w:w="980" w:type="dxa"/>
            <w:vAlign w:val="bottom"/>
            <w:shd w:val="clear" w:color="auto" w:fill="E4E9F2"/>
          </w:tcPr>
          <w:p>
            <w:pPr>
              <w:spacing w:after="0"/>
              <w:rPr>
                <w:sz w:val="15"/>
                <w:szCs w:val="15"/>
                <w:color w:val="auto"/>
              </w:rPr>
            </w:pPr>
          </w:p>
        </w:tc>
        <w:tc>
          <w:tcPr>
            <w:tcW w:w="540" w:type="dxa"/>
            <w:vAlign w:val="bottom"/>
            <w:shd w:val="clear" w:color="auto" w:fill="E4E9F2"/>
          </w:tcPr>
          <w:p>
            <w:pPr>
              <w:spacing w:after="0"/>
              <w:rPr>
                <w:sz w:val="15"/>
                <w:szCs w:val="15"/>
                <w:color w:val="auto"/>
              </w:rPr>
            </w:pPr>
          </w:p>
        </w:tc>
        <w:tc>
          <w:tcPr>
            <w:tcW w:w="900" w:type="dxa"/>
            <w:vAlign w:val="bottom"/>
            <w:shd w:val="clear" w:color="auto" w:fill="E4E9F2"/>
          </w:tcPr>
          <w:p>
            <w:pPr>
              <w:spacing w:after="0"/>
              <w:rPr>
                <w:sz w:val="15"/>
                <w:szCs w:val="15"/>
                <w:color w:val="auto"/>
              </w:rPr>
            </w:pPr>
          </w:p>
        </w:tc>
      </w:tr>
      <w:tr>
        <w:trPr>
          <w:trHeight w:val="189"/>
        </w:trPr>
        <w:tc>
          <w:tcPr>
            <w:tcW w:w="5360" w:type="dxa"/>
            <w:vAlign w:val="bottom"/>
          </w:tcPr>
          <w:p>
            <w:pPr>
              <w:ind w:left="180"/>
              <w:spacing w:after="0"/>
              <w:rPr>
                <w:sz w:val="20"/>
                <w:szCs w:val="20"/>
                <w:color w:val="auto"/>
              </w:rPr>
            </w:pPr>
            <w:r>
              <w:rPr>
                <w:rFonts w:ascii="Arial" w:cs="Arial" w:eastAsia="Arial" w:hAnsi="Arial"/>
                <w:sz w:val="16"/>
                <w:szCs w:val="16"/>
                <w:color w:val="auto"/>
              </w:rPr>
              <w:t>Restricted stock units (target value)</w:t>
            </w:r>
          </w:p>
        </w:tc>
        <w:tc>
          <w:tcPr>
            <w:tcW w:w="1640" w:type="dxa"/>
            <w:vAlign w:val="bottom"/>
          </w:tcPr>
          <w:p>
            <w:pPr>
              <w:spacing w:after="0"/>
              <w:rPr>
                <w:sz w:val="16"/>
                <w:szCs w:val="16"/>
                <w:color w:val="auto"/>
              </w:rPr>
            </w:pPr>
          </w:p>
        </w:tc>
        <w:tc>
          <w:tcPr>
            <w:tcW w:w="2800" w:type="dxa"/>
            <w:vAlign w:val="bottom"/>
            <w:gridSpan w:val="3"/>
          </w:tcPr>
          <w:p>
            <w:pPr>
              <w:ind w:left="200"/>
              <w:spacing w:after="0"/>
              <w:rPr>
                <w:sz w:val="20"/>
                <w:szCs w:val="20"/>
                <w:color w:val="auto"/>
              </w:rPr>
            </w:pPr>
            <w:r>
              <w:rPr>
                <w:rFonts w:ascii="Arial" w:cs="Arial" w:eastAsia="Arial" w:hAnsi="Arial"/>
                <w:sz w:val="16"/>
                <w:szCs w:val="16"/>
                <w:color w:val="auto"/>
              </w:rPr>
              <w:t>$205,000/$305,000 for Chairman</w:t>
            </w:r>
          </w:p>
        </w:tc>
        <w:tc>
          <w:tcPr>
            <w:tcW w:w="540" w:type="dxa"/>
            <w:vAlign w:val="bottom"/>
          </w:tcPr>
          <w:p>
            <w:pPr>
              <w:spacing w:after="0"/>
              <w:rPr>
                <w:sz w:val="16"/>
                <w:szCs w:val="16"/>
                <w:color w:val="auto"/>
              </w:rPr>
            </w:pPr>
          </w:p>
        </w:tc>
        <w:tc>
          <w:tcPr>
            <w:tcW w:w="900" w:type="dxa"/>
            <w:vAlign w:val="bottom"/>
          </w:tcPr>
          <w:p>
            <w:pPr>
              <w:spacing w:after="0"/>
              <w:rPr>
                <w:sz w:val="16"/>
                <w:szCs w:val="16"/>
                <w:color w:val="auto"/>
              </w:rPr>
            </w:pPr>
          </w:p>
        </w:tc>
      </w:tr>
      <w:tr>
        <w:trPr>
          <w:trHeight w:val="189"/>
        </w:trPr>
        <w:tc>
          <w:tcPr>
            <w:tcW w:w="5360" w:type="dxa"/>
            <w:vAlign w:val="bottom"/>
            <w:tcBorders>
              <w:bottom w:val="single" w:sz="8" w:color="04568A"/>
            </w:tcBorders>
            <w:shd w:val="clear" w:color="auto" w:fill="E4E9F2"/>
          </w:tcPr>
          <w:p>
            <w:pPr>
              <w:ind w:left="180"/>
              <w:spacing w:after="0"/>
              <w:rPr>
                <w:sz w:val="20"/>
                <w:szCs w:val="20"/>
                <w:color w:val="auto"/>
              </w:rPr>
            </w:pPr>
            <w:r>
              <w:rPr>
                <w:rFonts w:ascii="Arial" w:cs="Arial" w:eastAsia="Arial" w:hAnsi="Arial"/>
                <w:sz w:val="16"/>
                <w:szCs w:val="16"/>
                <w:color w:val="auto"/>
              </w:rPr>
              <w:t>Vesting Schedule</w:t>
            </w:r>
          </w:p>
        </w:tc>
        <w:tc>
          <w:tcPr>
            <w:tcW w:w="1640" w:type="dxa"/>
            <w:vAlign w:val="bottom"/>
            <w:tcBorders>
              <w:bottom w:val="single" w:sz="8" w:color="04568A"/>
            </w:tcBorders>
            <w:shd w:val="clear" w:color="auto" w:fill="E4E9F2"/>
          </w:tcPr>
          <w:p>
            <w:pPr>
              <w:spacing w:after="0"/>
              <w:rPr>
                <w:sz w:val="16"/>
                <w:szCs w:val="16"/>
                <w:color w:val="auto"/>
              </w:rPr>
            </w:pPr>
          </w:p>
        </w:tc>
        <w:tc>
          <w:tcPr>
            <w:tcW w:w="1820" w:type="dxa"/>
            <w:vAlign w:val="bottom"/>
            <w:tcBorders>
              <w:bottom w:val="single" w:sz="8" w:color="04568A"/>
            </w:tcBorders>
            <w:gridSpan w:val="2"/>
            <w:shd w:val="clear" w:color="auto" w:fill="E4E9F2"/>
          </w:tcPr>
          <w:p>
            <w:pPr>
              <w:ind w:left="200"/>
              <w:spacing w:after="0"/>
              <w:rPr>
                <w:sz w:val="20"/>
                <w:szCs w:val="20"/>
                <w:color w:val="auto"/>
              </w:rPr>
            </w:pPr>
            <w:r>
              <w:rPr>
                <w:rFonts w:ascii="Arial" w:cs="Arial" w:eastAsia="Arial" w:hAnsi="Arial"/>
                <w:sz w:val="16"/>
                <w:szCs w:val="16"/>
                <w:color w:val="auto"/>
              </w:rPr>
              <w:t>1 year cliff vesting</w:t>
            </w:r>
          </w:p>
        </w:tc>
        <w:tc>
          <w:tcPr>
            <w:tcW w:w="980" w:type="dxa"/>
            <w:vAlign w:val="bottom"/>
            <w:tcBorders>
              <w:bottom w:val="single" w:sz="8" w:color="04568A"/>
            </w:tcBorders>
            <w:shd w:val="clear" w:color="auto" w:fill="E4E9F2"/>
          </w:tcPr>
          <w:p>
            <w:pPr>
              <w:spacing w:after="0"/>
              <w:rPr>
                <w:sz w:val="16"/>
                <w:szCs w:val="16"/>
                <w:color w:val="auto"/>
              </w:rPr>
            </w:pPr>
          </w:p>
        </w:tc>
        <w:tc>
          <w:tcPr>
            <w:tcW w:w="540" w:type="dxa"/>
            <w:vAlign w:val="bottom"/>
            <w:tcBorders>
              <w:bottom w:val="single" w:sz="8" w:color="04568A"/>
            </w:tcBorders>
            <w:shd w:val="clear" w:color="auto" w:fill="E4E9F2"/>
          </w:tcPr>
          <w:p>
            <w:pPr>
              <w:spacing w:after="0"/>
              <w:rPr>
                <w:sz w:val="16"/>
                <w:szCs w:val="16"/>
                <w:color w:val="auto"/>
              </w:rPr>
            </w:pPr>
          </w:p>
        </w:tc>
        <w:tc>
          <w:tcPr>
            <w:tcW w:w="900" w:type="dxa"/>
            <w:vAlign w:val="bottom"/>
            <w:tcBorders>
              <w:bottom w:val="single" w:sz="8" w:color="04568A"/>
            </w:tcBorders>
            <w:shd w:val="clear" w:color="auto" w:fill="E4E9F2"/>
          </w:tcPr>
          <w:p>
            <w:pPr>
              <w:spacing w:after="0"/>
              <w:rPr>
                <w:sz w:val="16"/>
                <w:szCs w:val="16"/>
                <w:color w:val="auto"/>
              </w:rPr>
            </w:pPr>
          </w:p>
        </w:tc>
      </w:tr>
      <w:tr>
        <w:trPr>
          <w:trHeight w:val="183"/>
        </w:trPr>
        <w:tc>
          <w:tcPr>
            <w:tcW w:w="5360" w:type="dxa"/>
            <w:vAlign w:val="bottom"/>
          </w:tcPr>
          <w:p>
            <w:pPr>
              <w:ind w:left="60"/>
              <w:spacing w:after="0" w:line="183" w:lineRule="exact"/>
              <w:rPr>
                <w:sz w:val="20"/>
                <w:szCs w:val="20"/>
                <w:color w:val="auto"/>
              </w:rPr>
            </w:pPr>
            <w:r>
              <w:rPr>
                <w:rFonts w:ascii="Arial" w:cs="Arial" w:eastAsia="Arial" w:hAnsi="Arial"/>
                <w:sz w:val="16"/>
                <w:szCs w:val="16"/>
                <w:b w:val="1"/>
                <w:bCs w:val="1"/>
                <w:color w:val="auto"/>
              </w:rPr>
              <w:t>Additional Cash Fees for Committee Service</w:t>
            </w:r>
          </w:p>
        </w:tc>
        <w:tc>
          <w:tcPr>
            <w:tcW w:w="1640" w:type="dxa"/>
            <w:vAlign w:val="bottom"/>
          </w:tcPr>
          <w:p>
            <w:pPr>
              <w:spacing w:after="0"/>
              <w:rPr>
                <w:sz w:val="15"/>
                <w:szCs w:val="15"/>
                <w:color w:val="auto"/>
              </w:rPr>
            </w:pPr>
          </w:p>
        </w:tc>
        <w:tc>
          <w:tcPr>
            <w:tcW w:w="134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900" w:type="dxa"/>
            <w:vAlign w:val="bottom"/>
          </w:tcPr>
          <w:p>
            <w:pPr>
              <w:spacing w:after="0"/>
              <w:rPr>
                <w:sz w:val="15"/>
                <w:szCs w:val="15"/>
                <w:color w:val="auto"/>
              </w:rPr>
            </w:pPr>
          </w:p>
        </w:tc>
      </w:tr>
      <w:tr>
        <w:trPr>
          <w:trHeight w:val="189"/>
        </w:trPr>
        <w:tc>
          <w:tcPr>
            <w:tcW w:w="5360" w:type="dxa"/>
            <w:vAlign w:val="bottom"/>
            <w:shd w:val="clear" w:color="auto" w:fill="E4E9F2"/>
          </w:tcPr>
          <w:p>
            <w:pPr>
              <w:ind w:left="180"/>
              <w:spacing w:after="0"/>
              <w:rPr>
                <w:sz w:val="20"/>
                <w:szCs w:val="20"/>
                <w:color w:val="auto"/>
              </w:rPr>
            </w:pPr>
            <w:r>
              <w:rPr>
                <w:rFonts w:ascii="Arial" w:cs="Arial" w:eastAsia="Arial" w:hAnsi="Arial"/>
                <w:sz w:val="16"/>
                <w:szCs w:val="16"/>
                <w:color w:val="auto"/>
              </w:rPr>
              <w:t>Audit Committee (Chair/Member)</w:t>
            </w:r>
          </w:p>
        </w:tc>
        <w:tc>
          <w:tcPr>
            <w:tcW w:w="1640" w:type="dxa"/>
            <w:vAlign w:val="bottom"/>
            <w:shd w:val="clear" w:color="auto" w:fill="E4E9F2"/>
          </w:tcPr>
          <w:p>
            <w:pPr>
              <w:spacing w:after="0"/>
              <w:rPr>
                <w:sz w:val="16"/>
                <w:szCs w:val="16"/>
                <w:color w:val="auto"/>
              </w:rPr>
            </w:pPr>
          </w:p>
        </w:tc>
        <w:tc>
          <w:tcPr>
            <w:tcW w:w="1820" w:type="dxa"/>
            <w:vAlign w:val="bottom"/>
            <w:gridSpan w:val="2"/>
            <w:shd w:val="clear" w:color="auto" w:fill="E4E9F2"/>
          </w:tcPr>
          <w:p>
            <w:pPr>
              <w:ind w:left="200"/>
              <w:spacing w:after="0"/>
              <w:rPr>
                <w:sz w:val="20"/>
                <w:szCs w:val="20"/>
                <w:color w:val="auto"/>
              </w:rPr>
            </w:pPr>
            <w:r>
              <w:rPr>
                <w:rFonts w:ascii="Arial" w:cs="Arial" w:eastAsia="Arial" w:hAnsi="Arial"/>
                <w:sz w:val="16"/>
                <w:szCs w:val="16"/>
                <w:color w:val="auto"/>
              </w:rPr>
              <w:t>$25,000/$15,000</w:t>
            </w:r>
          </w:p>
        </w:tc>
        <w:tc>
          <w:tcPr>
            <w:tcW w:w="980" w:type="dxa"/>
            <w:vAlign w:val="bottom"/>
            <w:shd w:val="clear" w:color="auto" w:fill="E4E9F2"/>
          </w:tcPr>
          <w:p>
            <w:pPr>
              <w:spacing w:after="0"/>
              <w:rPr>
                <w:sz w:val="16"/>
                <w:szCs w:val="16"/>
                <w:color w:val="auto"/>
              </w:rPr>
            </w:pPr>
          </w:p>
        </w:tc>
        <w:tc>
          <w:tcPr>
            <w:tcW w:w="540" w:type="dxa"/>
            <w:vAlign w:val="bottom"/>
            <w:shd w:val="clear" w:color="auto" w:fill="E4E9F2"/>
          </w:tcPr>
          <w:p>
            <w:pPr>
              <w:spacing w:after="0"/>
              <w:rPr>
                <w:sz w:val="16"/>
                <w:szCs w:val="16"/>
                <w:color w:val="auto"/>
              </w:rPr>
            </w:pPr>
          </w:p>
        </w:tc>
        <w:tc>
          <w:tcPr>
            <w:tcW w:w="900" w:type="dxa"/>
            <w:vAlign w:val="bottom"/>
            <w:shd w:val="clear" w:color="auto" w:fill="E4E9F2"/>
          </w:tcPr>
          <w:p>
            <w:pPr>
              <w:spacing w:after="0"/>
              <w:rPr>
                <w:sz w:val="16"/>
                <w:szCs w:val="16"/>
                <w:color w:val="auto"/>
              </w:rPr>
            </w:pPr>
          </w:p>
        </w:tc>
      </w:tr>
      <w:tr>
        <w:trPr>
          <w:trHeight w:val="189"/>
        </w:trPr>
        <w:tc>
          <w:tcPr>
            <w:tcW w:w="5360" w:type="dxa"/>
            <w:vAlign w:val="bottom"/>
          </w:tcPr>
          <w:p>
            <w:pPr>
              <w:ind w:left="180"/>
              <w:spacing w:after="0"/>
              <w:rPr>
                <w:sz w:val="20"/>
                <w:szCs w:val="20"/>
                <w:color w:val="auto"/>
              </w:rPr>
            </w:pPr>
            <w:r>
              <w:rPr>
                <w:rFonts w:ascii="Arial" w:cs="Arial" w:eastAsia="Arial" w:hAnsi="Arial"/>
                <w:sz w:val="16"/>
                <w:szCs w:val="16"/>
                <w:color w:val="auto"/>
              </w:rPr>
              <w:t>Compensation Committee (Chair/Member)</w:t>
            </w:r>
          </w:p>
        </w:tc>
        <w:tc>
          <w:tcPr>
            <w:tcW w:w="1640" w:type="dxa"/>
            <w:vAlign w:val="bottom"/>
          </w:tcPr>
          <w:p>
            <w:pPr>
              <w:spacing w:after="0"/>
              <w:rPr>
                <w:sz w:val="16"/>
                <w:szCs w:val="16"/>
                <w:color w:val="auto"/>
              </w:rPr>
            </w:pPr>
          </w:p>
        </w:tc>
        <w:tc>
          <w:tcPr>
            <w:tcW w:w="1820" w:type="dxa"/>
            <w:vAlign w:val="bottom"/>
            <w:gridSpan w:val="2"/>
          </w:tcPr>
          <w:p>
            <w:pPr>
              <w:ind w:left="200"/>
              <w:spacing w:after="0"/>
              <w:rPr>
                <w:sz w:val="20"/>
                <w:szCs w:val="20"/>
                <w:color w:val="auto"/>
              </w:rPr>
            </w:pPr>
            <w:r>
              <w:rPr>
                <w:rFonts w:ascii="Arial" w:cs="Arial" w:eastAsia="Arial" w:hAnsi="Arial"/>
                <w:sz w:val="16"/>
                <w:szCs w:val="16"/>
                <w:color w:val="auto"/>
              </w:rPr>
              <w:t>$20,000/$10,000</w:t>
            </w:r>
          </w:p>
        </w:tc>
        <w:tc>
          <w:tcPr>
            <w:tcW w:w="98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900" w:type="dxa"/>
            <w:vAlign w:val="bottom"/>
          </w:tcPr>
          <w:p>
            <w:pPr>
              <w:spacing w:after="0"/>
              <w:rPr>
                <w:sz w:val="16"/>
                <w:szCs w:val="16"/>
                <w:color w:val="auto"/>
              </w:rPr>
            </w:pPr>
          </w:p>
        </w:tc>
      </w:tr>
      <w:tr>
        <w:trPr>
          <w:trHeight w:val="189"/>
        </w:trPr>
        <w:tc>
          <w:tcPr>
            <w:tcW w:w="5360" w:type="dxa"/>
            <w:vAlign w:val="bottom"/>
            <w:shd w:val="clear" w:color="auto" w:fill="E4E9F2"/>
          </w:tcPr>
          <w:p>
            <w:pPr>
              <w:ind w:left="180"/>
              <w:spacing w:after="0"/>
              <w:rPr>
                <w:sz w:val="20"/>
                <w:szCs w:val="20"/>
                <w:color w:val="auto"/>
              </w:rPr>
            </w:pPr>
            <w:r>
              <w:rPr>
                <w:rFonts w:ascii="Arial" w:cs="Arial" w:eastAsia="Arial" w:hAnsi="Arial"/>
                <w:sz w:val="16"/>
                <w:szCs w:val="16"/>
                <w:color w:val="auto"/>
              </w:rPr>
              <w:t>Nominating and Corporate Governance Committee (Chair/Member)</w:t>
            </w:r>
          </w:p>
        </w:tc>
        <w:tc>
          <w:tcPr>
            <w:tcW w:w="1640" w:type="dxa"/>
            <w:vAlign w:val="bottom"/>
            <w:shd w:val="clear" w:color="auto" w:fill="E4E9F2"/>
          </w:tcPr>
          <w:p>
            <w:pPr>
              <w:spacing w:after="0"/>
              <w:rPr>
                <w:sz w:val="16"/>
                <w:szCs w:val="16"/>
                <w:color w:val="auto"/>
              </w:rPr>
            </w:pPr>
          </w:p>
        </w:tc>
        <w:tc>
          <w:tcPr>
            <w:tcW w:w="1340" w:type="dxa"/>
            <w:vAlign w:val="bottom"/>
            <w:shd w:val="clear" w:color="auto" w:fill="E4E9F2"/>
          </w:tcPr>
          <w:p>
            <w:pPr>
              <w:ind w:left="200"/>
              <w:spacing w:after="0"/>
              <w:rPr>
                <w:sz w:val="20"/>
                <w:szCs w:val="20"/>
                <w:color w:val="auto"/>
              </w:rPr>
            </w:pPr>
            <w:r>
              <w:rPr>
                <w:rFonts w:ascii="Arial" w:cs="Arial" w:eastAsia="Arial" w:hAnsi="Arial"/>
                <w:sz w:val="16"/>
                <w:szCs w:val="16"/>
                <w:color w:val="auto"/>
              </w:rPr>
              <w:t>$15,000/$7,500</w:t>
            </w:r>
          </w:p>
        </w:tc>
        <w:tc>
          <w:tcPr>
            <w:tcW w:w="480" w:type="dxa"/>
            <w:vAlign w:val="bottom"/>
            <w:shd w:val="clear" w:color="auto" w:fill="E4E9F2"/>
          </w:tcPr>
          <w:p>
            <w:pPr>
              <w:spacing w:after="0"/>
              <w:rPr>
                <w:sz w:val="16"/>
                <w:szCs w:val="16"/>
                <w:color w:val="auto"/>
              </w:rPr>
            </w:pPr>
          </w:p>
        </w:tc>
        <w:tc>
          <w:tcPr>
            <w:tcW w:w="980" w:type="dxa"/>
            <w:vAlign w:val="bottom"/>
            <w:shd w:val="clear" w:color="auto" w:fill="E4E9F2"/>
          </w:tcPr>
          <w:p>
            <w:pPr>
              <w:spacing w:after="0"/>
              <w:rPr>
                <w:sz w:val="16"/>
                <w:szCs w:val="16"/>
                <w:color w:val="auto"/>
              </w:rPr>
            </w:pPr>
          </w:p>
        </w:tc>
        <w:tc>
          <w:tcPr>
            <w:tcW w:w="540" w:type="dxa"/>
            <w:vAlign w:val="bottom"/>
            <w:shd w:val="clear" w:color="auto" w:fill="E4E9F2"/>
          </w:tcPr>
          <w:p>
            <w:pPr>
              <w:spacing w:after="0"/>
              <w:rPr>
                <w:sz w:val="16"/>
                <w:szCs w:val="16"/>
                <w:color w:val="auto"/>
              </w:rPr>
            </w:pPr>
          </w:p>
        </w:tc>
        <w:tc>
          <w:tcPr>
            <w:tcW w:w="900" w:type="dxa"/>
            <w:vAlign w:val="bottom"/>
            <w:shd w:val="clear" w:color="auto" w:fill="E4E9F2"/>
          </w:tcPr>
          <w:p>
            <w:pPr>
              <w:spacing w:after="0"/>
              <w:rPr>
                <w:sz w:val="16"/>
                <w:szCs w:val="16"/>
                <w:color w:val="auto"/>
              </w:rPr>
            </w:pPr>
          </w:p>
        </w:tc>
      </w:tr>
      <w:tr>
        <w:trPr>
          <w:trHeight w:val="189"/>
        </w:trPr>
        <w:tc>
          <w:tcPr>
            <w:tcW w:w="5360" w:type="dxa"/>
            <w:vAlign w:val="bottom"/>
          </w:tcPr>
          <w:p>
            <w:pPr>
              <w:ind w:left="180"/>
              <w:spacing w:after="0"/>
              <w:rPr>
                <w:sz w:val="20"/>
                <w:szCs w:val="20"/>
                <w:color w:val="auto"/>
              </w:rPr>
            </w:pPr>
            <w:r>
              <w:rPr>
                <w:rFonts w:ascii="Arial" w:cs="Arial" w:eastAsia="Arial" w:hAnsi="Arial"/>
                <w:sz w:val="16"/>
                <w:szCs w:val="16"/>
                <w:color w:val="auto"/>
              </w:rPr>
              <w:t>Conflicts Committee (Chair/Member)</w:t>
            </w:r>
          </w:p>
        </w:tc>
        <w:tc>
          <w:tcPr>
            <w:tcW w:w="1640" w:type="dxa"/>
            <w:vAlign w:val="bottom"/>
          </w:tcPr>
          <w:p>
            <w:pPr>
              <w:spacing w:after="0"/>
              <w:rPr>
                <w:sz w:val="16"/>
                <w:szCs w:val="16"/>
                <w:color w:val="auto"/>
              </w:rPr>
            </w:pPr>
          </w:p>
        </w:tc>
        <w:tc>
          <w:tcPr>
            <w:tcW w:w="1820" w:type="dxa"/>
            <w:vAlign w:val="bottom"/>
            <w:gridSpan w:val="2"/>
          </w:tcPr>
          <w:p>
            <w:pPr>
              <w:ind w:left="200"/>
              <w:spacing w:after="0"/>
              <w:rPr>
                <w:sz w:val="20"/>
                <w:szCs w:val="20"/>
                <w:color w:val="auto"/>
              </w:rPr>
            </w:pPr>
            <w:r>
              <w:rPr>
                <w:rFonts w:ascii="Arial" w:cs="Arial" w:eastAsia="Arial" w:hAnsi="Arial"/>
                <w:sz w:val="16"/>
                <w:szCs w:val="16"/>
                <w:color w:val="auto"/>
              </w:rPr>
              <w:t>$20,000/$10,000</w:t>
            </w:r>
          </w:p>
        </w:tc>
        <w:tc>
          <w:tcPr>
            <w:tcW w:w="98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900" w:type="dxa"/>
            <w:vAlign w:val="bottom"/>
          </w:tcPr>
          <w:p>
            <w:pPr>
              <w:spacing w:after="0"/>
              <w:rPr>
                <w:sz w:val="16"/>
                <w:szCs w:val="16"/>
                <w:color w:val="auto"/>
              </w:rPr>
            </w:pPr>
          </w:p>
        </w:tc>
      </w:tr>
      <w:tr>
        <w:trPr>
          <w:trHeight w:val="189"/>
        </w:trPr>
        <w:tc>
          <w:tcPr>
            <w:tcW w:w="5360" w:type="dxa"/>
            <w:vAlign w:val="bottom"/>
            <w:tcBorders>
              <w:bottom w:val="single" w:sz="8" w:color="04568A"/>
            </w:tcBorders>
            <w:shd w:val="clear" w:color="auto" w:fill="E4E9F2"/>
          </w:tcPr>
          <w:p>
            <w:pPr>
              <w:ind w:left="180"/>
              <w:spacing w:after="0"/>
              <w:rPr>
                <w:sz w:val="20"/>
                <w:szCs w:val="20"/>
                <w:color w:val="auto"/>
              </w:rPr>
            </w:pPr>
            <w:r>
              <w:rPr>
                <w:rFonts w:ascii="Arial" w:cs="Arial" w:eastAsia="Arial" w:hAnsi="Arial"/>
                <w:sz w:val="16"/>
                <w:szCs w:val="16"/>
                <w:color w:val="auto"/>
              </w:rPr>
              <w:t>Technology and Operational Compliance Committee (Chair/Member)</w:t>
            </w:r>
          </w:p>
        </w:tc>
        <w:tc>
          <w:tcPr>
            <w:tcW w:w="1640" w:type="dxa"/>
            <w:vAlign w:val="bottom"/>
            <w:tcBorders>
              <w:bottom w:val="single" w:sz="8" w:color="04568A"/>
            </w:tcBorders>
            <w:shd w:val="clear" w:color="auto" w:fill="E4E9F2"/>
          </w:tcPr>
          <w:p>
            <w:pPr>
              <w:spacing w:after="0"/>
              <w:rPr>
                <w:sz w:val="16"/>
                <w:szCs w:val="16"/>
                <w:color w:val="auto"/>
              </w:rPr>
            </w:pPr>
          </w:p>
        </w:tc>
        <w:tc>
          <w:tcPr>
            <w:tcW w:w="1340" w:type="dxa"/>
            <w:vAlign w:val="bottom"/>
            <w:tcBorders>
              <w:bottom w:val="single" w:sz="8" w:color="04568A"/>
            </w:tcBorders>
            <w:shd w:val="clear" w:color="auto" w:fill="E4E9F2"/>
          </w:tcPr>
          <w:p>
            <w:pPr>
              <w:ind w:left="200"/>
              <w:spacing w:after="0"/>
              <w:rPr>
                <w:sz w:val="20"/>
                <w:szCs w:val="20"/>
                <w:color w:val="auto"/>
              </w:rPr>
            </w:pPr>
            <w:r>
              <w:rPr>
                <w:rFonts w:ascii="Arial" w:cs="Arial" w:eastAsia="Arial" w:hAnsi="Arial"/>
                <w:sz w:val="16"/>
                <w:szCs w:val="16"/>
                <w:color w:val="auto"/>
              </w:rPr>
              <w:t>$15,000/$5,000</w:t>
            </w:r>
          </w:p>
        </w:tc>
        <w:tc>
          <w:tcPr>
            <w:tcW w:w="480" w:type="dxa"/>
            <w:vAlign w:val="bottom"/>
            <w:tcBorders>
              <w:bottom w:val="single" w:sz="8" w:color="04568A"/>
            </w:tcBorders>
            <w:shd w:val="clear" w:color="auto" w:fill="E4E9F2"/>
          </w:tcPr>
          <w:p>
            <w:pPr>
              <w:spacing w:after="0"/>
              <w:rPr>
                <w:sz w:val="16"/>
                <w:szCs w:val="16"/>
                <w:color w:val="auto"/>
              </w:rPr>
            </w:pPr>
          </w:p>
        </w:tc>
        <w:tc>
          <w:tcPr>
            <w:tcW w:w="980" w:type="dxa"/>
            <w:vAlign w:val="bottom"/>
            <w:tcBorders>
              <w:bottom w:val="single" w:sz="8" w:color="04568A"/>
            </w:tcBorders>
            <w:shd w:val="clear" w:color="auto" w:fill="E4E9F2"/>
          </w:tcPr>
          <w:p>
            <w:pPr>
              <w:spacing w:after="0"/>
              <w:rPr>
                <w:sz w:val="16"/>
                <w:szCs w:val="16"/>
                <w:color w:val="auto"/>
              </w:rPr>
            </w:pPr>
          </w:p>
        </w:tc>
        <w:tc>
          <w:tcPr>
            <w:tcW w:w="540" w:type="dxa"/>
            <w:vAlign w:val="bottom"/>
            <w:tcBorders>
              <w:bottom w:val="single" w:sz="8" w:color="04568A"/>
            </w:tcBorders>
            <w:shd w:val="clear" w:color="auto" w:fill="E4E9F2"/>
          </w:tcPr>
          <w:p>
            <w:pPr>
              <w:spacing w:after="0"/>
              <w:rPr>
                <w:sz w:val="16"/>
                <w:szCs w:val="16"/>
                <w:color w:val="auto"/>
              </w:rPr>
            </w:pPr>
          </w:p>
        </w:tc>
        <w:tc>
          <w:tcPr>
            <w:tcW w:w="900" w:type="dxa"/>
            <w:vAlign w:val="bottom"/>
            <w:tcBorders>
              <w:bottom w:val="single" w:sz="8" w:color="04568A"/>
            </w:tcBorders>
            <w:shd w:val="clear" w:color="auto" w:fill="E4E9F2"/>
          </w:tcPr>
          <w:p>
            <w:pPr>
              <w:spacing w:after="0"/>
              <w:rPr>
                <w:sz w:val="16"/>
                <w:szCs w:val="16"/>
                <w:color w:val="auto"/>
              </w:rPr>
            </w:pPr>
          </w:p>
        </w:tc>
      </w:tr>
      <w:tr>
        <w:trPr>
          <w:trHeight w:val="379"/>
        </w:trPr>
        <w:tc>
          <w:tcPr>
            <w:tcW w:w="7000" w:type="dxa"/>
            <w:vAlign w:val="bottom"/>
            <w:gridSpan w:val="2"/>
          </w:tcPr>
          <w:p>
            <w:pPr>
              <w:spacing w:after="0"/>
              <w:rPr>
                <w:sz w:val="20"/>
                <w:szCs w:val="20"/>
                <w:color w:val="auto"/>
              </w:rPr>
            </w:pPr>
            <w:r>
              <w:rPr>
                <w:rFonts w:ascii="Arial" w:cs="Arial" w:eastAsia="Arial" w:hAnsi="Arial"/>
                <w:sz w:val="16"/>
                <w:szCs w:val="16"/>
                <w:color w:val="auto"/>
              </w:rPr>
              <w:t>During fiscal 2021, our non-employee directors received the following compensation:</w:t>
            </w:r>
          </w:p>
        </w:tc>
        <w:tc>
          <w:tcPr>
            <w:tcW w:w="13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900" w:type="dxa"/>
            <w:vAlign w:val="bottom"/>
          </w:tcPr>
          <w:p>
            <w:pPr>
              <w:spacing w:after="0"/>
              <w:rPr>
                <w:sz w:val="24"/>
                <w:szCs w:val="24"/>
                <w:color w:val="auto"/>
              </w:rPr>
            </w:pPr>
          </w:p>
        </w:tc>
      </w:tr>
      <w:tr>
        <w:trPr>
          <w:trHeight w:val="411"/>
        </w:trPr>
        <w:tc>
          <w:tcPr>
            <w:tcW w:w="536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Name</w:t>
            </w:r>
          </w:p>
        </w:tc>
        <w:tc>
          <w:tcPr>
            <w:tcW w:w="2980" w:type="dxa"/>
            <w:vAlign w:val="bottom"/>
            <w:tcBorders>
              <w:bottom w:val="single" w:sz="8" w:color="04568A"/>
            </w:tcBorders>
            <w:gridSpan w:val="2"/>
          </w:tcPr>
          <w:p>
            <w:pPr>
              <w:jc w:val="right"/>
              <w:ind w:right="479"/>
              <w:spacing w:after="0"/>
              <w:rPr>
                <w:sz w:val="20"/>
                <w:szCs w:val="20"/>
                <w:color w:val="auto"/>
              </w:rPr>
            </w:pPr>
            <w:r>
              <w:rPr>
                <w:rFonts w:ascii="Arial" w:cs="Arial" w:eastAsia="Arial" w:hAnsi="Arial"/>
                <w:sz w:val="16"/>
                <w:szCs w:val="16"/>
                <w:b w:val="1"/>
                <w:bCs w:val="1"/>
                <w:color w:val="04568A"/>
              </w:rPr>
              <w:t>Fees Earned or Paid in Cash</w:t>
            </w:r>
          </w:p>
        </w:tc>
        <w:tc>
          <w:tcPr>
            <w:tcW w:w="1460" w:type="dxa"/>
            <w:vAlign w:val="bottom"/>
            <w:tcBorders>
              <w:bottom w:val="single" w:sz="8" w:color="04568A"/>
            </w:tcBorders>
            <w:gridSpan w:val="2"/>
          </w:tcPr>
          <w:p>
            <w:pPr>
              <w:jc w:val="right"/>
              <w:ind w:right="119"/>
              <w:spacing w:after="0"/>
              <w:rPr>
                <w:sz w:val="20"/>
                <w:szCs w:val="20"/>
                <w:color w:val="auto"/>
              </w:rPr>
            </w:pPr>
            <w:r>
              <w:rPr>
                <w:rFonts w:ascii="Arial" w:cs="Arial" w:eastAsia="Arial" w:hAnsi="Arial"/>
                <w:sz w:val="16"/>
                <w:szCs w:val="16"/>
                <w:b w:val="1"/>
                <w:bCs w:val="1"/>
                <w:color w:val="04568A"/>
                <w:w w:val="97"/>
              </w:rPr>
              <w:t>Stock Awards</w:t>
            </w:r>
            <w:r>
              <w:rPr>
                <w:rFonts w:ascii="Arial" w:cs="Arial" w:eastAsia="Arial" w:hAnsi="Arial"/>
                <w:sz w:val="26"/>
                <w:szCs w:val="26"/>
                <w:b w:val="1"/>
                <w:bCs w:val="1"/>
                <w:color w:val="04568A"/>
                <w:w w:val="97"/>
                <w:vertAlign w:val="superscript"/>
              </w:rPr>
              <w:t>(9)</w:t>
            </w:r>
          </w:p>
        </w:tc>
        <w:tc>
          <w:tcPr>
            <w:tcW w:w="540" w:type="dxa"/>
            <w:vAlign w:val="bottom"/>
            <w:tcBorders>
              <w:bottom w:val="single" w:sz="8" w:color="04568A"/>
            </w:tcBorders>
          </w:tcPr>
          <w:p>
            <w:pPr>
              <w:spacing w:after="0"/>
              <w:rPr>
                <w:sz w:val="24"/>
                <w:szCs w:val="24"/>
                <w:color w:val="auto"/>
              </w:rPr>
            </w:pPr>
          </w:p>
        </w:tc>
        <w:tc>
          <w:tcPr>
            <w:tcW w:w="900" w:type="dxa"/>
            <w:vAlign w:val="bottom"/>
            <w:tcBorders>
              <w:bottom w:val="single" w:sz="8" w:color="04568A"/>
            </w:tcBorders>
          </w:tcPr>
          <w:p>
            <w:pPr>
              <w:jc w:val="right"/>
              <w:ind w:right="19"/>
              <w:spacing w:after="0"/>
              <w:rPr>
                <w:sz w:val="20"/>
                <w:szCs w:val="20"/>
                <w:color w:val="auto"/>
              </w:rPr>
            </w:pPr>
            <w:r>
              <w:rPr>
                <w:rFonts w:ascii="Arial" w:cs="Arial" w:eastAsia="Arial" w:hAnsi="Arial"/>
                <w:sz w:val="16"/>
                <w:szCs w:val="16"/>
                <w:b w:val="1"/>
                <w:bCs w:val="1"/>
                <w:color w:val="04568A"/>
              </w:rPr>
              <w:t>Total</w:t>
            </w:r>
          </w:p>
        </w:tc>
      </w:tr>
      <w:tr>
        <w:trPr>
          <w:trHeight w:val="223"/>
        </w:trPr>
        <w:tc>
          <w:tcPr>
            <w:tcW w:w="5360" w:type="dxa"/>
            <w:vAlign w:val="bottom"/>
          </w:tcPr>
          <w:p>
            <w:pPr>
              <w:ind w:left="60"/>
              <w:spacing w:after="0" w:line="223" w:lineRule="exact"/>
              <w:rPr>
                <w:sz w:val="20"/>
                <w:szCs w:val="20"/>
                <w:color w:val="auto"/>
              </w:rPr>
            </w:pPr>
            <w:r>
              <w:rPr>
                <w:rFonts w:ascii="Arial" w:cs="Arial" w:eastAsia="Arial" w:hAnsi="Arial"/>
                <w:sz w:val="16"/>
                <w:szCs w:val="16"/>
                <w:color w:val="auto"/>
              </w:rPr>
              <w:t>Emily Peterson Alva</w:t>
            </w:r>
            <w:r>
              <w:rPr>
                <w:rFonts w:ascii="Arial" w:cs="Arial" w:eastAsia="Arial" w:hAnsi="Arial"/>
                <w:sz w:val="25"/>
                <w:szCs w:val="25"/>
                <w:color w:val="auto"/>
                <w:vertAlign w:val="superscript"/>
              </w:rPr>
              <w:t>(1)</w:t>
            </w:r>
          </w:p>
        </w:tc>
        <w:tc>
          <w:tcPr>
            <w:tcW w:w="1640" w:type="dxa"/>
            <w:vAlign w:val="bottom"/>
          </w:tcPr>
          <w:p>
            <w:pPr>
              <w:jc w:val="right"/>
              <w:ind w:right="119"/>
              <w:spacing w:after="0"/>
              <w:rPr>
                <w:sz w:val="20"/>
                <w:szCs w:val="20"/>
                <w:color w:val="auto"/>
              </w:rPr>
            </w:pPr>
            <w:r>
              <w:rPr>
                <w:rFonts w:ascii="Arial" w:cs="Arial" w:eastAsia="Arial" w:hAnsi="Arial"/>
                <w:sz w:val="16"/>
                <w:szCs w:val="16"/>
                <w:color w:val="auto"/>
              </w:rPr>
              <w:t>$</w:t>
            </w:r>
          </w:p>
        </w:tc>
        <w:tc>
          <w:tcPr>
            <w:tcW w:w="1340" w:type="dxa"/>
            <w:vAlign w:val="bottom"/>
          </w:tcPr>
          <w:p>
            <w:pPr>
              <w:jc w:val="right"/>
              <w:ind w:right="479"/>
              <w:spacing w:after="0"/>
              <w:rPr>
                <w:sz w:val="20"/>
                <w:szCs w:val="20"/>
                <w:color w:val="auto"/>
              </w:rPr>
            </w:pPr>
            <w:r>
              <w:rPr>
                <w:rFonts w:ascii="Arial" w:cs="Arial" w:eastAsia="Arial" w:hAnsi="Arial"/>
                <w:sz w:val="16"/>
                <w:szCs w:val="16"/>
                <w:color w:val="auto"/>
              </w:rPr>
              <w:t>80,000</w:t>
            </w:r>
          </w:p>
        </w:tc>
        <w:tc>
          <w:tcPr>
            <w:tcW w:w="480" w:type="dxa"/>
            <w:vAlign w:val="bottom"/>
          </w:tcPr>
          <w:p>
            <w:pPr>
              <w:jc w:val="right"/>
              <w:ind w:right="79"/>
              <w:spacing w:after="0"/>
              <w:rPr>
                <w:sz w:val="20"/>
                <w:szCs w:val="20"/>
                <w:color w:val="auto"/>
              </w:rPr>
            </w:pPr>
            <w:r>
              <w:rPr>
                <w:rFonts w:ascii="Arial" w:cs="Arial" w:eastAsia="Arial" w:hAnsi="Arial"/>
                <w:sz w:val="16"/>
                <w:szCs w:val="16"/>
                <w:color w:val="auto"/>
              </w:rPr>
              <w:t>$</w:t>
            </w:r>
          </w:p>
        </w:tc>
        <w:tc>
          <w:tcPr>
            <w:tcW w:w="980" w:type="dxa"/>
            <w:vAlign w:val="bottom"/>
          </w:tcPr>
          <w:p>
            <w:pPr>
              <w:jc w:val="right"/>
              <w:ind w:right="119"/>
              <w:spacing w:after="0"/>
              <w:rPr>
                <w:sz w:val="20"/>
                <w:szCs w:val="20"/>
                <w:color w:val="auto"/>
              </w:rPr>
            </w:pPr>
            <w:r>
              <w:rPr>
                <w:rFonts w:ascii="Arial" w:cs="Arial" w:eastAsia="Arial" w:hAnsi="Arial"/>
                <w:sz w:val="16"/>
                <w:szCs w:val="16"/>
                <w:color w:val="auto"/>
              </w:rPr>
              <w:t>205,001</w:t>
            </w:r>
          </w:p>
        </w:tc>
        <w:tc>
          <w:tcPr>
            <w:tcW w:w="540" w:type="dxa"/>
            <w:vAlign w:val="bottom"/>
          </w:tcPr>
          <w:p>
            <w:pPr>
              <w:jc w:val="right"/>
              <w:ind w:right="139"/>
              <w:spacing w:after="0"/>
              <w:rPr>
                <w:sz w:val="20"/>
                <w:szCs w:val="20"/>
                <w:color w:val="auto"/>
              </w:rPr>
            </w:pPr>
            <w:r>
              <w:rPr>
                <w:rFonts w:ascii="Arial" w:cs="Arial" w:eastAsia="Arial" w:hAnsi="Arial"/>
                <w:sz w:val="16"/>
                <w:szCs w:val="16"/>
                <w:color w:val="auto"/>
              </w:rPr>
              <w:t>$</w:t>
            </w:r>
          </w:p>
        </w:tc>
        <w:tc>
          <w:tcPr>
            <w:tcW w:w="900" w:type="dxa"/>
            <w:vAlign w:val="bottom"/>
          </w:tcPr>
          <w:p>
            <w:pPr>
              <w:jc w:val="right"/>
              <w:ind w:right="19"/>
              <w:spacing w:after="0"/>
              <w:rPr>
                <w:sz w:val="20"/>
                <w:szCs w:val="20"/>
                <w:color w:val="auto"/>
              </w:rPr>
            </w:pPr>
            <w:r>
              <w:rPr>
                <w:rFonts w:ascii="Arial" w:cs="Arial" w:eastAsia="Arial" w:hAnsi="Arial"/>
                <w:sz w:val="16"/>
                <w:szCs w:val="16"/>
                <w:color w:val="auto"/>
              </w:rPr>
              <w:t>285,001</w:t>
            </w:r>
          </w:p>
        </w:tc>
      </w:tr>
      <w:tr>
        <w:trPr>
          <w:trHeight w:val="229"/>
        </w:trPr>
        <w:tc>
          <w:tcPr>
            <w:tcW w:w="5360" w:type="dxa"/>
            <w:vAlign w:val="bottom"/>
            <w:shd w:val="clear" w:color="auto" w:fill="E4E9F2"/>
          </w:tcPr>
          <w:p>
            <w:pPr>
              <w:ind w:left="60"/>
              <w:spacing w:after="0" w:line="230" w:lineRule="exact"/>
              <w:rPr>
                <w:sz w:val="20"/>
                <w:szCs w:val="20"/>
                <w:color w:val="auto"/>
              </w:rPr>
            </w:pPr>
            <w:r>
              <w:rPr>
                <w:rFonts w:ascii="Arial" w:cs="Arial" w:eastAsia="Arial" w:hAnsi="Arial"/>
                <w:sz w:val="16"/>
                <w:szCs w:val="16"/>
                <w:color w:val="auto"/>
              </w:rPr>
              <w:t>J. Kevin Buchi</w:t>
            </w:r>
            <w:r>
              <w:rPr>
                <w:rFonts w:ascii="Arial" w:cs="Arial" w:eastAsia="Arial" w:hAnsi="Arial"/>
                <w:sz w:val="26"/>
                <w:szCs w:val="26"/>
                <w:color w:val="auto"/>
                <w:vertAlign w:val="superscript"/>
              </w:rPr>
              <w:t>(2)</w:t>
            </w:r>
          </w:p>
        </w:tc>
        <w:tc>
          <w:tcPr>
            <w:tcW w:w="164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w:t>
            </w:r>
          </w:p>
        </w:tc>
        <w:tc>
          <w:tcPr>
            <w:tcW w:w="1340" w:type="dxa"/>
            <w:vAlign w:val="bottom"/>
            <w:shd w:val="clear" w:color="auto" w:fill="E4E9F2"/>
          </w:tcPr>
          <w:p>
            <w:pPr>
              <w:ind w:left="200"/>
              <w:spacing w:after="0"/>
              <w:rPr>
                <w:sz w:val="20"/>
                <w:szCs w:val="20"/>
                <w:color w:val="auto"/>
              </w:rPr>
            </w:pPr>
            <w:r>
              <w:rPr>
                <w:rFonts w:ascii="Arial" w:cs="Arial" w:eastAsia="Arial" w:hAnsi="Arial"/>
                <w:sz w:val="16"/>
                <w:szCs w:val="16"/>
                <w:color w:val="auto"/>
              </w:rPr>
              <w:t>114,533</w:t>
            </w:r>
          </w:p>
        </w:tc>
        <w:tc>
          <w:tcPr>
            <w:tcW w:w="480" w:type="dxa"/>
            <w:vAlign w:val="bottom"/>
            <w:shd w:val="clear" w:color="auto" w:fill="E4E9F2"/>
          </w:tcPr>
          <w:p>
            <w:pPr>
              <w:jc w:val="right"/>
              <w:ind w:right="79"/>
              <w:spacing w:after="0"/>
              <w:rPr>
                <w:sz w:val="20"/>
                <w:szCs w:val="20"/>
                <w:color w:val="auto"/>
              </w:rPr>
            </w:pPr>
            <w:r>
              <w:rPr>
                <w:rFonts w:ascii="Arial" w:cs="Arial" w:eastAsia="Arial" w:hAnsi="Arial"/>
                <w:sz w:val="16"/>
                <w:szCs w:val="16"/>
                <w:color w:val="auto"/>
              </w:rPr>
              <w:t>$</w:t>
            </w:r>
          </w:p>
        </w:tc>
        <w:tc>
          <w:tcPr>
            <w:tcW w:w="98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205,001</w:t>
            </w:r>
          </w:p>
        </w:tc>
        <w:tc>
          <w:tcPr>
            <w:tcW w:w="540" w:type="dxa"/>
            <w:vAlign w:val="bottom"/>
            <w:shd w:val="clear" w:color="auto" w:fill="E4E9F2"/>
          </w:tcPr>
          <w:p>
            <w:pPr>
              <w:jc w:val="right"/>
              <w:ind w:right="139"/>
              <w:spacing w:after="0"/>
              <w:rPr>
                <w:sz w:val="20"/>
                <w:szCs w:val="20"/>
                <w:color w:val="auto"/>
              </w:rPr>
            </w:pPr>
            <w:r>
              <w:rPr>
                <w:rFonts w:ascii="Arial" w:cs="Arial" w:eastAsia="Arial" w:hAnsi="Arial"/>
                <w:sz w:val="16"/>
                <w:szCs w:val="16"/>
                <w:color w:val="auto"/>
              </w:rPr>
              <w:t>$</w:t>
            </w:r>
          </w:p>
        </w:tc>
        <w:tc>
          <w:tcPr>
            <w:tcW w:w="9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319,534</w:t>
            </w:r>
          </w:p>
        </w:tc>
      </w:tr>
      <w:tr>
        <w:trPr>
          <w:trHeight w:val="230"/>
        </w:trPr>
        <w:tc>
          <w:tcPr>
            <w:tcW w:w="5360" w:type="dxa"/>
            <w:vAlign w:val="bottom"/>
          </w:tcPr>
          <w:p>
            <w:pPr>
              <w:ind w:left="60"/>
              <w:spacing w:after="0" w:line="230" w:lineRule="exact"/>
              <w:rPr>
                <w:sz w:val="20"/>
                <w:szCs w:val="20"/>
                <w:color w:val="auto"/>
              </w:rPr>
            </w:pPr>
            <w:r>
              <w:rPr>
                <w:rFonts w:ascii="Arial" w:cs="Arial" w:eastAsia="Arial" w:hAnsi="Arial"/>
                <w:sz w:val="16"/>
                <w:szCs w:val="16"/>
                <w:color w:val="auto"/>
              </w:rPr>
              <w:t>Jeff George</w:t>
            </w:r>
            <w:r>
              <w:rPr>
                <w:rFonts w:ascii="Arial" w:cs="Arial" w:eastAsia="Arial" w:hAnsi="Arial"/>
                <w:sz w:val="26"/>
                <w:szCs w:val="26"/>
                <w:color w:val="auto"/>
                <w:vertAlign w:val="superscript"/>
              </w:rPr>
              <w:t>(3)</w:t>
            </w:r>
          </w:p>
        </w:tc>
        <w:tc>
          <w:tcPr>
            <w:tcW w:w="1640" w:type="dxa"/>
            <w:vAlign w:val="bottom"/>
          </w:tcPr>
          <w:p>
            <w:pPr>
              <w:jc w:val="right"/>
              <w:ind w:right="119"/>
              <w:spacing w:after="0"/>
              <w:rPr>
                <w:sz w:val="20"/>
                <w:szCs w:val="20"/>
                <w:color w:val="auto"/>
              </w:rPr>
            </w:pPr>
            <w:r>
              <w:rPr>
                <w:rFonts w:ascii="Arial" w:cs="Arial" w:eastAsia="Arial" w:hAnsi="Arial"/>
                <w:sz w:val="16"/>
                <w:szCs w:val="16"/>
                <w:color w:val="auto"/>
              </w:rPr>
              <w:t>$</w:t>
            </w:r>
          </w:p>
        </w:tc>
        <w:tc>
          <w:tcPr>
            <w:tcW w:w="1340" w:type="dxa"/>
            <w:vAlign w:val="bottom"/>
          </w:tcPr>
          <w:p>
            <w:pPr>
              <w:ind w:left="200"/>
              <w:spacing w:after="0"/>
              <w:rPr>
                <w:sz w:val="20"/>
                <w:szCs w:val="20"/>
                <w:color w:val="auto"/>
              </w:rPr>
            </w:pPr>
            <w:r>
              <w:rPr>
                <w:rFonts w:ascii="Arial" w:cs="Arial" w:eastAsia="Arial" w:hAnsi="Arial"/>
                <w:sz w:val="16"/>
                <w:szCs w:val="16"/>
                <w:color w:val="auto"/>
              </w:rPr>
              <w:t>123,516</w:t>
            </w:r>
          </w:p>
        </w:tc>
        <w:tc>
          <w:tcPr>
            <w:tcW w:w="480" w:type="dxa"/>
            <w:vAlign w:val="bottom"/>
          </w:tcPr>
          <w:p>
            <w:pPr>
              <w:jc w:val="right"/>
              <w:ind w:right="79"/>
              <w:spacing w:after="0"/>
              <w:rPr>
                <w:sz w:val="20"/>
                <w:szCs w:val="20"/>
                <w:color w:val="auto"/>
              </w:rPr>
            </w:pPr>
            <w:r>
              <w:rPr>
                <w:rFonts w:ascii="Arial" w:cs="Arial" w:eastAsia="Arial" w:hAnsi="Arial"/>
                <w:sz w:val="16"/>
                <w:szCs w:val="16"/>
                <w:color w:val="auto"/>
              </w:rPr>
              <w:t>$</w:t>
            </w:r>
          </w:p>
        </w:tc>
        <w:tc>
          <w:tcPr>
            <w:tcW w:w="980" w:type="dxa"/>
            <w:vAlign w:val="bottom"/>
          </w:tcPr>
          <w:p>
            <w:pPr>
              <w:jc w:val="right"/>
              <w:ind w:right="119"/>
              <w:spacing w:after="0"/>
              <w:rPr>
                <w:sz w:val="20"/>
                <w:szCs w:val="20"/>
                <w:color w:val="auto"/>
              </w:rPr>
            </w:pPr>
            <w:r>
              <w:rPr>
                <w:rFonts w:ascii="Arial" w:cs="Arial" w:eastAsia="Arial" w:hAnsi="Arial"/>
                <w:sz w:val="16"/>
                <w:szCs w:val="16"/>
                <w:color w:val="auto"/>
              </w:rPr>
              <w:t>205,001</w:t>
            </w:r>
          </w:p>
        </w:tc>
        <w:tc>
          <w:tcPr>
            <w:tcW w:w="540" w:type="dxa"/>
            <w:vAlign w:val="bottom"/>
          </w:tcPr>
          <w:p>
            <w:pPr>
              <w:jc w:val="right"/>
              <w:ind w:right="139"/>
              <w:spacing w:after="0"/>
              <w:rPr>
                <w:sz w:val="20"/>
                <w:szCs w:val="20"/>
                <w:color w:val="auto"/>
              </w:rPr>
            </w:pPr>
            <w:r>
              <w:rPr>
                <w:rFonts w:ascii="Arial" w:cs="Arial" w:eastAsia="Arial" w:hAnsi="Arial"/>
                <w:sz w:val="16"/>
                <w:szCs w:val="16"/>
                <w:color w:val="auto"/>
              </w:rPr>
              <w:t>$</w:t>
            </w:r>
          </w:p>
        </w:tc>
        <w:tc>
          <w:tcPr>
            <w:tcW w:w="900" w:type="dxa"/>
            <w:vAlign w:val="bottom"/>
          </w:tcPr>
          <w:p>
            <w:pPr>
              <w:jc w:val="right"/>
              <w:ind w:right="19"/>
              <w:spacing w:after="0"/>
              <w:rPr>
                <w:sz w:val="20"/>
                <w:szCs w:val="20"/>
                <w:color w:val="auto"/>
              </w:rPr>
            </w:pPr>
            <w:r>
              <w:rPr>
                <w:rFonts w:ascii="Arial" w:cs="Arial" w:eastAsia="Arial" w:hAnsi="Arial"/>
                <w:sz w:val="16"/>
                <w:szCs w:val="16"/>
                <w:color w:val="auto"/>
              </w:rPr>
              <w:t>328,517</w:t>
            </w:r>
          </w:p>
        </w:tc>
      </w:tr>
      <w:tr>
        <w:trPr>
          <w:trHeight w:val="230"/>
        </w:trPr>
        <w:tc>
          <w:tcPr>
            <w:tcW w:w="5360" w:type="dxa"/>
            <w:vAlign w:val="bottom"/>
            <w:shd w:val="clear" w:color="auto" w:fill="E4E9F2"/>
          </w:tcPr>
          <w:p>
            <w:pPr>
              <w:ind w:left="60"/>
              <w:spacing w:after="0" w:line="230" w:lineRule="exact"/>
              <w:rPr>
                <w:sz w:val="20"/>
                <w:szCs w:val="20"/>
                <w:color w:val="auto"/>
              </w:rPr>
            </w:pPr>
            <w:r>
              <w:rPr>
                <w:rFonts w:ascii="Arial" w:cs="Arial" w:eastAsia="Arial" w:hAnsi="Arial"/>
                <w:sz w:val="16"/>
                <w:szCs w:val="16"/>
                <w:color w:val="auto"/>
              </w:rPr>
              <w:t>John Kiely</w:t>
            </w:r>
            <w:r>
              <w:rPr>
                <w:rFonts w:ascii="Arial" w:cs="Arial" w:eastAsia="Arial" w:hAnsi="Arial"/>
                <w:sz w:val="26"/>
                <w:szCs w:val="26"/>
                <w:color w:val="auto"/>
                <w:vertAlign w:val="superscript"/>
              </w:rPr>
              <w:t>(4)</w:t>
            </w:r>
          </w:p>
        </w:tc>
        <w:tc>
          <w:tcPr>
            <w:tcW w:w="164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w:t>
            </w:r>
          </w:p>
        </w:tc>
        <w:tc>
          <w:tcPr>
            <w:tcW w:w="1340" w:type="dxa"/>
            <w:vAlign w:val="bottom"/>
            <w:shd w:val="clear" w:color="auto" w:fill="E4E9F2"/>
          </w:tcPr>
          <w:p>
            <w:pPr>
              <w:ind w:left="200"/>
              <w:spacing w:after="0"/>
              <w:rPr>
                <w:sz w:val="20"/>
                <w:szCs w:val="20"/>
                <w:color w:val="auto"/>
              </w:rPr>
            </w:pPr>
            <w:r>
              <w:rPr>
                <w:rFonts w:ascii="Arial" w:cs="Arial" w:eastAsia="Arial" w:hAnsi="Arial"/>
                <w:sz w:val="16"/>
                <w:szCs w:val="16"/>
                <w:color w:val="auto"/>
              </w:rPr>
              <w:t>116,016</w:t>
            </w:r>
          </w:p>
        </w:tc>
        <w:tc>
          <w:tcPr>
            <w:tcW w:w="480" w:type="dxa"/>
            <w:vAlign w:val="bottom"/>
            <w:shd w:val="clear" w:color="auto" w:fill="E4E9F2"/>
          </w:tcPr>
          <w:p>
            <w:pPr>
              <w:jc w:val="right"/>
              <w:ind w:right="79"/>
              <w:spacing w:after="0"/>
              <w:rPr>
                <w:sz w:val="20"/>
                <w:szCs w:val="20"/>
                <w:color w:val="auto"/>
              </w:rPr>
            </w:pPr>
            <w:r>
              <w:rPr>
                <w:rFonts w:ascii="Arial" w:cs="Arial" w:eastAsia="Arial" w:hAnsi="Arial"/>
                <w:sz w:val="16"/>
                <w:szCs w:val="16"/>
                <w:color w:val="auto"/>
              </w:rPr>
              <w:t>$</w:t>
            </w:r>
          </w:p>
        </w:tc>
        <w:tc>
          <w:tcPr>
            <w:tcW w:w="98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205,001</w:t>
            </w:r>
          </w:p>
        </w:tc>
        <w:tc>
          <w:tcPr>
            <w:tcW w:w="540" w:type="dxa"/>
            <w:vAlign w:val="bottom"/>
            <w:shd w:val="clear" w:color="auto" w:fill="E4E9F2"/>
          </w:tcPr>
          <w:p>
            <w:pPr>
              <w:jc w:val="right"/>
              <w:ind w:right="139"/>
              <w:spacing w:after="0"/>
              <w:rPr>
                <w:sz w:val="20"/>
                <w:szCs w:val="20"/>
                <w:color w:val="auto"/>
              </w:rPr>
            </w:pPr>
            <w:r>
              <w:rPr>
                <w:rFonts w:ascii="Arial" w:cs="Arial" w:eastAsia="Arial" w:hAnsi="Arial"/>
                <w:sz w:val="16"/>
                <w:szCs w:val="16"/>
                <w:color w:val="auto"/>
              </w:rPr>
              <w:t>$</w:t>
            </w:r>
          </w:p>
        </w:tc>
        <w:tc>
          <w:tcPr>
            <w:tcW w:w="9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321,017</w:t>
            </w:r>
          </w:p>
        </w:tc>
      </w:tr>
      <w:tr>
        <w:trPr>
          <w:trHeight w:val="230"/>
        </w:trPr>
        <w:tc>
          <w:tcPr>
            <w:tcW w:w="5360" w:type="dxa"/>
            <w:vAlign w:val="bottom"/>
          </w:tcPr>
          <w:p>
            <w:pPr>
              <w:ind w:left="60"/>
              <w:spacing w:after="0" w:line="230" w:lineRule="exact"/>
              <w:rPr>
                <w:sz w:val="20"/>
                <w:szCs w:val="20"/>
                <w:color w:val="auto"/>
              </w:rPr>
            </w:pPr>
            <w:r>
              <w:rPr>
                <w:rFonts w:ascii="Arial" w:cs="Arial" w:eastAsia="Arial" w:hAnsi="Arial"/>
                <w:sz w:val="16"/>
                <w:szCs w:val="16"/>
                <w:color w:val="auto"/>
              </w:rPr>
              <w:t>Paul Meister</w:t>
            </w:r>
            <w:r>
              <w:rPr>
                <w:rFonts w:ascii="Arial" w:cs="Arial" w:eastAsia="Arial" w:hAnsi="Arial"/>
                <w:sz w:val="26"/>
                <w:szCs w:val="26"/>
                <w:color w:val="auto"/>
                <w:vertAlign w:val="superscript"/>
              </w:rPr>
              <w:t>(5)</w:t>
            </w:r>
          </w:p>
        </w:tc>
        <w:tc>
          <w:tcPr>
            <w:tcW w:w="1640" w:type="dxa"/>
            <w:vAlign w:val="bottom"/>
          </w:tcPr>
          <w:p>
            <w:pPr>
              <w:jc w:val="right"/>
              <w:ind w:right="119"/>
              <w:spacing w:after="0"/>
              <w:rPr>
                <w:sz w:val="20"/>
                <w:szCs w:val="20"/>
                <w:color w:val="auto"/>
              </w:rPr>
            </w:pPr>
            <w:r>
              <w:rPr>
                <w:rFonts w:ascii="Arial" w:cs="Arial" w:eastAsia="Arial" w:hAnsi="Arial"/>
                <w:sz w:val="16"/>
                <w:szCs w:val="16"/>
                <w:color w:val="auto"/>
              </w:rPr>
              <w:t>$</w:t>
            </w:r>
          </w:p>
        </w:tc>
        <w:tc>
          <w:tcPr>
            <w:tcW w:w="1340" w:type="dxa"/>
            <w:vAlign w:val="bottom"/>
          </w:tcPr>
          <w:p>
            <w:pPr>
              <w:ind w:left="200"/>
              <w:spacing w:after="0"/>
              <w:rPr>
                <w:sz w:val="20"/>
                <w:szCs w:val="20"/>
                <w:color w:val="auto"/>
              </w:rPr>
            </w:pPr>
            <w:r>
              <w:rPr>
                <w:rFonts w:ascii="Arial" w:cs="Arial" w:eastAsia="Arial" w:hAnsi="Arial"/>
                <w:sz w:val="16"/>
                <w:szCs w:val="16"/>
                <w:color w:val="auto"/>
              </w:rPr>
              <w:t>105,000</w:t>
            </w:r>
          </w:p>
        </w:tc>
        <w:tc>
          <w:tcPr>
            <w:tcW w:w="480" w:type="dxa"/>
            <w:vAlign w:val="bottom"/>
          </w:tcPr>
          <w:p>
            <w:pPr>
              <w:jc w:val="right"/>
              <w:ind w:right="79"/>
              <w:spacing w:after="0"/>
              <w:rPr>
                <w:sz w:val="20"/>
                <w:szCs w:val="20"/>
                <w:color w:val="auto"/>
              </w:rPr>
            </w:pPr>
            <w:r>
              <w:rPr>
                <w:rFonts w:ascii="Arial" w:cs="Arial" w:eastAsia="Arial" w:hAnsi="Arial"/>
                <w:sz w:val="16"/>
                <w:szCs w:val="16"/>
                <w:color w:val="auto"/>
              </w:rPr>
              <w:t>$</w:t>
            </w:r>
          </w:p>
        </w:tc>
        <w:tc>
          <w:tcPr>
            <w:tcW w:w="980" w:type="dxa"/>
            <w:vAlign w:val="bottom"/>
          </w:tcPr>
          <w:p>
            <w:pPr>
              <w:jc w:val="right"/>
              <w:ind w:right="119"/>
              <w:spacing w:after="0"/>
              <w:rPr>
                <w:sz w:val="20"/>
                <w:szCs w:val="20"/>
                <w:color w:val="auto"/>
              </w:rPr>
            </w:pPr>
            <w:r>
              <w:rPr>
                <w:rFonts w:ascii="Arial" w:cs="Arial" w:eastAsia="Arial" w:hAnsi="Arial"/>
                <w:sz w:val="16"/>
                <w:szCs w:val="16"/>
                <w:color w:val="auto"/>
              </w:rPr>
              <w:t>305,000</w:t>
            </w:r>
          </w:p>
        </w:tc>
        <w:tc>
          <w:tcPr>
            <w:tcW w:w="540" w:type="dxa"/>
            <w:vAlign w:val="bottom"/>
          </w:tcPr>
          <w:p>
            <w:pPr>
              <w:jc w:val="right"/>
              <w:ind w:right="139"/>
              <w:spacing w:after="0"/>
              <w:rPr>
                <w:sz w:val="20"/>
                <w:szCs w:val="20"/>
                <w:color w:val="auto"/>
              </w:rPr>
            </w:pPr>
            <w:r>
              <w:rPr>
                <w:rFonts w:ascii="Arial" w:cs="Arial" w:eastAsia="Arial" w:hAnsi="Arial"/>
                <w:sz w:val="16"/>
                <w:szCs w:val="16"/>
                <w:color w:val="auto"/>
              </w:rPr>
              <w:t>$</w:t>
            </w:r>
          </w:p>
        </w:tc>
        <w:tc>
          <w:tcPr>
            <w:tcW w:w="900" w:type="dxa"/>
            <w:vAlign w:val="bottom"/>
          </w:tcPr>
          <w:p>
            <w:pPr>
              <w:jc w:val="right"/>
              <w:ind w:right="19"/>
              <w:spacing w:after="0"/>
              <w:rPr>
                <w:sz w:val="20"/>
                <w:szCs w:val="20"/>
                <w:color w:val="auto"/>
              </w:rPr>
            </w:pPr>
            <w:r>
              <w:rPr>
                <w:rFonts w:ascii="Arial" w:cs="Arial" w:eastAsia="Arial" w:hAnsi="Arial"/>
                <w:sz w:val="16"/>
                <w:szCs w:val="16"/>
                <w:color w:val="auto"/>
              </w:rPr>
              <w:t>410,000</w:t>
            </w:r>
          </w:p>
        </w:tc>
      </w:tr>
      <w:tr>
        <w:trPr>
          <w:trHeight w:val="229"/>
        </w:trPr>
        <w:tc>
          <w:tcPr>
            <w:tcW w:w="5360" w:type="dxa"/>
            <w:vAlign w:val="bottom"/>
            <w:shd w:val="clear" w:color="auto" w:fill="E4E9F2"/>
          </w:tcPr>
          <w:p>
            <w:pPr>
              <w:ind w:left="60"/>
              <w:spacing w:after="0" w:line="230" w:lineRule="exact"/>
              <w:rPr>
                <w:sz w:val="20"/>
                <w:szCs w:val="20"/>
                <w:color w:val="auto"/>
              </w:rPr>
            </w:pPr>
            <w:r>
              <w:rPr>
                <w:rFonts w:ascii="Arial" w:cs="Arial" w:eastAsia="Arial" w:hAnsi="Arial"/>
                <w:sz w:val="16"/>
                <w:szCs w:val="16"/>
                <w:color w:val="auto"/>
              </w:rPr>
              <w:t>Ted Nark</w:t>
            </w:r>
            <w:r>
              <w:rPr>
                <w:rFonts w:ascii="Arial" w:cs="Arial" w:eastAsia="Arial" w:hAnsi="Arial"/>
                <w:sz w:val="26"/>
                <w:szCs w:val="26"/>
                <w:color w:val="auto"/>
                <w:vertAlign w:val="superscript"/>
              </w:rPr>
              <w:t>(6)</w:t>
            </w:r>
          </w:p>
        </w:tc>
        <w:tc>
          <w:tcPr>
            <w:tcW w:w="164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w:t>
            </w:r>
          </w:p>
        </w:tc>
        <w:tc>
          <w:tcPr>
            <w:tcW w:w="1340" w:type="dxa"/>
            <w:vAlign w:val="bottom"/>
            <w:shd w:val="clear" w:color="auto" w:fill="E4E9F2"/>
          </w:tcPr>
          <w:p>
            <w:pPr>
              <w:ind w:left="200"/>
              <w:spacing w:after="0"/>
              <w:rPr>
                <w:sz w:val="20"/>
                <w:szCs w:val="20"/>
                <w:color w:val="auto"/>
              </w:rPr>
            </w:pPr>
            <w:r>
              <w:rPr>
                <w:rFonts w:ascii="Arial" w:cs="Arial" w:eastAsia="Arial" w:hAnsi="Arial"/>
                <w:sz w:val="16"/>
                <w:szCs w:val="16"/>
                <w:color w:val="auto"/>
              </w:rPr>
              <w:t>103,601</w:t>
            </w:r>
          </w:p>
        </w:tc>
        <w:tc>
          <w:tcPr>
            <w:tcW w:w="480" w:type="dxa"/>
            <w:vAlign w:val="bottom"/>
            <w:shd w:val="clear" w:color="auto" w:fill="E4E9F2"/>
          </w:tcPr>
          <w:p>
            <w:pPr>
              <w:jc w:val="right"/>
              <w:ind w:right="79"/>
              <w:spacing w:after="0"/>
              <w:rPr>
                <w:sz w:val="20"/>
                <w:szCs w:val="20"/>
                <w:color w:val="auto"/>
              </w:rPr>
            </w:pPr>
            <w:r>
              <w:rPr>
                <w:rFonts w:ascii="Arial" w:cs="Arial" w:eastAsia="Arial" w:hAnsi="Arial"/>
                <w:sz w:val="16"/>
                <w:szCs w:val="16"/>
                <w:color w:val="auto"/>
              </w:rPr>
              <w:t>$</w:t>
            </w:r>
          </w:p>
        </w:tc>
        <w:tc>
          <w:tcPr>
            <w:tcW w:w="98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205,001</w:t>
            </w:r>
          </w:p>
        </w:tc>
        <w:tc>
          <w:tcPr>
            <w:tcW w:w="540" w:type="dxa"/>
            <w:vAlign w:val="bottom"/>
            <w:shd w:val="clear" w:color="auto" w:fill="E4E9F2"/>
          </w:tcPr>
          <w:p>
            <w:pPr>
              <w:jc w:val="right"/>
              <w:ind w:right="139"/>
              <w:spacing w:after="0"/>
              <w:rPr>
                <w:sz w:val="20"/>
                <w:szCs w:val="20"/>
                <w:color w:val="auto"/>
              </w:rPr>
            </w:pPr>
            <w:r>
              <w:rPr>
                <w:rFonts w:ascii="Arial" w:cs="Arial" w:eastAsia="Arial" w:hAnsi="Arial"/>
                <w:sz w:val="16"/>
                <w:szCs w:val="16"/>
                <w:color w:val="auto"/>
              </w:rPr>
              <w:t>$</w:t>
            </w:r>
          </w:p>
        </w:tc>
        <w:tc>
          <w:tcPr>
            <w:tcW w:w="9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308,602</w:t>
            </w:r>
          </w:p>
        </w:tc>
      </w:tr>
      <w:tr>
        <w:trPr>
          <w:trHeight w:val="230"/>
        </w:trPr>
        <w:tc>
          <w:tcPr>
            <w:tcW w:w="5360" w:type="dxa"/>
            <w:vAlign w:val="bottom"/>
          </w:tcPr>
          <w:p>
            <w:pPr>
              <w:ind w:left="60"/>
              <w:spacing w:after="0" w:line="230" w:lineRule="exact"/>
              <w:rPr>
                <w:sz w:val="20"/>
                <w:szCs w:val="20"/>
                <w:color w:val="auto"/>
              </w:rPr>
            </w:pPr>
            <w:r>
              <w:rPr>
                <w:rFonts w:ascii="Arial" w:cs="Arial" w:eastAsia="Arial" w:hAnsi="Arial"/>
                <w:sz w:val="16"/>
                <w:szCs w:val="16"/>
                <w:color w:val="auto"/>
              </w:rPr>
              <w:t>Gautam Patel</w:t>
            </w:r>
            <w:r>
              <w:rPr>
                <w:rFonts w:ascii="Arial" w:cs="Arial" w:eastAsia="Arial" w:hAnsi="Arial"/>
                <w:sz w:val="26"/>
                <w:szCs w:val="26"/>
                <w:color w:val="auto"/>
                <w:vertAlign w:val="superscript"/>
              </w:rPr>
              <w:t>(7)</w:t>
            </w:r>
          </w:p>
        </w:tc>
        <w:tc>
          <w:tcPr>
            <w:tcW w:w="1640" w:type="dxa"/>
            <w:vAlign w:val="bottom"/>
          </w:tcPr>
          <w:p>
            <w:pPr>
              <w:jc w:val="right"/>
              <w:ind w:right="119"/>
              <w:spacing w:after="0"/>
              <w:rPr>
                <w:sz w:val="20"/>
                <w:szCs w:val="20"/>
                <w:color w:val="auto"/>
              </w:rPr>
            </w:pPr>
            <w:r>
              <w:rPr>
                <w:rFonts w:ascii="Arial" w:cs="Arial" w:eastAsia="Arial" w:hAnsi="Arial"/>
                <w:sz w:val="16"/>
                <w:szCs w:val="16"/>
                <w:color w:val="auto"/>
              </w:rPr>
              <w:t>$</w:t>
            </w:r>
          </w:p>
        </w:tc>
        <w:tc>
          <w:tcPr>
            <w:tcW w:w="1340" w:type="dxa"/>
            <w:vAlign w:val="bottom"/>
          </w:tcPr>
          <w:p>
            <w:pPr>
              <w:jc w:val="right"/>
              <w:ind w:right="479"/>
              <w:spacing w:after="0"/>
              <w:rPr>
                <w:sz w:val="20"/>
                <w:szCs w:val="20"/>
                <w:color w:val="auto"/>
              </w:rPr>
            </w:pPr>
            <w:r>
              <w:rPr>
                <w:rFonts w:ascii="Arial" w:cs="Arial" w:eastAsia="Arial" w:hAnsi="Arial"/>
                <w:sz w:val="16"/>
                <w:szCs w:val="16"/>
                <w:color w:val="auto"/>
              </w:rPr>
              <w:t>80,000</w:t>
            </w:r>
          </w:p>
        </w:tc>
        <w:tc>
          <w:tcPr>
            <w:tcW w:w="480" w:type="dxa"/>
            <w:vAlign w:val="bottom"/>
          </w:tcPr>
          <w:p>
            <w:pPr>
              <w:jc w:val="right"/>
              <w:ind w:right="79"/>
              <w:spacing w:after="0"/>
              <w:rPr>
                <w:sz w:val="20"/>
                <w:szCs w:val="20"/>
                <w:color w:val="auto"/>
              </w:rPr>
            </w:pPr>
            <w:r>
              <w:rPr>
                <w:rFonts w:ascii="Arial" w:cs="Arial" w:eastAsia="Arial" w:hAnsi="Arial"/>
                <w:sz w:val="16"/>
                <w:szCs w:val="16"/>
                <w:color w:val="auto"/>
              </w:rPr>
              <w:t>$</w:t>
            </w:r>
          </w:p>
        </w:tc>
        <w:tc>
          <w:tcPr>
            <w:tcW w:w="980" w:type="dxa"/>
            <w:vAlign w:val="bottom"/>
          </w:tcPr>
          <w:p>
            <w:pPr>
              <w:jc w:val="right"/>
              <w:ind w:right="119"/>
              <w:spacing w:after="0"/>
              <w:rPr>
                <w:sz w:val="20"/>
                <w:szCs w:val="20"/>
                <w:color w:val="auto"/>
              </w:rPr>
            </w:pPr>
            <w:r>
              <w:rPr>
                <w:rFonts w:ascii="Arial" w:cs="Arial" w:eastAsia="Arial" w:hAnsi="Arial"/>
                <w:sz w:val="16"/>
                <w:szCs w:val="16"/>
                <w:color w:val="auto"/>
              </w:rPr>
              <w:t>205,001</w:t>
            </w:r>
          </w:p>
        </w:tc>
        <w:tc>
          <w:tcPr>
            <w:tcW w:w="540" w:type="dxa"/>
            <w:vAlign w:val="bottom"/>
          </w:tcPr>
          <w:p>
            <w:pPr>
              <w:jc w:val="right"/>
              <w:ind w:right="139"/>
              <w:spacing w:after="0"/>
              <w:rPr>
                <w:sz w:val="20"/>
                <w:szCs w:val="20"/>
                <w:color w:val="auto"/>
              </w:rPr>
            </w:pPr>
            <w:r>
              <w:rPr>
                <w:rFonts w:ascii="Arial" w:cs="Arial" w:eastAsia="Arial" w:hAnsi="Arial"/>
                <w:sz w:val="16"/>
                <w:szCs w:val="16"/>
                <w:color w:val="auto"/>
              </w:rPr>
              <w:t>$</w:t>
            </w:r>
          </w:p>
        </w:tc>
        <w:tc>
          <w:tcPr>
            <w:tcW w:w="900" w:type="dxa"/>
            <w:vAlign w:val="bottom"/>
          </w:tcPr>
          <w:p>
            <w:pPr>
              <w:jc w:val="right"/>
              <w:ind w:right="19"/>
              <w:spacing w:after="0"/>
              <w:rPr>
                <w:sz w:val="20"/>
                <w:szCs w:val="20"/>
                <w:color w:val="auto"/>
              </w:rPr>
            </w:pPr>
            <w:r>
              <w:rPr>
                <w:rFonts w:ascii="Arial" w:cs="Arial" w:eastAsia="Arial" w:hAnsi="Arial"/>
                <w:sz w:val="16"/>
                <w:szCs w:val="16"/>
                <w:color w:val="auto"/>
              </w:rPr>
              <w:t>285,001</w:t>
            </w:r>
          </w:p>
        </w:tc>
      </w:tr>
      <w:tr>
        <w:trPr>
          <w:trHeight w:val="243"/>
        </w:trPr>
        <w:tc>
          <w:tcPr>
            <w:tcW w:w="5360" w:type="dxa"/>
            <w:vAlign w:val="bottom"/>
            <w:tcBorders>
              <w:bottom w:val="single" w:sz="8" w:color="04568A"/>
            </w:tcBorders>
            <w:shd w:val="clear" w:color="auto" w:fill="E4E9F2"/>
          </w:tcPr>
          <w:p>
            <w:pPr>
              <w:ind w:left="60"/>
              <w:spacing w:after="0" w:line="243" w:lineRule="exact"/>
              <w:rPr>
                <w:sz w:val="20"/>
                <w:szCs w:val="20"/>
                <w:color w:val="auto"/>
              </w:rPr>
            </w:pPr>
            <w:r>
              <w:rPr>
                <w:rFonts w:ascii="Arial" w:cs="Arial" w:eastAsia="Arial" w:hAnsi="Arial"/>
                <w:sz w:val="16"/>
                <w:szCs w:val="16"/>
                <w:color w:val="auto"/>
              </w:rPr>
              <w:t>Shlomo Yanai</w:t>
            </w:r>
            <w:r>
              <w:rPr>
                <w:rFonts w:ascii="Arial" w:cs="Arial" w:eastAsia="Arial" w:hAnsi="Arial"/>
                <w:sz w:val="26"/>
                <w:szCs w:val="26"/>
                <w:color w:val="auto"/>
                <w:vertAlign w:val="superscript"/>
              </w:rPr>
              <w:t>(8)</w:t>
            </w:r>
          </w:p>
        </w:tc>
        <w:tc>
          <w:tcPr>
            <w:tcW w:w="1640" w:type="dxa"/>
            <w:vAlign w:val="bottom"/>
            <w:tcBorders>
              <w:bottom w:val="single" w:sz="8" w:color="04568A"/>
            </w:tcBorders>
            <w:shd w:val="clear" w:color="auto" w:fill="E4E9F2"/>
          </w:tcPr>
          <w:p>
            <w:pPr>
              <w:jc w:val="right"/>
              <w:ind w:right="119"/>
              <w:spacing w:after="0"/>
              <w:rPr>
                <w:sz w:val="20"/>
                <w:szCs w:val="20"/>
                <w:color w:val="auto"/>
              </w:rPr>
            </w:pPr>
            <w:r>
              <w:rPr>
                <w:rFonts w:ascii="Arial" w:cs="Arial" w:eastAsia="Arial" w:hAnsi="Arial"/>
                <w:sz w:val="16"/>
                <w:szCs w:val="16"/>
                <w:color w:val="auto"/>
              </w:rPr>
              <w:t>$</w:t>
            </w:r>
          </w:p>
        </w:tc>
        <w:tc>
          <w:tcPr>
            <w:tcW w:w="1340" w:type="dxa"/>
            <w:vAlign w:val="bottom"/>
            <w:tcBorders>
              <w:bottom w:val="single" w:sz="8" w:color="04568A"/>
            </w:tcBorders>
            <w:shd w:val="clear" w:color="auto" w:fill="E4E9F2"/>
          </w:tcPr>
          <w:p>
            <w:pPr>
              <w:jc w:val="right"/>
              <w:ind w:right="479"/>
              <w:spacing w:after="0"/>
              <w:rPr>
                <w:sz w:val="20"/>
                <w:szCs w:val="20"/>
                <w:color w:val="auto"/>
              </w:rPr>
            </w:pPr>
            <w:r>
              <w:rPr>
                <w:rFonts w:ascii="Arial" w:cs="Arial" w:eastAsia="Arial" w:hAnsi="Arial"/>
                <w:sz w:val="16"/>
                <w:szCs w:val="16"/>
                <w:color w:val="auto"/>
              </w:rPr>
              <w:t>98,516</w:t>
            </w:r>
          </w:p>
        </w:tc>
        <w:tc>
          <w:tcPr>
            <w:tcW w:w="480" w:type="dxa"/>
            <w:vAlign w:val="bottom"/>
            <w:tcBorders>
              <w:bottom w:val="single" w:sz="8" w:color="04568A"/>
            </w:tcBorders>
            <w:shd w:val="clear" w:color="auto" w:fill="E4E9F2"/>
          </w:tcPr>
          <w:p>
            <w:pPr>
              <w:jc w:val="right"/>
              <w:ind w:right="79"/>
              <w:spacing w:after="0"/>
              <w:rPr>
                <w:sz w:val="20"/>
                <w:szCs w:val="20"/>
                <w:color w:val="auto"/>
              </w:rPr>
            </w:pPr>
            <w:r>
              <w:rPr>
                <w:rFonts w:ascii="Arial" w:cs="Arial" w:eastAsia="Arial" w:hAnsi="Arial"/>
                <w:sz w:val="16"/>
                <w:szCs w:val="16"/>
                <w:color w:val="auto"/>
              </w:rPr>
              <w:t>$</w:t>
            </w:r>
          </w:p>
        </w:tc>
        <w:tc>
          <w:tcPr>
            <w:tcW w:w="980" w:type="dxa"/>
            <w:vAlign w:val="bottom"/>
            <w:tcBorders>
              <w:bottom w:val="single" w:sz="8" w:color="04568A"/>
            </w:tcBorders>
            <w:shd w:val="clear" w:color="auto" w:fill="E4E9F2"/>
          </w:tcPr>
          <w:p>
            <w:pPr>
              <w:jc w:val="right"/>
              <w:ind w:right="119"/>
              <w:spacing w:after="0"/>
              <w:rPr>
                <w:sz w:val="20"/>
                <w:szCs w:val="20"/>
                <w:color w:val="auto"/>
              </w:rPr>
            </w:pPr>
            <w:r>
              <w:rPr>
                <w:rFonts w:ascii="Arial" w:cs="Arial" w:eastAsia="Arial" w:hAnsi="Arial"/>
                <w:sz w:val="16"/>
                <w:szCs w:val="16"/>
                <w:color w:val="auto"/>
              </w:rPr>
              <w:t>205,001</w:t>
            </w:r>
          </w:p>
        </w:tc>
        <w:tc>
          <w:tcPr>
            <w:tcW w:w="540" w:type="dxa"/>
            <w:vAlign w:val="bottom"/>
            <w:tcBorders>
              <w:bottom w:val="single" w:sz="8" w:color="04568A"/>
            </w:tcBorders>
            <w:shd w:val="clear" w:color="auto" w:fill="E4E9F2"/>
          </w:tcPr>
          <w:p>
            <w:pPr>
              <w:jc w:val="right"/>
              <w:ind w:right="139"/>
              <w:spacing w:after="0"/>
              <w:rPr>
                <w:sz w:val="20"/>
                <w:szCs w:val="20"/>
                <w:color w:val="auto"/>
              </w:rPr>
            </w:pPr>
            <w:r>
              <w:rPr>
                <w:rFonts w:ascii="Arial" w:cs="Arial" w:eastAsia="Arial" w:hAnsi="Arial"/>
                <w:sz w:val="16"/>
                <w:szCs w:val="16"/>
                <w:color w:val="auto"/>
              </w:rPr>
              <w:t>$</w:t>
            </w:r>
          </w:p>
        </w:tc>
        <w:tc>
          <w:tcPr>
            <w:tcW w:w="900" w:type="dxa"/>
            <w:vAlign w:val="bottom"/>
            <w:tcBorders>
              <w:bottom w:val="single" w:sz="8" w:color="04568A"/>
            </w:tcBorders>
            <w:shd w:val="clear" w:color="auto" w:fill="E4E9F2"/>
          </w:tcPr>
          <w:p>
            <w:pPr>
              <w:jc w:val="right"/>
              <w:ind w:right="19"/>
              <w:spacing w:after="0"/>
              <w:rPr>
                <w:sz w:val="20"/>
                <w:szCs w:val="20"/>
                <w:color w:val="auto"/>
              </w:rPr>
            </w:pPr>
            <w:r>
              <w:rPr>
                <w:rFonts w:ascii="Arial" w:cs="Arial" w:eastAsia="Arial" w:hAnsi="Arial"/>
                <w:sz w:val="16"/>
                <w:szCs w:val="16"/>
                <w:color w:val="auto"/>
              </w:rPr>
              <w:t>303,517</w:t>
            </w:r>
          </w:p>
        </w:tc>
      </w:tr>
    </w:tbl>
    <w:p>
      <w:pPr>
        <w:spacing w:after="0" w:line="72" w:lineRule="exact"/>
        <w:rPr>
          <w:sz w:val="20"/>
          <w:szCs w:val="20"/>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As of December 31, 2021, Ms. Alva had 35,406 RSUs outstanding and 53,021 options outstanding.</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As of December 31, 2021, Mr. Buchi had 35,406 RSUs outstanding and 81,397 options outstanding.</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As of December 31, 2021, Mr. George had 35,406 RSUs outstanding and 28,506 options outstanding.</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As of December 31, 2021, Mr. Kiely had 35,406 RSUs outstanding and 28,506 options outstanding.</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As of December 31, 2021, Mr. Meister had 52,677 RSUs outstanding and 115,156 options outstanding.</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As of December 31, 2021, Mr. Nark had 35,406 RSUs outstanding and 53,021 options outstanding.</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As of December 31, 2021, Mr. Patel had 35,406 RSUs outstanding and 53,021 options outstanding.</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As of December 31, 2021, Mr. Yanai had 35,406 RSUs outstanding and 28,506 options outstanding.</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14"/>
        </w:numPr>
        <w:rPr>
          <w:rFonts w:ascii="Arial" w:cs="Arial" w:eastAsia="Arial" w:hAnsi="Arial"/>
          <w:sz w:val="14"/>
          <w:szCs w:val="14"/>
          <w:i w:val="1"/>
          <w:iCs w:val="1"/>
          <w:color w:val="auto"/>
        </w:rPr>
      </w:pPr>
      <w:r>
        <w:rPr>
          <w:rFonts w:ascii="Arial" w:cs="Arial" w:eastAsia="Arial" w:hAnsi="Arial"/>
          <w:sz w:val="14"/>
          <w:szCs w:val="14"/>
          <w:i w:val="1"/>
          <w:iCs w:val="1"/>
          <w:color w:val="auto"/>
        </w:rPr>
        <w:t>The dollar amounts represent the value of RSUs granted in 2021 based on the closing market price on the NYSE of our common stock on the grant date.</w:t>
      </w:r>
    </w:p>
    <w:p>
      <w:pPr>
        <w:spacing w:after="0" w:line="181"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17</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18" w:name="page19"/>
    <w:bookmarkEnd w:id="18"/>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Employee directors do not receive any separate compensation for their Board activities. Prior to their appointment in August 2019 as Co-Chief Executive Officers, Chintu Patel and Chirag Patel received compensation for their service as non-employee directors in accordance with the program described above. Following these appointments, they no longer receive compensation for service as directors. See “Compensation Discussion and Analysis” beginning on page 30 for information about their compensation as Co-Chief Executive Officers.</w:t>
      </w:r>
    </w:p>
    <w:p>
      <w:pPr>
        <w:spacing w:after="0" w:line="264"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Director Stock Ownership Guidelines</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In order to further align the interests of our non-employee directors with the interests of our stockholders, we require our non-employee directors to own our stock as set forth below.</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32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Position</w:t>
            </w:r>
          </w:p>
        </w:tc>
        <w:tc>
          <w:tcPr>
            <w:tcW w:w="7920" w:type="dxa"/>
            <w:vAlign w:val="bottom"/>
            <w:tcBorders>
              <w:bottom w:val="single" w:sz="8" w:color="04568A"/>
            </w:tcBorders>
          </w:tcPr>
          <w:p>
            <w:pPr>
              <w:ind w:left="1520"/>
              <w:spacing w:after="0"/>
              <w:rPr>
                <w:sz w:val="20"/>
                <w:szCs w:val="20"/>
                <w:color w:val="auto"/>
              </w:rPr>
            </w:pPr>
            <w:r>
              <w:rPr>
                <w:rFonts w:ascii="Arial" w:cs="Arial" w:eastAsia="Arial" w:hAnsi="Arial"/>
                <w:sz w:val="16"/>
                <w:szCs w:val="16"/>
                <w:b w:val="1"/>
                <w:bCs w:val="1"/>
                <w:color w:val="04568A"/>
              </w:rPr>
              <w:t>Minimum Ownership Guideline</w:t>
            </w:r>
          </w:p>
        </w:tc>
      </w:tr>
      <w:tr>
        <w:trPr>
          <w:trHeight w:val="183"/>
        </w:trPr>
        <w:tc>
          <w:tcPr>
            <w:tcW w:w="3320" w:type="dxa"/>
            <w:vAlign w:val="bottom"/>
            <w:tcBorders>
              <w:bottom w:val="single" w:sz="8" w:color="04568A"/>
            </w:tcBorders>
          </w:tcPr>
          <w:p>
            <w:pPr>
              <w:ind w:left="60"/>
              <w:spacing w:after="0" w:line="183" w:lineRule="exact"/>
              <w:rPr>
                <w:sz w:val="20"/>
                <w:szCs w:val="20"/>
                <w:color w:val="auto"/>
              </w:rPr>
            </w:pPr>
            <w:r>
              <w:rPr>
                <w:rFonts w:ascii="Arial" w:cs="Arial" w:eastAsia="Arial" w:hAnsi="Arial"/>
                <w:sz w:val="16"/>
                <w:szCs w:val="16"/>
                <w:color w:val="auto"/>
              </w:rPr>
              <w:t>Non-employee directors</w:t>
            </w:r>
          </w:p>
        </w:tc>
        <w:tc>
          <w:tcPr>
            <w:tcW w:w="7920" w:type="dxa"/>
            <w:vAlign w:val="bottom"/>
            <w:tcBorders>
              <w:bottom w:val="single" w:sz="8" w:color="04568A"/>
            </w:tcBorders>
          </w:tcPr>
          <w:p>
            <w:pPr>
              <w:ind w:left="1520"/>
              <w:spacing w:after="0" w:line="183" w:lineRule="exact"/>
              <w:rPr>
                <w:sz w:val="20"/>
                <w:szCs w:val="20"/>
                <w:color w:val="auto"/>
              </w:rPr>
            </w:pPr>
            <w:r>
              <w:rPr>
                <w:rFonts w:ascii="Arial" w:cs="Arial" w:eastAsia="Arial" w:hAnsi="Arial"/>
                <w:sz w:val="16"/>
                <w:szCs w:val="16"/>
                <w:color w:val="auto"/>
              </w:rPr>
              <w:t>3x annual cash retainer</w:t>
            </w:r>
          </w:p>
        </w:tc>
      </w:tr>
    </w:tbl>
    <w:p>
      <w:pPr>
        <w:spacing w:after="0" w:line="19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We adopted our stock ownership guidelines in May 2018, and we expect our non-employee directors to be able to achieve the required ownership thresholds by five years from the date of adoption of the guidelines. Newly elected directors will have five years from the date of their appointment or election. For the purpose of determining stock ownership levels, we include shares underlying restricted stock and restricted stock units (whether or not vested) and shares underlying “in-the-money” vested stock option awards. All of our non-employee directors have achieved the minimum ownership thresholds.</w:t>
      </w:r>
    </w:p>
    <w:p>
      <w:pPr>
        <w:spacing w:after="0" w:line="347"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19" w:name="page20"/>
    <w:bookmarkEnd w:id="19"/>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Proposal 1 </w:t>
      </w:r>
      <w:r>
        <w:rPr>
          <w:rFonts w:ascii="Arial" w:cs="Arial" w:eastAsia="Arial" w:hAnsi="Arial"/>
          <w:sz w:val="47"/>
          <w:szCs w:val="47"/>
          <w:b w:val="1"/>
          <w:bCs w:val="1"/>
          <w:color w:val="000000"/>
        </w:rPr>
        <w:t>Election of Directors</w:t>
      </w: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Introduction</w:t>
      </w:r>
    </w:p>
    <w:p>
      <w:pPr>
        <w:spacing w:after="0" w:line="237"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Our Company’s Bylaws provide for the annual election of directors. Upon the recommendation of our Nominating and Corporate Governance Committee, our Board of Directors has nominated for election each of our current directors.</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At the annual meeting, the 10 nominees for director are to be elected to hold office until the next annual meeting of stockholders and until their successors have been elected and qualified. Each of the nominees has consented to serve as a director if elected. If any of the nominees shall become unable or unwilling to stand for election as a director (an event not now anticipated by the Board of Directors), proxies will be voted for such substitute as designated by the Board of Directors, or, alternatively, the Board of Directors may reduce the number of directors on the Board, subject to the provisions of the Stockholders Agreement.</w:t>
      </w:r>
    </w:p>
    <w:p>
      <w:pPr>
        <w:spacing w:after="0" w:line="25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Director Nominees</w:t>
      </w:r>
    </w:p>
    <w:p>
      <w:pPr>
        <w:spacing w:after="0" w:line="237"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For each of the 10 director nominees standing for election, the following sets forth certain biographical information, including a description of their business experience during at least the past five years and the specific experience, qualifications, attributes or skills that qualify them to serve as directors of the Company and/or members of the Board committees on which they serve. Each of the nominees was previously elected by stockholders at the 2021 annual meeting.</w:t>
      </w:r>
    </w:p>
    <w:p>
      <w:pPr>
        <w:spacing w:after="0" w:line="155"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19</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7"/>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20" w:name="page21"/>
    <w:bookmarkEnd w:id="20"/>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142240</wp:posOffset>
            </wp:positionH>
            <wp:positionV relativeFrom="paragraph">
              <wp:posOffset>120650</wp:posOffset>
            </wp:positionV>
            <wp:extent cx="6858000" cy="13030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858000" cy="130302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left="220"/>
        <w:spacing w:after="0"/>
        <w:rPr>
          <w:sz w:val="20"/>
          <w:szCs w:val="20"/>
          <w:color w:val="auto"/>
        </w:rPr>
      </w:pPr>
      <w:r>
        <w:rPr>
          <w:rFonts w:ascii="Arial" w:cs="Arial" w:eastAsia="Arial" w:hAnsi="Arial"/>
          <w:sz w:val="18"/>
          <w:szCs w:val="18"/>
          <w:b w:val="1"/>
          <w:bCs w:val="1"/>
          <w:color w:val="04568A"/>
        </w:rPr>
        <w:t>PAUL MEISTER</w:t>
      </w:r>
    </w:p>
    <w:p>
      <w:pPr>
        <w:spacing w:after="0" w:line="189" w:lineRule="exact"/>
        <w:rPr>
          <w:sz w:val="20"/>
          <w:szCs w:val="20"/>
          <w:color w:val="auto"/>
        </w:rPr>
      </w:pPr>
    </w:p>
    <w:p>
      <w:pPr>
        <w:jc w:val="center"/>
        <w:ind w:left="220"/>
        <w:spacing w:after="0"/>
        <w:rPr>
          <w:sz w:val="20"/>
          <w:szCs w:val="20"/>
          <w:color w:val="auto"/>
        </w:rPr>
      </w:pPr>
      <w:r>
        <w:rPr>
          <w:rFonts w:ascii="Arial" w:cs="Arial" w:eastAsia="Arial" w:hAnsi="Arial"/>
          <w:sz w:val="16"/>
          <w:szCs w:val="16"/>
          <w:b w:val="1"/>
          <w:bCs w:val="1"/>
          <w:color w:val="auto"/>
        </w:rPr>
        <w:t>Age 69</w:t>
      </w:r>
    </w:p>
    <w:p>
      <w:pPr>
        <w:spacing w:after="0" w:line="59" w:lineRule="exact"/>
        <w:rPr>
          <w:sz w:val="20"/>
          <w:szCs w:val="20"/>
          <w:color w:val="auto"/>
        </w:rPr>
      </w:pPr>
    </w:p>
    <w:p>
      <w:pPr>
        <w:jc w:val="center"/>
        <w:ind w:left="220"/>
        <w:spacing w:after="0"/>
        <w:rPr>
          <w:sz w:val="20"/>
          <w:szCs w:val="20"/>
          <w:color w:val="auto"/>
        </w:rPr>
      </w:pPr>
      <w:r>
        <w:rPr>
          <w:rFonts w:ascii="Arial" w:cs="Arial" w:eastAsia="Arial" w:hAnsi="Arial"/>
          <w:sz w:val="16"/>
          <w:szCs w:val="16"/>
          <w:b w:val="1"/>
          <w:bCs w:val="1"/>
          <w:color w:val="auto"/>
        </w:rPr>
        <w:t>Chairman</w:t>
      </w:r>
    </w:p>
    <w:p>
      <w:pPr>
        <w:spacing w:after="0" w:line="214" w:lineRule="exact"/>
        <w:rPr>
          <w:sz w:val="20"/>
          <w:szCs w:val="20"/>
          <w:color w:val="auto"/>
        </w:rPr>
      </w:pPr>
    </w:p>
    <w:p>
      <w:pPr>
        <w:jc w:val="both"/>
        <w:ind w:left="220"/>
        <w:spacing w:after="0" w:line="247" w:lineRule="auto"/>
        <w:rPr>
          <w:sz w:val="20"/>
          <w:szCs w:val="20"/>
          <w:color w:val="auto"/>
        </w:rPr>
      </w:pPr>
      <w:r>
        <w:rPr>
          <w:rFonts w:ascii="Arial" w:cs="Arial" w:eastAsia="Arial" w:hAnsi="Arial"/>
          <w:sz w:val="16"/>
          <w:szCs w:val="16"/>
          <w:color w:val="auto"/>
        </w:rPr>
        <w:t>Paul Meister has served as the Chairman of the Board since August 2019. Mr. Meister is a partner in Novalis LifeSciences LLC, a life science-focused venture firm, and is co-founder and CEO of Liberty Lane Partners, LLC, a private investment company with investment holdings in healthcare, technology and distribution-related industries. From 2014 to 2018, Mr. Meister was President of MacAndrews &amp; Forbes Incorporated, a private company that owns or controls a diverse set of businesses. During 2018, Mr. Meister also served, on an interim basis, as Executive Vice Chairman of Revlon, Inc. a leading beauty products company, and acted as Revlon’s principal executive officer. From 2010 to 2014, Mr. Meister served as Chairman and CEO of inVentiv Health (now Syneos Health), a leading provider of commercial, consulting and clinical research services to the pharmaceutical and biotech industries. Mr. Meister was Chairman of Thermo Fisher Scientific, Inc., a scientific instruments equipment and supplies company, from November 2006 to April 2007. He was previously an executive officer of Fisher Scientific International, Inc., a predecessor of Thermo Fisher Scientific, Inc., from 1991 to 2006. Mr. Meister holds a B.A. degree from the University of Michigan and an M.B.A. from Northwestern University. He currently serves as a director on the boards of Aptiv PLC, Quanterix Corporation, Oaktree Acquisition Corp. and Scientific Games Corporation. He previously served as a director of vTv Therapeutics and LKQ Corporation until 2018 and as a director of Revlon until 2019.</w:t>
      </w:r>
    </w:p>
    <w:p>
      <w:pPr>
        <w:spacing w:after="0" w:line="350" w:lineRule="exact"/>
        <w:rPr>
          <w:sz w:val="20"/>
          <w:szCs w:val="20"/>
          <w:color w:val="auto"/>
        </w:rPr>
      </w:pPr>
    </w:p>
    <w:p>
      <w:pPr>
        <w:ind w:left="220"/>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380" w:hanging="156"/>
        <w:spacing w:after="0"/>
        <w:tabs>
          <w:tab w:leader="none" w:pos="380" w:val="left"/>
        </w:tabs>
        <w:numPr>
          <w:ilvl w:val="0"/>
          <w:numId w:val="15"/>
        </w:numPr>
        <w:rPr>
          <w:rFonts w:ascii="Arial" w:cs="Arial" w:eastAsia="Arial" w:hAnsi="Arial"/>
          <w:sz w:val="16"/>
          <w:szCs w:val="16"/>
          <w:color w:val="04568A"/>
        </w:rPr>
      </w:pPr>
      <w:r>
        <w:rPr>
          <w:rFonts w:ascii="Arial" w:cs="Arial" w:eastAsia="Arial" w:hAnsi="Arial"/>
          <w:sz w:val="16"/>
          <w:szCs w:val="16"/>
          <w:color w:val="auto"/>
        </w:rPr>
        <w:t>CEO, General Management, Commercial</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5"/>
        </w:numPr>
        <w:rPr>
          <w:rFonts w:ascii="Arial" w:cs="Arial" w:eastAsia="Arial" w:hAnsi="Arial"/>
          <w:sz w:val="16"/>
          <w:szCs w:val="16"/>
          <w:color w:val="04568A"/>
        </w:rPr>
      </w:pPr>
      <w:r>
        <w:rPr>
          <w:rFonts w:ascii="Arial" w:cs="Arial" w:eastAsia="Arial" w:hAnsi="Arial"/>
          <w:sz w:val="16"/>
          <w:szCs w:val="16"/>
          <w:color w:val="auto"/>
        </w:rPr>
        <w:t>Corporate Development, Business Development, M&amp;A</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5"/>
        </w:numPr>
        <w:rPr>
          <w:rFonts w:ascii="Arial" w:cs="Arial" w:eastAsia="Arial" w:hAnsi="Arial"/>
          <w:sz w:val="16"/>
          <w:szCs w:val="16"/>
          <w:color w:val="04568A"/>
        </w:rPr>
      </w:pPr>
      <w:r>
        <w:rPr>
          <w:rFonts w:ascii="Arial" w:cs="Arial" w:eastAsia="Arial" w:hAnsi="Arial"/>
          <w:sz w:val="16"/>
          <w:szCs w:val="16"/>
          <w:color w:val="auto"/>
        </w:rPr>
        <w:t>R&amp;D, Scientific</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5"/>
        </w:numPr>
        <w:rPr>
          <w:rFonts w:ascii="Arial" w:cs="Arial" w:eastAsia="Arial" w:hAnsi="Arial"/>
          <w:sz w:val="16"/>
          <w:szCs w:val="16"/>
          <w:color w:val="04568A"/>
        </w:rPr>
      </w:pPr>
      <w:r>
        <w:rPr>
          <w:rFonts w:ascii="Arial" w:cs="Arial" w:eastAsia="Arial" w:hAnsi="Arial"/>
          <w:sz w:val="16"/>
          <w:szCs w:val="16"/>
          <w:color w:val="auto"/>
        </w:rPr>
        <w:t>Investment, Venture Capital</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5"/>
        </w:numPr>
        <w:rPr>
          <w:rFonts w:ascii="Arial" w:cs="Arial" w:eastAsia="Arial" w:hAnsi="Arial"/>
          <w:sz w:val="16"/>
          <w:szCs w:val="16"/>
          <w:color w:val="04568A"/>
        </w:rPr>
      </w:pPr>
      <w:r>
        <w:rPr>
          <w:rFonts w:ascii="Arial" w:cs="Arial" w:eastAsia="Arial" w:hAnsi="Arial"/>
          <w:sz w:val="16"/>
          <w:szCs w:val="16"/>
          <w:color w:val="auto"/>
        </w:rPr>
        <w:t>International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214"/>
        <w:spacing w:after="0"/>
        <w:rPr>
          <w:sz w:val="20"/>
          <w:szCs w:val="20"/>
          <w:color w:val="auto"/>
        </w:rPr>
      </w:pPr>
      <w:r>
        <w:rPr>
          <w:rFonts w:ascii="Arial" w:cs="Arial" w:eastAsia="Arial" w:hAnsi="Arial"/>
          <w:sz w:val="18"/>
          <w:szCs w:val="18"/>
          <w:b w:val="1"/>
          <w:bCs w:val="1"/>
          <w:color w:val="04568A"/>
        </w:rPr>
        <w:t>CHINTU PATEL</w:t>
      </w:r>
    </w:p>
    <w:p>
      <w:pPr>
        <w:spacing w:after="0" w:line="189" w:lineRule="exact"/>
        <w:rPr>
          <w:sz w:val="20"/>
          <w:szCs w:val="20"/>
          <w:color w:val="auto"/>
        </w:rPr>
      </w:pPr>
    </w:p>
    <w:p>
      <w:pPr>
        <w:jc w:val="center"/>
        <w:ind w:right="214"/>
        <w:spacing w:after="0"/>
        <w:rPr>
          <w:sz w:val="20"/>
          <w:szCs w:val="20"/>
          <w:color w:val="auto"/>
        </w:rPr>
      </w:pPr>
      <w:r>
        <w:rPr>
          <w:rFonts w:ascii="Arial" w:cs="Arial" w:eastAsia="Arial" w:hAnsi="Arial"/>
          <w:sz w:val="16"/>
          <w:szCs w:val="16"/>
          <w:b w:val="1"/>
          <w:bCs w:val="1"/>
          <w:color w:val="auto"/>
        </w:rPr>
        <w:t>Age 50</w:t>
      </w:r>
    </w:p>
    <w:p>
      <w:pPr>
        <w:spacing w:after="0" w:line="59" w:lineRule="exact"/>
        <w:rPr>
          <w:sz w:val="20"/>
          <w:szCs w:val="20"/>
          <w:color w:val="auto"/>
        </w:rPr>
      </w:pPr>
    </w:p>
    <w:p>
      <w:pPr>
        <w:jc w:val="center"/>
        <w:ind w:right="214"/>
        <w:spacing w:after="0"/>
        <w:rPr>
          <w:sz w:val="20"/>
          <w:szCs w:val="20"/>
          <w:color w:val="auto"/>
        </w:rPr>
      </w:pPr>
      <w:r>
        <w:rPr>
          <w:rFonts w:ascii="Arial" w:cs="Arial" w:eastAsia="Arial" w:hAnsi="Arial"/>
          <w:sz w:val="16"/>
          <w:szCs w:val="16"/>
          <w:b w:val="1"/>
          <w:bCs w:val="1"/>
          <w:color w:val="auto"/>
        </w:rPr>
        <w:t>Co-Chief Executive Officer</w:t>
      </w:r>
    </w:p>
    <w:p>
      <w:pPr>
        <w:spacing w:after="0" w:line="214" w:lineRule="exact"/>
        <w:rPr>
          <w:sz w:val="20"/>
          <w:szCs w:val="20"/>
          <w:color w:val="auto"/>
        </w:rPr>
      </w:pPr>
    </w:p>
    <w:p>
      <w:pPr>
        <w:jc w:val="both"/>
        <w:ind w:left="6" w:right="220"/>
        <w:spacing w:after="0" w:line="246" w:lineRule="auto"/>
        <w:rPr>
          <w:sz w:val="20"/>
          <w:szCs w:val="20"/>
          <w:color w:val="auto"/>
        </w:rPr>
      </w:pPr>
      <w:r>
        <w:rPr>
          <w:rFonts w:ascii="Arial" w:cs="Arial" w:eastAsia="Arial" w:hAnsi="Arial"/>
          <w:sz w:val="16"/>
          <w:szCs w:val="16"/>
          <w:color w:val="auto"/>
        </w:rPr>
        <w:t>Chintu Patel has served as Co-Chief Executive Officer and director of the Company since August 2019. Mr. Patel served as a Co-Chairman of the Board from May 2018 to August 2019, and previously served as Co-Chairman and Co-Chief Executive Officer of Amneal from 2002 until the Combination. With his brother, Chirag Patel, Mr. Patel also co-founded and invested in several independent biopharmaceutical companies including Asana Biosciences, Kashiv BioSciences and Prolong Pharmaceuticals, each of which specializes in innovative science and drug delivery technologies. Before founding Amneal, Mr. Patel was a pharmacist and senior-level manager with Eckerd Pharmacy from 1994 to 2002, where he won numerous awards. Mr. Patel has been a featured speaker at the Hauppauge Industrial Association in New York and serves on the boards of the Long Island</w:t>
      </w:r>
    </w:p>
    <w:p>
      <w:pPr>
        <w:spacing w:after="0" w:line="3" w:lineRule="exact"/>
        <w:rPr>
          <w:sz w:val="20"/>
          <w:szCs w:val="20"/>
          <w:color w:val="auto"/>
        </w:rPr>
      </w:pPr>
    </w:p>
    <w:p>
      <w:pPr>
        <w:jc w:val="both"/>
        <w:ind w:left="6" w:right="220"/>
        <w:spacing w:after="0" w:line="207" w:lineRule="auto"/>
        <w:rPr>
          <w:sz w:val="20"/>
          <w:szCs w:val="20"/>
          <w:color w:val="auto"/>
        </w:rPr>
      </w:pPr>
      <w:r>
        <w:rPr>
          <w:rFonts w:ascii="Arial" w:cs="Arial" w:eastAsia="Arial" w:hAnsi="Arial"/>
          <w:sz w:val="16"/>
          <w:szCs w:val="16"/>
          <w:color w:val="auto"/>
        </w:rPr>
        <w:t>Association, Long Island University, and the Make-a-Wish Foundation</w:t>
      </w:r>
      <w:r>
        <w:rPr>
          <w:rFonts w:ascii="Arial" w:cs="Arial" w:eastAsia="Arial" w:hAnsi="Arial"/>
          <w:sz w:val="26"/>
          <w:szCs w:val="26"/>
          <w:color w:val="auto"/>
          <w:vertAlign w:val="superscript"/>
        </w:rPr>
        <w:t>®</w:t>
      </w:r>
      <w:r>
        <w:rPr>
          <w:rFonts w:ascii="Arial" w:cs="Arial" w:eastAsia="Arial" w:hAnsi="Arial"/>
          <w:sz w:val="16"/>
          <w:szCs w:val="16"/>
          <w:color w:val="auto"/>
        </w:rPr>
        <w:t>, and is a recipient of the 2011 Ernst &amp; Young National Entrepreneur of</w:t>
      </w:r>
    </w:p>
    <w:p>
      <w:pPr>
        <w:spacing w:after="0" w:line="2" w:lineRule="exact"/>
        <w:rPr>
          <w:sz w:val="20"/>
          <w:szCs w:val="20"/>
          <w:color w:val="auto"/>
        </w:rPr>
      </w:pPr>
    </w:p>
    <w:p>
      <w:pPr>
        <w:jc w:val="both"/>
        <w:ind w:left="6" w:right="220"/>
        <w:spacing w:after="0" w:line="230" w:lineRule="auto"/>
        <w:rPr>
          <w:sz w:val="20"/>
          <w:szCs w:val="20"/>
          <w:color w:val="auto"/>
        </w:rPr>
      </w:pPr>
      <w:r>
        <w:rPr>
          <w:rFonts w:ascii="Arial" w:cs="Arial" w:eastAsia="Arial" w:hAnsi="Arial"/>
          <w:sz w:val="16"/>
          <w:szCs w:val="16"/>
          <w:color w:val="auto"/>
        </w:rPr>
        <w:t>the Year Life Sciences Award</w:t>
      </w:r>
      <w:r>
        <w:rPr>
          <w:rFonts w:ascii="Arial" w:cs="Arial" w:eastAsia="Arial" w:hAnsi="Arial"/>
          <w:sz w:val="26"/>
          <w:szCs w:val="26"/>
          <w:color w:val="auto"/>
          <w:vertAlign w:val="superscript"/>
        </w:rPr>
        <w:t>®</w:t>
      </w:r>
      <w:r>
        <w:rPr>
          <w:rFonts w:ascii="Arial" w:cs="Arial" w:eastAsia="Arial" w:hAnsi="Arial"/>
          <w:sz w:val="16"/>
          <w:szCs w:val="16"/>
          <w:color w:val="auto"/>
        </w:rPr>
        <w:t>. Mr. Patel and his wife, Falguni Patel, run the Irada International Foundation, which focuses on health, education, and community outreach projects in India and the United States. Mr. Patel holds a bachelor’s degree in Pharmacy from Rutgers College of Pharmacy.</w:t>
      </w:r>
    </w:p>
    <w:p>
      <w:pPr>
        <w:spacing w:after="0" w:line="165" w:lineRule="exact"/>
        <w:rPr>
          <w:sz w:val="20"/>
          <w:szCs w:val="20"/>
          <w:color w:val="auto"/>
        </w:rPr>
      </w:pPr>
    </w:p>
    <w:p>
      <w:pPr>
        <w:ind w:left="6"/>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146" w:hanging="146"/>
        <w:spacing w:after="0"/>
        <w:tabs>
          <w:tab w:leader="none" w:pos="146" w:val="left"/>
        </w:tabs>
        <w:numPr>
          <w:ilvl w:val="0"/>
          <w:numId w:val="16"/>
        </w:numPr>
        <w:rPr>
          <w:rFonts w:ascii="Arial" w:cs="Arial" w:eastAsia="Arial" w:hAnsi="Arial"/>
          <w:sz w:val="16"/>
          <w:szCs w:val="16"/>
          <w:color w:val="04568A"/>
        </w:rPr>
      </w:pPr>
      <w:r>
        <w:rPr>
          <w:rFonts w:ascii="Arial" w:cs="Arial" w:eastAsia="Arial" w:hAnsi="Arial"/>
          <w:sz w:val="16"/>
          <w:szCs w:val="16"/>
          <w:color w:val="auto"/>
        </w:rPr>
        <w:t>CEO, General Management, Commercial</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16"/>
        </w:numPr>
        <w:rPr>
          <w:rFonts w:ascii="Arial" w:cs="Arial" w:eastAsia="Arial" w:hAnsi="Arial"/>
          <w:sz w:val="16"/>
          <w:szCs w:val="16"/>
          <w:color w:val="04568A"/>
        </w:rPr>
      </w:pPr>
      <w:r>
        <w:rPr>
          <w:rFonts w:ascii="Arial" w:cs="Arial" w:eastAsia="Arial" w:hAnsi="Arial"/>
          <w:sz w:val="16"/>
          <w:szCs w:val="16"/>
          <w:color w:val="auto"/>
        </w:rPr>
        <w:t>Manufacturing</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16"/>
        </w:numPr>
        <w:rPr>
          <w:rFonts w:ascii="Arial" w:cs="Arial" w:eastAsia="Arial" w:hAnsi="Arial"/>
          <w:sz w:val="16"/>
          <w:szCs w:val="16"/>
          <w:color w:val="04568A"/>
        </w:rPr>
      </w:pPr>
      <w:r>
        <w:rPr>
          <w:rFonts w:ascii="Arial" w:cs="Arial" w:eastAsia="Arial" w:hAnsi="Arial"/>
          <w:sz w:val="16"/>
          <w:szCs w:val="16"/>
          <w:color w:val="auto"/>
        </w:rPr>
        <w:t>R&amp;D, Scientific</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16"/>
        </w:numPr>
        <w:rPr>
          <w:rFonts w:ascii="Arial" w:cs="Arial" w:eastAsia="Arial" w:hAnsi="Arial"/>
          <w:sz w:val="16"/>
          <w:szCs w:val="16"/>
          <w:color w:val="04568A"/>
        </w:rPr>
      </w:pPr>
      <w:r>
        <w:rPr>
          <w:rFonts w:ascii="Arial" w:cs="Arial" w:eastAsia="Arial" w:hAnsi="Arial"/>
          <w:sz w:val="16"/>
          <w:szCs w:val="16"/>
          <w:color w:val="auto"/>
        </w:rPr>
        <w:t>Regulatory</w:t>
      </w:r>
    </w:p>
    <w:p>
      <w:pPr>
        <w:spacing w:after="0" w:line="1038" w:lineRule="exact"/>
        <w:rPr>
          <w:sz w:val="20"/>
          <w:szCs w:val="20"/>
          <w:color w:val="auto"/>
        </w:rPr>
      </w:pPr>
    </w:p>
    <w:p>
      <w:pPr>
        <w:sectPr>
          <w:pgSz w:w="11900" w:h="16838" w:orient="portrait"/>
          <w:cols w:equalWidth="0" w:num="2">
            <w:col w:w="5360" w:space="534"/>
            <w:col w:w="5346"/>
          </w:cols>
          <w:pgMar w:left="320" w:top="234" w:right="339" w:bottom="1440" w:gutter="0" w:footer="0" w:header="0"/>
          <w:type w:val="continuous"/>
        </w:sectPr>
      </w:pPr>
    </w:p>
    <w:p>
      <w:pPr>
        <w:spacing w:after="0"/>
        <w:tabs>
          <w:tab w:leader="none" w:pos="326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5097145</wp:posOffset>
            </wp:positionH>
            <wp:positionV relativeFrom="paragraph">
              <wp:posOffset>-44450</wp:posOffset>
            </wp:positionV>
            <wp:extent cx="1757045" cy="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757045" cy="8255"/>
                    </a:xfrm>
                    <a:prstGeom prst="rect">
                      <a:avLst/>
                    </a:prstGeom>
                    <a:noFill/>
                  </pic:spPr>
                </pic:pic>
              </a:graphicData>
            </a:graphic>
          </wp:anchor>
        </w:drawing>
        <w:drawing>
          <wp:anchor simplePos="0" relativeHeight="251657728" behindDoc="1" locked="0" layoutInCell="0" allowOverlap="1">
            <wp:simplePos x="0" y="0"/>
            <wp:positionH relativeFrom="column">
              <wp:posOffset>922020</wp:posOffset>
            </wp:positionH>
            <wp:positionV relativeFrom="paragraph">
              <wp:posOffset>-44450</wp:posOffset>
            </wp:positionV>
            <wp:extent cx="1131570" cy="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13157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type w:val="continuous"/>
        </w:sectPr>
      </w:pPr>
    </w:p>
    <w:bookmarkStart w:id="21" w:name="page22"/>
    <w:bookmarkEnd w:id="21"/>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142240</wp:posOffset>
            </wp:positionH>
            <wp:positionV relativeFrom="paragraph">
              <wp:posOffset>120650</wp:posOffset>
            </wp:positionV>
            <wp:extent cx="6858000" cy="127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6858000" cy="1277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right"/>
        <w:ind w:right="1740"/>
        <w:spacing w:after="0"/>
        <w:tabs>
          <w:tab w:leader="none" w:pos="2060" w:val="left"/>
        </w:tabs>
        <w:rPr>
          <w:sz w:val="20"/>
          <w:szCs w:val="20"/>
          <w:color w:val="auto"/>
        </w:rPr>
      </w:pPr>
      <w:r>
        <w:rPr>
          <w:rFonts w:ascii="Arial" w:cs="Arial" w:eastAsia="Arial" w:hAnsi="Arial"/>
          <w:sz w:val="18"/>
          <w:szCs w:val="18"/>
          <w:b w:val="1"/>
          <w:bCs w:val="1"/>
          <w:color w:val="04568A"/>
        </w:rPr>
        <w:t>CHIRAG PATEL</w:t>
      </w:r>
      <w:r>
        <w:rPr>
          <w:sz w:val="20"/>
          <w:szCs w:val="20"/>
          <w:color w:val="auto"/>
        </w:rPr>
        <w:tab/>
      </w:r>
      <w:r>
        <w:rPr>
          <w:rFonts w:ascii="Arial" w:cs="Arial" w:eastAsia="Arial" w:hAnsi="Arial"/>
          <w:sz w:val="17"/>
          <w:szCs w:val="17"/>
          <w:b w:val="1"/>
          <w:bCs w:val="1"/>
          <w:color w:val="04568A"/>
        </w:rPr>
        <w:t>EMILY PETERSON ALVA</w:t>
      </w:r>
    </w:p>
    <w:p>
      <w:pPr>
        <w:spacing w:after="0" w:line="189" w:lineRule="exact"/>
        <w:rPr>
          <w:sz w:val="20"/>
          <w:szCs w:val="20"/>
          <w:color w:val="auto"/>
        </w:rPr>
      </w:pPr>
    </w:p>
    <w:p>
      <w:pPr>
        <w:ind w:left="2520"/>
        <w:spacing w:after="0"/>
        <w:tabs>
          <w:tab w:leader="none" w:pos="8180" w:val="left"/>
        </w:tabs>
        <w:rPr>
          <w:sz w:val="20"/>
          <w:szCs w:val="20"/>
          <w:color w:val="auto"/>
        </w:rPr>
      </w:pPr>
      <w:r>
        <w:rPr>
          <w:rFonts w:ascii="Arial" w:cs="Arial" w:eastAsia="Arial" w:hAnsi="Arial"/>
          <w:sz w:val="16"/>
          <w:szCs w:val="16"/>
          <w:b w:val="1"/>
          <w:bCs w:val="1"/>
          <w:color w:val="auto"/>
        </w:rPr>
        <w:t>Age 55</w:t>
      </w:r>
      <w:r>
        <w:rPr>
          <w:sz w:val="20"/>
          <w:szCs w:val="20"/>
          <w:color w:val="auto"/>
        </w:rPr>
        <w:tab/>
      </w:r>
      <w:r>
        <w:rPr>
          <w:rFonts w:ascii="Arial" w:cs="Arial" w:eastAsia="Arial" w:hAnsi="Arial"/>
          <w:sz w:val="15"/>
          <w:szCs w:val="15"/>
          <w:b w:val="1"/>
          <w:bCs w:val="1"/>
          <w:color w:val="auto"/>
        </w:rPr>
        <w:t>Age 47</w:t>
      </w:r>
    </w:p>
    <w:p>
      <w:pPr>
        <w:spacing w:after="0" w:line="59" w:lineRule="exact"/>
        <w:rPr>
          <w:sz w:val="20"/>
          <w:szCs w:val="20"/>
          <w:color w:val="auto"/>
        </w:rPr>
      </w:pPr>
    </w:p>
    <w:p>
      <w:pPr>
        <w:ind w:left="1200"/>
        <w:spacing w:after="0"/>
        <w:rPr>
          <w:sz w:val="20"/>
          <w:szCs w:val="20"/>
          <w:color w:val="auto"/>
        </w:rPr>
      </w:pPr>
      <w:r>
        <w:rPr>
          <w:rFonts w:ascii="Arial" w:cs="Arial" w:eastAsia="Arial" w:hAnsi="Arial"/>
          <w:sz w:val="16"/>
          <w:szCs w:val="16"/>
          <w:b w:val="1"/>
          <w:bCs w:val="1"/>
          <w:color w:val="auto"/>
        </w:rPr>
        <w:t>Co-Chief Executive Officer and President</w:t>
      </w:r>
    </w:p>
    <w:p>
      <w:pPr>
        <w:sectPr>
          <w:pgSz w:w="11900" w:h="16838" w:orient="portrait"/>
          <w:cols w:equalWidth="0" w:num="1">
            <w:col w:w="11240"/>
          </w:cols>
          <w:pgMar w:left="320" w:top="234" w:right="339" w:bottom="1440" w:gutter="0" w:footer="0" w:header="0"/>
        </w:sectPr>
      </w:pPr>
    </w:p>
    <w:p>
      <w:pPr>
        <w:spacing w:after="0" w:line="214" w:lineRule="exact"/>
        <w:rPr>
          <w:sz w:val="20"/>
          <w:szCs w:val="20"/>
          <w:color w:val="auto"/>
        </w:rPr>
      </w:pPr>
    </w:p>
    <w:p>
      <w:pPr>
        <w:jc w:val="both"/>
        <w:ind w:left="220"/>
        <w:spacing w:after="0" w:line="246" w:lineRule="auto"/>
        <w:rPr>
          <w:sz w:val="20"/>
          <w:szCs w:val="20"/>
          <w:color w:val="auto"/>
        </w:rPr>
      </w:pPr>
      <w:r>
        <w:rPr>
          <w:rFonts w:ascii="Arial" w:cs="Arial" w:eastAsia="Arial" w:hAnsi="Arial"/>
          <w:sz w:val="16"/>
          <w:szCs w:val="16"/>
          <w:color w:val="auto"/>
        </w:rPr>
        <w:t>Chirag Patel has served as Co-Chief Executive Officer, President and director of the Company since August 2019. Mr. Patel served as a Co-Chairman of the Board from May 2018 to August 2019, and previously was Co-Founder of Amneal and served as Co-Chairman and Co-Chief Executive Officer of Amneal from 2005 to October 2017. With his brother, Chintu Patel, Mr. Patel has also invested in several independent biopharmaceutical companies including Asana Biosciences, Kashiv Biosciences and Prolong Pharmaceuticals, each of which specializes in innovative science and drug delivery technologies. Earlier in his career, Mr. Patel co-founded technology companies NextGen Technologies and Veriprise Wireless. Mr. Patel also serves as a Managing Trustee for the Liberty Science Center of New Jersey, a Director for the New Jersey City University Foundation and a Trustee for the Foundation for Morristown Medical Center. He is also a recipient of the 2011 Ernst &amp; Young National Entrepreneur of the</w:t>
      </w:r>
    </w:p>
    <w:p>
      <w:pPr>
        <w:spacing w:after="0" w:line="4" w:lineRule="exact"/>
        <w:rPr>
          <w:sz w:val="20"/>
          <w:szCs w:val="20"/>
          <w:color w:val="auto"/>
        </w:rPr>
      </w:pPr>
    </w:p>
    <w:p>
      <w:pPr>
        <w:jc w:val="both"/>
        <w:ind w:left="220"/>
        <w:spacing w:after="0"/>
        <w:rPr>
          <w:sz w:val="20"/>
          <w:szCs w:val="20"/>
          <w:color w:val="auto"/>
        </w:rPr>
      </w:pPr>
      <w:r>
        <w:rPr>
          <w:rFonts w:ascii="Arial" w:cs="Arial" w:eastAsia="Arial" w:hAnsi="Arial"/>
          <w:sz w:val="16"/>
          <w:szCs w:val="16"/>
          <w:color w:val="auto"/>
        </w:rPr>
        <w:t>Year Life Sciences Award</w:t>
      </w:r>
      <w:r>
        <w:rPr>
          <w:rFonts w:ascii="Arial" w:cs="Arial" w:eastAsia="Arial" w:hAnsi="Arial"/>
          <w:sz w:val="26"/>
          <w:szCs w:val="26"/>
          <w:color w:val="auto"/>
          <w:vertAlign w:val="superscript"/>
        </w:rPr>
        <w:t>®</w:t>
      </w:r>
      <w:r>
        <w:rPr>
          <w:rFonts w:ascii="Arial" w:cs="Arial" w:eastAsia="Arial" w:hAnsi="Arial"/>
          <w:sz w:val="16"/>
          <w:szCs w:val="16"/>
          <w:color w:val="auto"/>
        </w:rPr>
        <w:t>. Mr. Patel supports various philanthropic causes and, together with his wife, Priti Patel, established the Niswarth International Foundation in 2013. The Foundation aims to bring fresh water, sanitation, nutrition and education to underprivileged children. Mr. Patel received his bachelor’s degrees in Commerce from H.A. College of Commerce, India, and in Business Administration from New Jersey City University. He also holds an honorary Doctorate of Humane Letters from New Jersey City University in recognition of his efforts to serve others.</w:t>
      </w:r>
    </w:p>
    <w:p>
      <w:pPr>
        <w:spacing w:after="0" w:line="326" w:lineRule="exact"/>
        <w:rPr>
          <w:sz w:val="20"/>
          <w:szCs w:val="20"/>
          <w:color w:val="auto"/>
        </w:rPr>
      </w:pPr>
    </w:p>
    <w:p>
      <w:pPr>
        <w:ind w:left="220"/>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380" w:hanging="156"/>
        <w:spacing w:after="0"/>
        <w:tabs>
          <w:tab w:leader="none" w:pos="380" w:val="left"/>
        </w:tabs>
        <w:numPr>
          <w:ilvl w:val="0"/>
          <w:numId w:val="17"/>
        </w:numPr>
        <w:rPr>
          <w:rFonts w:ascii="Arial" w:cs="Arial" w:eastAsia="Arial" w:hAnsi="Arial"/>
          <w:sz w:val="16"/>
          <w:szCs w:val="16"/>
          <w:color w:val="04568A"/>
        </w:rPr>
      </w:pPr>
      <w:r>
        <w:rPr>
          <w:rFonts w:ascii="Arial" w:cs="Arial" w:eastAsia="Arial" w:hAnsi="Arial"/>
          <w:sz w:val="16"/>
          <w:szCs w:val="16"/>
          <w:color w:val="auto"/>
        </w:rPr>
        <w:t>CEO, General Management, Commercial</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7"/>
        </w:numPr>
        <w:rPr>
          <w:rFonts w:ascii="Arial" w:cs="Arial" w:eastAsia="Arial" w:hAnsi="Arial"/>
          <w:sz w:val="16"/>
          <w:szCs w:val="16"/>
          <w:color w:val="04568A"/>
        </w:rPr>
      </w:pPr>
      <w:r>
        <w:rPr>
          <w:rFonts w:ascii="Arial" w:cs="Arial" w:eastAsia="Arial" w:hAnsi="Arial"/>
          <w:sz w:val="16"/>
          <w:szCs w:val="16"/>
          <w:color w:val="auto"/>
        </w:rPr>
        <w:t>Corporate Development, Business Development, M&amp;A</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7"/>
        </w:numPr>
        <w:rPr>
          <w:rFonts w:ascii="Arial" w:cs="Arial" w:eastAsia="Arial" w:hAnsi="Arial"/>
          <w:sz w:val="16"/>
          <w:szCs w:val="16"/>
          <w:color w:val="04568A"/>
        </w:rPr>
      </w:pPr>
      <w:r>
        <w:rPr>
          <w:rFonts w:ascii="Arial" w:cs="Arial" w:eastAsia="Arial" w:hAnsi="Arial"/>
          <w:sz w:val="16"/>
          <w:szCs w:val="16"/>
          <w:color w:val="auto"/>
        </w:rPr>
        <w:t>Investment, Venture Capital</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7"/>
        </w:numPr>
        <w:rPr>
          <w:rFonts w:ascii="Arial" w:cs="Arial" w:eastAsia="Arial" w:hAnsi="Arial"/>
          <w:sz w:val="16"/>
          <w:szCs w:val="16"/>
          <w:color w:val="04568A"/>
        </w:rPr>
      </w:pPr>
      <w:r>
        <w:rPr>
          <w:rFonts w:ascii="Arial" w:cs="Arial" w:eastAsia="Arial" w:hAnsi="Arial"/>
          <w:sz w:val="16"/>
          <w:szCs w:val="16"/>
          <w:color w:val="auto"/>
        </w:rPr>
        <w:t>International</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7"/>
        </w:numPr>
        <w:rPr>
          <w:rFonts w:ascii="Arial" w:cs="Arial" w:eastAsia="Arial" w:hAnsi="Arial"/>
          <w:sz w:val="16"/>
          <w:szCs w:val="16"/>
          <w:color w:val="04568A"/>
        </w:rPr>
      </w:pPr>
      <w:r>
        <w:rPr>
          <w:rFonts w:ascii="Arial" w:cs="Arial" w:eastAsia="Arial" w:hAnsi="Arial"/>
          <w:sz w:val="16"/>
          <w:szCs w:val="16"/>
          <w:color w:val="auto"/>
        </w:rPr>
        <w:t>Regulatory</w:t>
      </w:r>
    </w:p>
    <w:p>
      <w:pPr>
        <w:spacing w:after="0" w:line="20" w:lineRule="exact"/>
        <w:rPr>
          <w:sz w:val="20"/>
          <w:szCs w:val="20"/>
          <w:color w:val="auto"/>
        </w:rPr>
      </w:pPr>
      <w:r>
        <w:rPr>
          <w:sz w:val="20"/>
          <w:szCs w:val="20"/>
          <w:color w:val="auto"/>
        </w:rPr>
        <w:br w:type="column"/>
      </w:r>
    </w:p>
    <w:p>
      <w:pPr>
        <w:spacing w:after="0" w:line="194" w:lineRule="exact"/>
        <w:rPr>
          <w:sz w:val="20"/>
          <w:szCs w:val="20"/>
          <w:color w:val="auto"/>
        </w:rPr>
      </w:pPr>
    </w:p>
    <w:p>
      <w:pPr>
        <w:jc w:val="both"/>
        <w:ind w:left="6" w:right="220"/>
        <w:spacing w:after="0" w:line="246" w:lineRule="auto"/>
        <w:rPr>
          <w:sz w:val="20"/>
          <w:szCs w:val="20"/>
          <w:color w:val="auto"/>
        </w:rPr>
      </w:pPr>
      <w:r>
        <w:rPr>
          <w:rFonts w:ascii="Arial" w:cs="Arial" w:eastAsia="Arial" w:hAnsi="Arial"/>
          <w:sz w:val="16"/>
          <w:szCs w:val="16"/>
          <w:color w:val="auto"/>
        </w:rPr>
        <w:t>Emily Peterson Alva has served on our Board of Directors since the Combination in 2018. Ms. Alva is also an independent director of the Atlanta Life Insurance Company. Ms. Alva is an experienced public company director and a finance and corporate strategy executive. As a former Lazard Partner, her professional experience includes almost twenty years as an M&amp;A investment banker and board advisor at Lazard advising industry-leading companies across industries. Currently, Ms. Alva advises founders, leadership teams and corporate boards of directors of growth companies and has focused on private company advisory work and investing since 2013. Ms. Alva is a frequent speaker on topics related to corporate governance and M&amp;A among others. Ms. Alva is a faculty member and leadership board member of the Herndon Directors Institute. During her Lazard tenure, Ms. Alva led corporate boards and leadership teams on matters affecting corporate strategy including business development and financial planning, as well as corporate transformations including mergers and acquisitions, capital markets, capital structure and other significant partnership and restructuring transactions. While at Lazard, Ms. Alva held leadership roles both with clients and internally. Ms. Alva advised some of Lazard’s most important clients over many years and was one of the youngest professionals promoted to the role of Partner at Lazard and one of the first women to be promoted to the level of Managing Director. Before embarking on a Wall Street career, Ms. Alva worked in various operating roles at a development stage company focused on engineering-based solutions to improve industrial waste processing and remediation. Ms. Alva received a B.A. in Economics from Barnard College, Columbia University. Ms. Alva’s financial acumen together with her experience navigating complex strategic, transactional and governance matters for public companies including those focused on many sectors of healthcare, provide the Amneal Board with insight into a variety of matters including corporate strategy and business development, M&amp;A, capital structure, corporate finance, and ESG related topics.</w:t>
      </w:r>
    </w:p>
    <w:p>
      <w:pPr>
        <w:spacing w:after="0" w:line="183" w:lineRule="exact"/>
        <w:rPr>
          <w:sz w:val="20"/>
          <w:szCs w:val="20"/>
          <w:color w:val="auto"/>
        </w:rPr>
      </w:pPr>
    </w:p>
    <w:p>
      <w:pPr>
        <w:ind w:left="6"/>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146" w:hanging="146"/>
        <w:spacing w:after="0"/>
        <w:tabs>
          <w:tab w:leader="none" w:pos="146" w:val="left"/>
        </w:tabs>
        <w:numPr>
          <w:ilvl w:val="0"/>
          <w:numId w:val="18"/>
        </w:numPr>
        <w:rPr>
          <w:rFonts w:ascii="Arial" w:cs="Arial" w:eastAsia="Arial" w:hAnsi="Arial"/>
          <w:sz w:val="16"/>
          <w:szCs w:val="16"/>
          <w:color w:val="04568A"/>
        </w:rPr>
      </w:pPr>
      <w:r>
        <w:rPr>
          <w:rFonts w:ascii="Arial" w:cs="Arial" w:eastAsia="Arial" w:hAnsi="Arial"/>
          <w:sz w:val="16"/>
          <w:szCs w:val="16"/>
          <w:color w:val="auto"/>
        </w:rPr>
        <w:t>Corporate Strategy, Business Development, M&amp;A</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18"/>
        </w:numPr>
        <w:rPr>
          <w:rFonts w:ascii="Arial" w:cs="Arial" w:eastAsia="Arial" w:hAnsi="Arial"/>
          <w:sz w:val="16"/>
          <w:szCs w:val="16"/>
          <w:color w:val="04568A"/>
        </w:rPr>
      </w:pPr>
      <w:r>
        <w:rPr>
          <w:rFonts w:ascii="Arial" w:cs="Arial" w:eastAsia="Arial" w:hAnsi="Arial"/>
          <w:sz w:val="16"/>
          <w:szCs w:val="16"/>
          <w:color w:val="auto"/>
        </w:rPr>
        <w:t>Corporate Finance, Capital Structure and Accounting</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18"/>
        </w:numPr>
        <w:rPr>
          <w:rFonts w:ascii="Arial" w:cs="Arial" w:eastAsia="Arial" w:hAnsi="Arial"/>
          <w:sz w:val="16"/>
          <w:szCs w:val="16"/>
          <w:color w:val="04568A"/>
        </w:rPr>
      </w:pPr>
      <w:r>
        <w:rPr>
          <w:rFonts w:ascii="Arial" w:cs="Arial" w:eastAsia="Arial" w:hAnsi="Arial"/>
          <w:sz w:val="16"/>
          <w:szCs w:val="16"/>
          <w:color w:val="auto"/>
        </w:rPr>
        <w:t>Investment, Venture Capital</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18"/>
        </w:numPr>
        <w:rPr>
          <w:rFonts w:ascii="Arial" w:cs="Arial" w:eastAsia="Arial" w:hAnsi="Arial"/>
          <w:sz w:val="16"/>
          <w:szCs w:val="16"/>
          <w:color w:val="04568A"/>
        </w:rPr>
      </w:pPr>
      <w:r>
        <w:rPr>
          <w:rFonts w:ascii="Arial" w:cs="Arial" w:eastAsia="Arial" w:hAnsi="Arial"/>
          <w:sz w:val="16"/>
          <w:szCs w:val="16"/>
          <w:color w:val="auto"/>
        </w:rPr>
        <w:t>ESG</w:t>
      </w:r>
    </w:p>
    <w:p>
      <w:pPr>
        <w:spacing w:after="0" w:line="174" w:lineRule="exact"/>
        <w:rPr>
          <w:sz w:val="20"/>
          <w:szCs w:val="20"/>
          <w:color w:val="auto"/>
        </w:rPr>
      </w:pPr>
    </w:p>
    <w:p>
      <w:pPr>
        <w:sectPr>
          <w:pgSz w:w="11900" w:h="16838" w:orient="portrait"/>
          <w:cols w:equalWidth="0" w:num="2">
            <w:col w:w="5360" w:space="534"/>
            <w:col w:w="5346"/>
          </w:cols>
          <w:pgMar w:left="320" w:top="234" w:right="339" w:bottom="1440" w:gutter="0" w:footer="0" w:header="0"/>
          <w:type w:val="continuous"/>
        </w:sect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21</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type w:val="continuous"/>
        </w:sectPr>
      </w:pPr>
    </w:p>
    <w:bookmarkStart w:id="22" w:name="page23"/>
    <w:bookmarkEnd w:id="22"/>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142240</wp:posOffset>
            </wp:positionH>
            <wp:positionV relativeFrom="paragraph">
              <wp:posOffset>120650</wp:posOffset>
            </wp:positionV>
            <wp:extent cx="6858000" cy="13119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858000" cy="131191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60"/>
        <w:spacing w:after="0"/>
        <w:rPr>
          <w:sz w:val="20"/>
          <w:szCs w:val="20"/>
          <w:color w:val="auto"/>
        </w:rPr>
      </w:pPr>
      <w:r>
        <w:rPr>
          <w:rFonts w:ascii="Arial" w:cs="Arial" w:eastAsia="Arial" w:hAnsi="Arial"/>
          <w:sz w:val="18"/>
          <w:szCs w:val="18"/>
          <w:b w:val="1"/>
          <w:bCs w:val="1"/>
          <w:color w:val="04568A"/>
        </w:rPr>
        <w:t>J. KEVIN BUCHI</w:t>
      </w:r>
    </w:p>
    <w:p>
      <w:pPr>
        <w:spacing w:after="0" w:line="189" w:lineRule="exact"/>
        <w:rPr>
          <w:sz w:val="20"/>
          <w:szCs w:val="20"/>
          <w:color w:val="auto"/>
        </w:rPr>
      </w:pPr>
    </w:p>
    <w:p>
      <w:pPr>
        <w:ind w:left="2380"/>
        <w:spacing w:after="0"/>
        <w:rPr>
          <w:sz w:val="20"/>
          <w:szCs w:val="20"/>
          <w:color w:val="auto"/>
        </w:rPr>
      </w:pPr>
      <w:r>
        <w:rPr>
          <w:rFonts w:ascii="Arial" w:cs="Arial" w:eastAsia="Arial" w:hAnsi="Arial"/>
          <w:sz w:val="16"/>
          <w:szCs w:val="16"/>
          <w:b w:val="1"/>
          <w:bCs w:val="1"/>
          <w:color w:val="auto"/>
        </w:rPr>
        <w:t>Age 66</w:t>
      </w:r>
    </w:p>
    <w:p>
      <w:pPr>
        <w:spacing w:after="0" w:line="214" w:lineRule="exact"/>
        <w:rPr>
          <w:sz w:val="20"/>
          <w:szCs w:val="20"/>
          <w:color w:val="auto"/>
        </w:rPr>
      </w:pPr>
    </w:p>
    <w:p>
      <w:pPr>
        <w:jc w:val="both"/>
        <w:ind w:left="220"/>
        <w:spacing w:after="0" w:line="246" w:lineRule="auto"/>
        <w:rPr>
          <w:sz w:val="20"/>
          <w:szCs w:val="20"/>
          <w:color w:val="auto"/>
        </w:rPr>
      </w:pPr>
      <w:r>
        <w:rPr>
          <w:rFonts w:ascii="Arial" w:cs="Arial" w:eastAsia="Arial" w:hAnsi="Arial"/>
          <w:sz w:val="16"/>
          <w:szCs w:val="16"/>
          <w:color w:val="auto"/>
        </w:rPr>
        <w:t>J. Kevin Buchi has served on our Board of Directors since the Combination. He currently serves as the CEO and a member of the board of directors of Biospecifics Technologies Corp., a biopharmaceutical company. He previously served as Impax’s Interim President and Chief Executive Officer from December 2016 until March 2017, and as a member of the board of directors of Impax from 2016 until the completion of the Combination. From August 2013 to December 2016, Mr. Buchi served as President and CEO and a member of the board of directors of TetraLogic Pharmaceuticals Corporation, a biopharmaceutical company, whose assets were subsequently acquired by Medivir AB in December 2016. Prior to TetraLogic Pharmaceuticals, Mr. Buchi served as Corporate Vice President, Global Branded Products of Teva Pharmaceutical Industries Ltd., from October 2011 to May 2012. Prior to Teva, Mr. Buchi served as CEO of Cephalon, Inc., which was subsequently acquired by Teva, from December 2010 to October 2011, and held various positions at Cephalon, including Chief Operating Officer from January 2010 to December 2010 and Chief Financial Officer from 1996 to 2009. Since September 2020, Mr. Buchi has served as director and chairman of the Audit Committee of Ziopharm Oncology Inc. Since April 2013, Mr. Buchi has served as a director and member of the remuneration and nominating committee, and audit committee of the board of Benitec Biopharma Ltd., a biotechnology company headquartered in Australia. Since November 2021 he has served as a director of Ampeo Pharmaceuticals. From August 2018 until December 2021, Mr. Buchi served as a director and chairman of the board of Dicerna Pharmaceuticals. Mr. Buchi previously served as a director of Ziopharm Oncology. Mr. Buchi received his BA degree from Cornell University and a Masters of Management degree from the J.L. Kellogg Graduate School of Management at Northwestern University. Mr. Buchi’s extensive experience as a senior executive and board member in the pharmaceutical industry provides the Board with unique insights into our business.</w:t>
      </w:r>
    </w:p>
    <w:p>
      <w:pPr>
        <w:spacing w:after="0" w:line="371" w:lineRule="exact"/>
        <w:rPr>
          <w:sz w:val="20"/>
          <w:szCs w:val="20"/>
          <w:color w:val="auto"/>
        </w:rPr>
      </w:pPr>
    </w:p>
    <w:p>
      <w:pPr>
        <w:ind w:left="220"/>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380" w:hanging="156"/>
        <w:spacing w:after="0"/>
        <w:tabs>
          <w:tab w:leader="none" w:pos="380" w:val="left"/>
        </w:tabs>
        <w:numPr>
          <w:ilvl w:val="0"/>
          <w:numId w:val="19"/>
        </w:numPr>
        <w:rPr>
          <w:rFonts w:ascii="Arial" w:cs="Arial" w:eastAsia="Arial" w:hAnsi="Arial"/>
          <w:sz w:val="16"/>
          <w:szCs w:val="16"/>
          <w:color w:val="04568A"/>
        </w:rPr>
      </w:pPr>
      <w:r>
        <w:rPr>
          <w:rFonts w:ascii="Arial" w:cs="Arial" w:eastAsia="Arial" w:hAnsi="Arial"/>
          <w:sz w:val="16"/>
          <w:szCs w:val="16"/>
          <w:color w:val="auto"/>
        </w:rPr>
        <w:t>CEO, General Management, Commercial</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9"/>
        </w:numPr>
        <w:rPr>
          <w:rFonts w:ascii="Arial" w:cs="Arial" w:eastAsia="Arial" w:hAnsi="Arial"/>
          <w:sz w:val="16"/>
          <w:szCs w:val="16"/>
          <w:color w:val="04568A"/>
        </w:rPr>
      </w:pPr>
      <w:r>
        <w:rPr>
          <w:rFonts w:ascii="Arial" w:cs="Arial" w:eastAsia="Arial" w:hAnsi="Arial"/>
          <w:sz w:val="16"/>
          <w:szCs w:val="16"/>
          <w:color w:val="auto"/>
        </w:rPr>
        <w:t>Corporate Development, Business Development, M&amp;A</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9"/>
        </w:numPr>
        <w:rPr>
          <w:rFonts w:ascii="Arial" w:cs="Arial" w:eastAsia="Arial" w:hAnsi="Arial"/>
          <w:sz w:val="16"/>
          <w:szCs w:val="16"/>
          <w:color w:val="04568A"/>
        </w:rPr>
      </w:pPr>
      <w:r>
        <w:rPr>
          <w:rFonts w:ascii="Arial" w:cs="Arial" w:eastAsia="Arial" w:hAnsi="Arial"/>
          <w:sz w:val="16"/>
          <w:szCs w:val="16"/>
          <w:color w:val="auto"/>
        </w:rPr>
        <w:t>Finance and Accounting</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19"/>
        </w:numPr>
        <w:rPr>
          <w:rFonts w:ascii="Arial" w:cs="Arial" w:eastAsia="Arial" w:hAnsi="Arial"/>
          <w:sz w:val="16"/>
          <w:szCs w:val="16"/>
          <w:color w:val="04568A"/>
        </w:rPr>
      </w:pPr>
      <w:r>
        <w:rPr>
          <w:rFonts w:ascii="Arial" w:cs="Arial" w:eastAsia="Arial" w:hAnsi="Arial"/>
          <w:sz w:val="16"/>
          <w:szCs w:val="16"/>
          <w:color w:val="auto"/>
        </w:rPr>
        <w:t>International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214"/>
        <w:spacing w:after="0"/>
        <w:rPr>
          <w:sz w:val="20"/>
          <w:szCs w:val="20"/>
          <w:color w:val="auto"/>
        </w:rPr>
      </w:pPr>
      <w:r>
        <w:rPr>
          <w:rFonts w:ascii="Arial" w:cs="Arial" w:eastAsia="Arial" w:hAnsi="Arial"/>
          <w:sz w:val="18"/>
          <w:szCs w:val="18"/>
          <w:b w:val="1"/>
          <w:bCs w:val="1"/>
          <w:color w:val="04568A"/>
        </w:rPr>
        <w:t>JEFF GEORGE</w:t>
      </w:r>
    </w:p>
    <w:p>
      <w:pPr>
        <w:spacing w:after="0" w:line="189" w:lineRule="exact"/>
        <w:rPr>
          <w:sz w:val="20"/>
          <w:szCs w:val="20"/>
          <w:color w:val="auto"/>
        </w:rPr>
      </w:pPr>
    </w:p>
    <w:p>
      <w:pPr>
        <w:jc w:val="center"/>
        <w:ind w:right="214"/>
        <w:spacing w:after="0"/>
        <w:rPr>
          <w:sz w:val="20"/>
          <w:szCs w:val="20"/>
          <w:color w:val="auto"/>
        </w:rPr>
      </w:pPr>
      <w:r>
        <w:rPr>
          <w:rFonts w:ascii="Arial" w:cs="Arial" w:eastAsia="Arial" w:hAnsi="Arial"/>
          <w:sz w:val="16"/>
          <w:szCs w:val="16"/>
          <w:b w:val="1"/>
          <w:bCs w:val="1"/>
          <w:color w:val="auto"/>
        </w:rPr>
        <w:t>Age 48</w:t>
      </w:r>
    </w:p>
    <w:p>
      <w:pPr>
        <w:spacing w:after="0" w:line="214" w:lineRule="exact"/>
        <w:rPr>
          <w:sz w:val="20"/>
          <w:szCs w:val="20"/>
          <w:color w:val="auto"/>
        </w:rPr>
      </w:pPr>
    </w:p>
    <w:p>
      <w:pPr>
        <w:jc w:val="both"/>
        <w:ind w:left="6" w:right="220"/>
        <w:spacing w:after="0" w:line="247" w:lineRule="auto"/>
        <w:rPr>
          <w:sz w:val="20"/>
          <w:szCs w:val="20"/>
          <w:color w:val="auto"/>
        </w:rPr>
      </w:pPr>
      <w:r>
        <w:rPr>
          <w:rFonts w:ascii="Arial" w:cs="Arial" w:eastAsia="Arial" w:hAnsi="Arial"/>
          <w:sz w:val="16"/>
          <w:szCs w:val="16"/>
          <w:color w:val="auto"/>
        </w:rPr>
        <w:t>Jeff George has served on our Board of Directors since December 2019. Mr. George has over 20 years of global healthcare and corporate leadership experience. He is currently the Managing Partner of Maytal Capital, a healthcare-focused private equity investment and advisory firm he founded in 2017, and an Operating Partner at Revival Healthcare Capital, a medical device-focused private equity firm. Between 2008 and 2016, he served on the Executive Committee of Novartis Group AG, one of the largest global pharmaceutical companies, first as Division Head and CEO of Sandoz, Novartis’ $10 billion generic pharmaceuticals and biosimilars subsidiary, and then as Division Head and CEO of Alcon, Novartis’ then $10 billion branded eye care subsidiary. In both roles, he was responsible for leading over 25,000 associates globally across more than 160 countries. He then served as CEO and a board member of Performance Health, the largest global manufacturer and distributor of products to the physical therapy and rehabilitation markets. Mr. George previously headed Emerging Markets for the Middle East, Africa, Southeast Asia and CIS at Novartis Pharmaceuticals and served as Vice President and Head of Western and Eastern Europe for Novartis Vaccines. Prior to this, he held leadership roles at Gap Inc. and McKinsey &amp; Co. Mr. George serves on the boards of 908 Devices, a pioneer in life science diagnostics, Dorian Therapeutics, a cell therapy biotech spun out of Stanford University, and Wishbone Medical, a leader in pediatric orthopedic medical devices. He also serves on several non-profit boards including Education Opens Doors, where he is Chairman, the North Texas Food Bank, and YPO of Dallas. He previously served on the board of directors of AdvaMed, the medical device industry association, and Roam Analytics, an AI-driven healthcare software firm. He holds an M.B.A. from Harvard Business School, an M.A. from Johns Hopkins University’s School of Advanced International Studies, and a B.A. degree from Carleton College.</w:t>
      </w:r>
    </w:p>
    <w:p>
      <w:pPr>
        <w:spacing w:after="0" w:line="347" w:lineRule="exact"/>
        <w:rPr>
          <w:sz w:val="20"/>
          <w:szCs w:val="20"/>
          <w:color w:val="auto"/>
        </w:rPr>
      </w:pPr>
    </w:p>
    <w:p>
      <w:pPr>
        <w:ind w:left="6"/>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146" w:hanging="146"/>
        <w:spacing w:after="0"/>
        <w:tabs>
          <w:tab w:leader="none" w:pos="146" w:val="left"/>
        </w:tabs>
        <w:numPr>
          <w:ilvl w:val="0"/>
          <w:numId w:val="20"/>
        </w:numPr>
        <w:rPr>
          <w:rFonts w:ascii="Arial" w:cs="Arial" w:eastAsia="Arial" w:hAnsi="Arial"/>
          <w:sz w:val="16"/>
          <w:szCs w:val="16"/>
          <w:color w:val="04568A"/>
        </w:rPr>
      </w:pPr>
      <w:r>
        <w:rPr>
          <w:rFonts w:ascii="Arial" w:cs="Arial" w:eastAsia="Arial" w:hAnsi="Arial"/>
          <w:sz w:val="16"/>
          <w:szCs w:val="16"/>
          <w:color w:val="auto"/>
        </w:rPr>
        <w:t>CEO, General Management, Commercial</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20"/>
        </w:numPr>
        <w:rPr>
          <w:rFonts w:ascii="Arial" w:cs="Arial" w:eastAsia="Arial" w:hAnsi="Arial"/>
          <w:sz w:val="16"/>
          <w:szCs w:val="16"/>
          <w:color w:val="04568A"/>
        </w:rPr>
      </w:pPr>
      <w:r>
        <w:rPr>
          <w:rFonts w:ascii="Arial" w:cs="Arial" w:eastAsia="Arial" w:hAnsi="Arial"/>
          <w:sz w:val="16"/>
          <w:szCs w:val="16"/>
          <w:color w:val="auto"/>
        </w:rPr>
        <w:t>Corporate Development, Business Development, M&amp;A</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20"/>
        </w:numPr>
        <w:rPr>
          <w:rFonts w:ascii="Arial" w:cs="Arial" w:eastAsia="Arial" w:hAnsi="Arial"/>
          <w:sz w:val="16"/>
          <w:szCs w:val="16"/>
          <w:color w:val="04568A"/>
        </w:rPr>
      </w:pPr>
      <w:r>
        <w:rPr>
          <w:rFonts w:ascii="Arial" w:cs="Arial" w:eastAsia="Arial" w:hAnsi="Arial"/>
          <w:sz w:val="16"/>
          <w:szCs w:val="16"/>
          <w:color w:val="auto"/>
        </w:rPr>
        <w:t>Investment, Private Equity</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20"/>
        </w:numPr>
        <w:rPr>
          <w:rFonts w:ascii="Arial" w:cs="Arial" w:eastAsia="Arial" w:hAnsi="Arial"/>
          <w:sz w:val="16"/>
          <w:szCs w:val="16"/>
          <w:color w:val="04568A"/>
        </w:rPr>
      </w:pPr>
      <w:r>
        <w:rPr>
          <w:rFonts w:ascii="Arial" w:cs="Arial" w:eastAsia="Arial" w:hAnsi="Arial"/>
          <w:sz w:val="16"/>
          <w:szCs w:val="16"/>
          <w:color w:val="auto"/>
        </w:rPr>
        <w:t>International</w:t>
      </w:r>
    </w:p>
    <w:p>
      <w:pPr>
        <w:spacing w:after="0" w:line="552" w:lineRule="exact"/>
        <w:rPr>
          <w:sz w:val="20"/>
          <w:szCs w:val="20"/>
          <w:color w:val="auto"/>
        </w:rPr>
      </w:pPr>
    </w:p>
    <w:p>
      <w:pPr>
        <w:sectPr>
          <w:pgSz w:w="11900" w:h="16838" w:orient="portrait"/>
          <w:cols w:equalWidth="0" w:num="2">
            <w:col w:w="5360" w:space="534"/>
            <w:col w:w="5346"/>
          </w:cols>
          <w:pgMar w:left="320" w:top="234" w:right="339" w:bottom="1440" w:gutter="0" w:footer="0" w:header="0"/>
          <w:type w:val="continuous"/>
        </w:sect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type w:val="continuous"/>
        </w:sectPr>
      </w:pPr>
    </w:p>
    <w:bookmarkStart w:id="23" w:name="page24"/>
    <w:bookmarkEnd w:id="23"/>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142240</wp:posOffset>
            </wp:positionH>
            <wp:positionV relativeFrom="paragraph">
              <wp:posOffset>120650</wp:posOffset>
            </wp:positionV>
            <wp:extent cx="6858000" cy="13119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858000" cy="1311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right"/>
        <w:ind w:right="2140"/>
        <w:spacing w:after="0"/>
        <w:tabs>
          <w:tab w:leader="none" w:pos="900" w:val="left"/>
        </w:tabs>
        <w:rPr>
          <w:sz w:val="20"/>
          <w:szCs w:val="20"/>
          <w:color w:val="auto"/>
        </w:rPr>
      </w:pPr>
      <w:r>
        <w:rPr>
          <w:rFonts w:ascii="Arial" w:cs="Arial" w:eastAsia="Arial" w:hAnsi="Arial"/>
          <w:sz w:val="18"/>
          <w:szCs w:val="18"/>
          <w:b w:val="1"/>
          <w:bCs w:val="1"/>
          <w:color w:val="04568A"/>
        </w:rPr>
        <w:t>JOHN KIELY</w:t>
      </w:r>
      <w:r>
        <w:rPr>
          <w:sz w:val="20"/>
          <w:szCs w:val="20"/>
          <w:color w:val="auto"/>
        </w:rPr>
        <w:tab/>
      </w:r>
      <w:r>
        <w:rPr>
          <w:rFonts w:ascii="Arial" w:cs="Arial" w:eastAsia="Arial" w:hAnsi="Arial"/>
          <w:sz w:val="17"/>
          <w:szCs w:val="17"/>
          <w:b w:val="1"/>
          <w:bCs w:val="1"/>
          <w:color w:val="04568A"/>
        </w:rPr>
        <w:t>TED NARK</w:t>
      </w:r>
    </w:p>
    <w:p>
      <w:pPr>
        <w:sectPr>
          <w:pgSz w:w="11900" w:h="16838" w:orient="portrait"/>
          <w:cols w:equalWidth="0" w:num="1">
            <w:col w:w="11240"/>
          </w:cols>
          <w:pgMar w:left="320" w:top="234" w:right="339" w:bottom="1440" w:gutter="0" w:footer="0" w:header="0"/>
        </w:sectPr>
      </w:pPr>
    </w:p>
    <w:p>
      <w:pPr>
        <w:spacing w:after="0" w:line="189" w:lineRule="exact"/>
        <w:rPr>
          <w:sz w:val="20"/>
          <w:szCs w:val="20"/>
          <w:color w:val="auto"/>
        </w:rPr>
      </w:pPr>
    </w:p>
    <w:p>
      <w:pPr>
        <w:ind w:left="2200"/>
        <w:spacing w:after="0"/>
        <w:rPr>
          <w:sz w:val="20"/>
          <w:szCs w:val="20"/>
          <w:color w:val="auto"/>
        </w:rPr>
      </w:pPr>
      <w:r>
        <w:rPr>
          <w:rFonts w:ascii="Arial" w:cs="Arial" w:eastAsia="Arial" w:hAnsi="Arial"/>
          <w:sz w:val="16"/>
          <w:szCs w:val="16"/>
          <w:b w:val="1"/>
          <w:bCs w:val="1"/>
          <w:color w:val="auto"/>
        </w:rPr>
        <w:t>Age 63</w:t>
      </w:r>
    </w:p>
    <w:p>
      <w:pPr>
        <w:spacing w:after="0" w:line="214" w:lineRule="exact"/>
        <w:rPr>
          <w:sz w:val="20"/>
          <w:szCs w:val="20"/>
          <w:color w:val="auto"/>
        </w:rPr>
      </w:pPr>
    </w:p>
    <w:p>
      <w:pPr>
        <w:jc w:val="both"/>
        <w:ind w:left="220"/>
        <w:spacing w:after="0" w:line="247" w:lineRule="auto"/>
        <w:rPr>
          <w:sz w:val="20"/>
          <w:szCs w:val="20"/>
          <w:color w:val="auto"/>
        </w:rPr>
      </w:pPr>
      <w:r>
        <w:rPr>
          <w:rFonts w:ascii="Arial" w:cs="Arial" w:eastAsia="Arial" w:hAnsi="Arial"/>
          <w:sz w:val="16"/>
          <w:szCs w:val="16"/>
          <w:color w:val="auto"/>
        </w:rPr>
        <w:t>John Kiely has served on our Board of Directors since December 2019. Mr. Kiely has more than 35 years of financial leadership and advisory experience serving public companies, including multinational corporations. From July 1991 until July 2019, when he retired, he served as a Senior Assurance Partner at Pricewaterhouse Coopers, a multinational professional services firm, where he focused on the pharmaceutical, manufacturing, chemical, medical device and private equity sectors. He held various roles of increasing responsibility at Pricewaterhouse Coopers, including as Private Equity Assurance Leader, U.S. Pharmaceutical Leader and Global Pharmaceutical Assurance Leader. Mr. Kiely is currently and has been since July 2019 on the board of directors of Zovio, Inc., an education technology services company. In addition, Mr. Kiely has served on the board of directors of Covis Pharmaceutical, Inc. since April 2020. Mr. Kiely holds a B.S. degree from Saint Francis University.</w:t>
      </w:r>
    </w:p>
    <w:p>
      <w:pPr>
        <w:spacing w:after="0" w:line="164" w:lineRule="exact"/>
        <w:rPr>
          <w:sz w:val="20"/>
          <w:szCs w:val="20"/>
          <w:color w:val="auto"/>
        </w:rPr>
      </w:pPr>
    </w:p>
    <w:p>
      <w:pPr>
        <w:ind w:left="220"/>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380" w:hanging="156"/>
        <w:spacing w:after="0"/>
        <w:tabs>
          <w:tab w:leader="none" w:pos="380" w:val="left"/>
        </w:tabs>
        <w:numPr>
          <w:ilvl w:val="0"/>
          <w:numId w:val="21"/>
        </w:numPr>
        <w:rPr>
          <w:rFonts w:ascii="Arial" w:cs="Arial" w:eastAsia="Arial" w:hAnsi="Arial"/>
          <w:sz w:val="16"/>
          <w:szCs w:val="16"/>
          <w:color w:val="04568A"/>
        </w:rPr>
      </w:pPr>
      <w:r>
        <w:rPr>
          <w:rFonts w:ascii="Arial" w:cs="Arial" w:eastAsia="Arial" w:hAnsi="Arial"/>
          <w:sz w:val="16"/>
          <w:szCs w:val="16"/>
          <w:color w:val="auto"/>
        </w:rPr>
        <w:t>General Management, Commercial</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21"/>
        </w:numPr>
        <w:rPr>
          <w:rFonts w:ascii="Arial" w:cs="Arial" w:eastAsia="Arial" w:hAnsi="Arial"/>
          <w:sz w:val="16"/>
          <w:szCs w:val="16"/>
          <w:color w:val="04568A"/>
        </w:rPr>
      </w:pPr>
      <w:r>
        <w:rPr>
          <w:rFonts w:ascii="Arial" w:cs="Arial" w:eastAsia="Arial" w:hAnsi="Arial"/>
          <w:sz w:val="16"/>
          <w:szCs w:val="16"/>
          <w:color w:val="auto"/>
        </w:rPr>
        <w:t>Finance and Accounting</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21"/>
        </w:numPr>
        <w:rPr>
          <w:rFonts w:ascii="Arial" w:cs="Arial" w:eastAsia="Arial" w:hAnsi="Arial"/>
          <w:sz w:val="16"/>
          <w:szCs w:val="16"/>
          <w:color w:val="04568A"/>
        </w:rPr>
      </w:pPr>
      <w:r>
        <w:rPr>
          <w:rFonts w:ascii="Arial" w:cs="Arial" w:eastAsia="Arial" w:hAnsi="Arial"/>
          <w:sz w:val="16"/>
          <w:szCs w:val="16"/>
          <w:color w:val="auto"/>
        </w:rPr>
        <w:t>M&amp;A</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21"/>
        </w:numPr>
        <w:rPr>
          <w:rFonts w:ascii="Arial" w:cs="Arial" w:eastAsia="Arial" w:hAnsi="Arial"/>
          <w:sz w:val="16"/>
          <w:szCs w:val="16"/>
          <w:color w:val="04568A"/>
        </w:rPr>
      </w:pPr>
      <w:r>
        <w:rPr>
          <w:rFonts w:ascii="Arial" w:cs="Arial" w:eastAsia="Arial" w:hAnsi="Arial"/>
          <w:sz w:val="16"/>
          <w:szCs w:val="16"/>
          <w:color w:val="auto"/>
        </w:rPr>
        <w:t>International</w:t>
      </w:r>
    </w:p>
    <w:p>
      <w:pPr>
        <w:spacing w:after="0" w:line="20" w:lineRule="exact"/>
        <w:rPr>
          <w:sz w:val="20"/>
          <w:szCs w:val="20"/>
          <w:color w:val="auto"/>
        </w:rPr>
      </w:pPr>
      <w:r>
        <w:rPr>
          <w:sz w:val="20"/>
          <w:szCs w:val="20"/>
          <w:color w:val="auto"/>
        </w:rPr>
        <w:br w:type="column"/>
      </w:r>
    </w:p>
    <w:p>
      <w:pPr>
        <w:spacing w:after="0" w:line="169" w:lineRule="exact"/>
        <w:rPr>
          <w:sz w:val="20"/>
          <w:szCs w:val="20"/>
          <w:color w:val="auto"/>
        </w:rPr>
      </w:pPr>
    </w:p>
    <w:p>
      <w:pPr>
        <w:ind w:left="2486"/>
        <w:spacing w:after="0"/>
        <w:rPr>
          <w:sz w:val="20"/>
          <w:szCs w:val="20"/>
          <w:color w:val="auto"/>
        </w:rPr>
      </w:pPr>
      <w:r>
        <w:rPr>
          <w:rFonts w:ascii="Arial" w:cs="Arial" w:eastAsia="Arial" w:hAnsi="Arial"/>
          <w:sz w:val="16"/>
          <w:szCs w:val="16"/>
          <w:b w:val="1"/>
          <w:bCs w:val="1"/>
          <w:color w:val="auto"/>
        </w:rPr>
        <w:t>Age 63</w:t>
      </w:r>
    </w:p>
    <w:p>
      <w:pPr>
        <w:spacing w:after="0" w:line="214" w:lineRule="exact"/>
        <w:rPr>
          <w:sz w:val="20"/>
          <w:szCs w:val="20"/>
          <w:color w:val="auto"/>
        </w:rPr>
      </w:pPr>
    </w:p>
    <w:p>
      <w:pPr>
        <w:jc w:val="both"/>
        <w:ind w:left="6" w:right="220"/>
        <w:spacing w:after="0" w:line="247" w:lineRule="auto"/>
        <w:rPr>
          <w:sz w:val="20"/>
          <w:szCs w:val="20"/>
          <w:color w:val="auto"/>
        </w:rPr>
      </w:pPr>
      <w:r>
        <w:rPr>
          <w:rFonts w:ascii="Arial" w:cs="Arial" w:eastAsia="Arial" w:hAnsi="Arial"/>
          <w:sz w:val="16"/>
          <w:szCs w:val="16"/>
          <w:color w:val="auto"/>
        </w:rPr>
        <w:t>Ted Nark has served on our Board of Directors since the Combination. Mr. Nark has served as a Managing Director of KRG Capital Partners, a Denver-based $2 billion private equity fund, since 2007. In that role, he has led the identification, negotiation and due diligence of new acquisitions and has worked with portfolio companies and maintained relationships with limited partners. While at KRG, Mr. Nark has led the acquisition and successful monetization of companies, including Convergint Technologies, Diversified Food Services and Petrochoice. From 2006 to 2007, Mr. Nark was Partner at Leonard Green &amp; Partners and, from 2002 to 2006, served as CEO and Chairman of the Board of White Cap Construction Supply, a Leonard Green-owned distributor of construction hardware, tools and materials to professional contractors in the United States. Previously, Mr. Nark served as CEO of Corporate Express Australia and Group President at Corporate Express, Inc. Mr. Nark is currently a board member of several private companies such as Convergint Technologies, Resource Label Group, and Coastal Farm and Ranch Supply. Mr. Nark has previously served on the boards of Corporate Express Australia, Fort Dearborn, White Cap Construction Supply, FTD, Leslies Pools, Gaiam, Real Goods Solar, Western Windows, SavAtree, Trafficware, the Maroon Group, and Claim Jumper. Mr. Nark received a B.S. degree from Washington State University. Mr. Nark’s strong background in finance and corporate development combined with his service in executive leadership roles within complex corporate organizations contribute strategic and management insight to our Board.</w:t>
      </w:r>
    </w:p>
    <w:p>
      <w:pPr>
        <w:spacing w:after="0" w:line="160" w:lineRule="exact"/>
        <w:rPr>
          <w:sz w:val="20"/>
          <w:szCs w:val="20"/>
          <w:color w:val="auto"/>
        </w:rPr>
      </w:pPr>
    </w:p>
    <w:p>
      <w:pPr>
        <w:ind w:left="6"/>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146" w:hanging="146"/>
        <w:spacing w:after="0"/>
        <w:tabs>
          <w:tab w:leader="none" w:pos="146" w:val="left"/>
        </w:tabs>
        <w:numPr>
          <w:ilvl w:val="0"/>
          <w:numId w:val="22"/>
        </w:numPr>
        <w:rPr>
          <w:rFonts w:ascii="Arial" w:cs="Arial" w:eastAsia="Arial" w:hAnsi="Arial"/>
          <w:sz w:val="16"/>
          <w:szCs w:val="16"/>
          <w:color w:val="04568A"/>
        </w:rPr>
      </w:pPr>
      <w:r>
        <w:rPr>
          <w:rFonts w:ascii="Arial" w:cs="Arial" w:eastAsia="Arial" w:hAnsi="Arial"/>
          <w:sz w:val="16"/>
          <w:szCs w:val="16"/>
          <w:color w:val="auto"/>
        </w:rPr>
        <w:t>CEO, General Management, Commercial</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22"/>
        </w:numPr>
        <w:rPr>
          <w:rFonts w:ascii="Arial" w:cs="Arial" w:eastAsia="Arial" w:hAnsi="Arial"/>
          <w:sz w:val="16"/>
          <w:szCs w:val="16"/>
          <w:color w:val="04568A"/>
        </w:rPr>
      </w:pPr>
      <w:r>
        <w:rPr>
          <w:rFonts w:ascii="Arial" w:cs="Arial" w:eastAsia="Arial" w:hAnsi="Arial"/>
          <w:sz w:val="16"/>
          <w:szCs w:val="16"/>
          <w:color w:val="auto"/>
        </w:rPr>
        <w:t>Corporate Development, Business Development, M&amp;A</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22"/>
        </w:numPr>
        <w:rPr>
          <w:rFonts w:ascii="Arial" w:cs="Arial" w:eastAsia="Arial" w:hAnsi="Arial"/>
          <w:sz w:val="16"/>
          <w:szCs w:val="16"/>
          <w:color w:val="04568A"/>
        </w:rPr>
      </w:pPr>
      <w:r>
        <w:rPr>
          <w:rFonts w:ascii="Arial" w:cs="Arial" w:eastAsia="Arial" w:hAnsi="Arial"/>
          <w:sz w:val="16"/>
          <w:szCs w:val="16"/>
          <w:color w:val="auto"/>
        </w:rPr>
        <w:t>Investment, Venture Capital</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22"/>
        </w:numPr>
        <w:rPr>
          <w:rFonts w:ascii="Arial" w:cs="Arial" w:eastAsia="Arial" w:hAnsi="Arial"/>
          <w:sz w:val="16"/>
          <w:szCs w:val="16"/>
          <w:color w:val="04568A"/>
        </w:rPr>
      </w:pPr>
      <w:r>
        <w:rPr>
          <w:rFonts w:ascii="Arial" w:cs="Arial" w:eastAsia="Arial" w:hAnsi="Arial"/>
          <w:sz w:val="16"/>
          <w:szCs w:val="16"/>
          <w:color w:val="auto"/>
        </w:rPr>
        <w:t>International</w:t>
      </w:r>
    </w:p>
    <w:p>
      <w:pPr>
        <w:spacing w:after="0" w:line="174" w:lineRule="exact"/>
        <w:rPr>
          <w:sz w:val="20"/>
          <w:szCs w:val="20"/>
          <w:color w:val="auto"/>
        </w:rPr>
      </w:pPr>
    </w:p>
    <w:p>
      <w:pPr>
        <w:sectPr>
          <w:pgSz w:w="11900" w:h="16838" w:orient="portrait"/>
          <w:cols w:equalWidth="0" w:num="2">
            <w:col w:w="5360" w:space="534"/>
            <w:col w:w="5346"/>
          </w:cols>
          <w:pgMar w:left="320" w:top="234" w:right="339" w:bottom="1440" w:gutter="0" w:footer="0" w:header="0"/>
          <w:type w:val="continuous"/>
        </w:sect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23</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type w:val="continuous"/>
        </w:sectPr>
      </w:pPr>
    </w:p>
    <w:bookmarkStart w:id="24" w:name="page25"/>
    <w:bookmarkEnd w:id="24"/>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142240</wp:posOffset>
            </wp:positionH>
            <wp:positionV relativeFrom="paragraph">
              <wp:posOffset>120650</wp:posOffset>
            </wp:positionV>
            <wp:extent cx="6858000" cy="13804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858000" cy="13804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right="320"/>
        <w:spacing w:after="0"/>
        <w:rPr>
          <w:sz w:val="20"/>
          <w:szCs w:val="20"/>
          <w:color w:val="auto"/>
        </w:rPr>
      </w:pPr>
      <w:r>
        <w:rPr>
          <w:rFonts w:ascii="Arial" w:cs="Arial" w:eastAsia="Arial" w:hAnsi="Arial"/>
          <w:sz w:val="18"/>
          <w:szCs w:val="18"/>
          <w:b w:val="1"/>
          <w:bCs w:val="1"/>
          <w:color w:val="04568A"/>
        </w:rPr>
        <w:t>GAUTAM PATEL</w:t>
      </w:r>
    </w:p>
    <w:p>
      <w:pPr>
        <w:spacing w:after="0" w:line="189" w:lineRule="exact"/>
        <w:rPr>
          <w:sz w:val="20"/>
          <w:szCs w:val="20"/>
          <w:color w:val="auto"/>
        </w:rPr>
      </w:pPr>
    </w:p>
    <w:p>
      <w:pPr>
        <w:ind w:left="2260"/>
        <w:spacing w:after="0"/>
        <w:rPr>
          <w:sz w:val="20"/>
          <w:szCs w:val="20"/>
          <w:color w:val="auto"/>
        </w:rPr>
      </w:pPr>
      <w:r>
        <w:rPr>
          <w:rFonts w:ascii="Arial" w:cs="Arial" w:eastAsia="Arial" w:hAnsi="Arial"/>
          <w:sz w:val="16"/>
          <w:szCs w:val="16"/>
          <w:b w:val="1"/>
          <w:bCs w:val="1"/>
          <w:color w:val="auto"/>
        </w:rPr>
        <w:t>Age 49</w:t>
      </w:r>
    </w:p>
    <w:p>
      <w:pPr>
        <w:spacing w:after="0" w:line="214" w:lineRule="exact"/>
        <w:rPr>
          <w:sz w:val="20"/>
          <w:szCs w:val="20"/>
          <w:color w:val="auto"/>
        </w:rPr>
      </w:pPr>
    </w:p>
    <w:p>
      <w:pPr>
        <w:jc w:val="both"/>
        <w:ind w:left="220"/>
        <w:spacing w:after="0" w:line="247" w:lineRule="auto"/>
        <w:rPr>
          <w:sz w:val="20"/>
          <w:szCs w:val="20"/>
          <w:color w:val="auto"/>
        </w:rPr>
      </w:pPr>
      <w:r>
        <w:rPr>
          <w:rFonts w:ascii="Arial" w:cs="Arial" w:eastAsia="Arial" w:hAnsi="Arial"/>
          <w:sz w:val="16"/>
          <w:szCs w:val="16"/>
          <w:color w:val="auto"/>
        </w:rPr>
        <w:t>Gautam Patel has served on our Board of Directors since the Combination. Mr. Patel has been Managing Director of Tarsadia Investments, a private investment firm based in Newport Beach, California, since 2012. In that role, he has led a team of investment professionals to identify, evaluate and execute principal control over equity investments across sectors including life sciences, financial services and technology. Prior to joining Tarsadia, Mr. Patel served as Managing Director at Lazard from 2008 to 2012, where he led financial and strategic advisory efforts in sectors including transportation and logistics, private equity, and healthcare. Prior to that, Mr. Patel served in a variety of advisory roles at Lazard from 1999 to 2008, including multiple restructuring, bankruptcy and corporate reorganization assignments in 2001 and 2008. From 1994 to 1997, Mr. Patel was an Analyst at Donaldson, Lufkin &amp; Jenrette, where he worked on M&amp;A as well as high-yield and equity financings. Mr. Patel is currently a Board Member of Spectrum Brands and several private companies such as Kashiv, Asana Biosciences, Prolong Pharmaceuticals, Envisics and AIONX Antimicrobial Technologies. Mr. Patel also serves on the board of Casita Maria Center for Arts &amp; Education, a New York based non-profit organization that aims to empower children through arts-based education. Mr. Patel received a Bachelor of Arts degree from Claremont McKenna College, a Bachelor of Science degree from Harvey Mudd College, an MSc from the London School of Economics and an M.B.A. from the University of Chicago. Mr. Patel brings an extensive knowledge of the Company’s business and operations combined with deep experience in finance, corporate development and healthcare investing to the Board.</w:t>
      </w:r>
    </w:p>
    <w:p>
      <w:pPr>
        <w:spacing w:after="0" w:line="160" w:lineRule="exact"/>
        <w:rPr>
          <w:sz w:val="20"/>
          <w:szCs w:val="20"/>
          <w:color w:val="auto"/>
        </w:rPr>
      </w:pPr>
    </w:p>
    <w:p>
      <w:pPr>
        <w:ind w:left="220"/>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380" w:hanging="156"/>
        <w:spacing w:after="0"/>
        <w:tabs>
          <w:tab w:leader="none" w:pos="380" w:val="left"/>
        </w:tabs>
        <w:numPr>
          <w:ilvl w:val="0"/>
          <w:numId w:val="23"/>
        </w:numPr>
        <w:rPr>
          <w:rFonts w:ascii="Arial" w:cs="Arial" w:eastAsia="Arial" w:hAnsi="Arial"/>
          <w:sz w:val="16"/>
          <w:szCs w:val="16"/>
          <w:color w:val="04568A"/>
        </w:rPr>
      </w:pPr>
      <w:r>
        <w:rPr>
          <w:rFonts w:ascii="Arial" w:cs="Arial" w:eastAsia="Arial" w:hAnsi="Arial"/>
          <w:sz w:val="16"/>
          <w:szCs w:val="16"/>
          <w:color w:val="auto"/>
        </w:rPr>
        <w:t>Corporate Development, Business Development, M&amp;A</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23"/>
        </w:numPr>
        <w:rPr>
          <w:rFonts w:ascii="Arial" w:cs="Arial" w:eastAsia="Arial" w:hAnsi="Arial"/>
          <w:sz w:val="16"/>
          <w:szCs w:val="16"/>
          <w:color w:val="04568A"/>
        </w:rPr>
      </w:pPr>
      <w:r>
        <w:rPr>
          <w:rFonts w:ascii="Arial" w:cs="Arial" w:eastAsia="Arial" w:hAnsi="Arial"/>
          <w:sz w:val="16"/>
          <w:szCs w:val="16"/>
          <w:color w:val="auto"/>
        </w:rPr>
        <w:t>Finance and Accounting</w:t>
      </w:r>
    </w:p>
    <w:p>
      <w:pPr>
        <w:spacing w:after="0" w:line="5" w:lineRule="exact"/>
        <w:rPr>
          <w:rFonts w:ascii="Arial" w:cs="Arial" w:eastAsia="Arial" w:hAnsi="Arial"/>
          <w:sz w:val="16"/>
          <w:szCs w:val="16"/>
          <w:color w:val="04568A"/>
        </w:rPr>
      </w:pPr>
    </w:p>
    <w:p>
      <w:pPr>
        <w:ind w:left="380" w:hanging="156"/>
        <w:spacing w:after="0"/>
        <w:tabs>
          <w:tab w:leader="none" w:pos="380" w:val="left"/>
        </w:tabs>
        <w:numPr>
          <w:ilvl w:val="0"/>
          <w:numId w:val="23"/>
        </w:numPr>
        <w:rPr>
          <w:rFonts w:ascii="Arial" w:cs="Arial" w:eastAsia="Arial" w:hAnsi="Arial"/>
          <w:sz w:val="16"/>
          <w:szCs w:val="16"/>
          <w:color w:val="04568A"/>
        </w:rPr>
      </w:pPr>
      <w:r>
        <w:rPr>
          <w:rFonts w:ascii="Arial" w:cs="Arial" w:eastAsia="Arial" w:hAnsi="Arial"/>
          <w:sz w:val="16"/>
          <w:szCs w:val="16"/>
          <w:color w:val="auto"/>
        </w:rPr>
        <w:t>Investment, Venture Capital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left="-205"/>
        <w:spacing w:after="0"/>
        <w:rPr>
          <w:sz w:val="20"/>
          <w:szCs w:val="20"/>
          <w:color w:val="auto"/>
        </w:rPr>
      </w:pPr>
      <w:r>
        <w:rPr>
          <w:rFonts w:ascii="Arial" w:cs="Arial" w:eastAsia="Arial" w:hAnsi="Arial"/>
          <w:sz w:val="18"/>
          <w:szCs w:val="18"/>
          <w:b w:val="1"/>
          <w:bCs w:val="1"/>
          <w:color w:val="04568A"/>
        </w:rPr>
        <w:t>SHLOMO YANAI</w:t>
      </w:r>
    </w:p>
    <w:p>
      <w:pPr>
        <w:spacing w:after="0" w:line="189" w:lineRule="exact"/>
        <w:rPr>
          <w:sz w:val="20"/>
          <w:szCs w:val="20"/>
          <w:color w:val="auto"/>
        </w:rPr>
      </w:pPr>
    </w:p>
    <w:p>
      <w:pPr>
        <w:ind w:left="2686"/>
        <w:spacing w:after="0"/>
        <w:rPr>
          <w:sz w:val="20"/>
          <w:szCs w:val="20"/>
          <w:color w:val="auto"/>
        </w:rPr>
      </w:pPr>
      <w:r>
        <w:rPr>
          <w:rFonts w:ascii="Arial" w:cs="Arial" w:eastAsia="Arial" w:hAnsi="Arial"/>
          <w:sz w:val="16"/>
          <w:szCs w:val="16"/>
          <w:b w:val="1"/>
          <w:bCs w:val="1"/>
          <w:color w:val="auto"/>
        </w:rPr>
        <w:t>Age 69</w:t>
      </w:r>
    </w:p>
    <w:p>
      <w:pPr>
        <w:spacing w:after="0" w:line="214" w:lineRule="exact"/>
        <w:rPr>
          <w:sz w:val="20"/>
          <w:szCs w:val="20"/>
          <w:color w:val="auto"/>
        </w:rPr>
      </w:pPr>
    </w:p>
    <w:p>
      <w:pPr>
        <w:jc w:val="both"/>
        <w:ind w:left="6" w:right="220"/>
        <w:spacing w:after="0" w:line="247" w:lineRule="auto"/>
        <w:rPr>
          <w:sz w:val="20"/>
          <w:szCs w:val="20"/>
          <w:color w:val="auto"/>
        </w:rPr>
      </w:pPr>
      <w:r>
        <w:rPr>
          <w:rFonts w:ascii="Arial" w:cs="Arial" w:eastAsia="Arial" w:hAnsi="Arial"/>
          <w:sz w:val="16"/>
          <w:szCs w:val="16"/>
          <w:color w:val="auto"/>
        </w:rPr>
        <w:t>Shlomo Yanai has served on our Board of Directors since December 2019. Mr. Yanai has more than 17 years of corporate leadership experience, primarily in the pharmaceutical industry. Mr. Yanai served as President and Chief Executive Officer at Teva Pharmaceutical Industries Ltd. from 2007 to 2012. Prior to that, Mr. Yanai was the CEO of Adama Industries from 2002 to 2006. Mr. Yanai currently serves as the Chairman of the Board of Lumenis Ltd., a Board member at W.R. Grace and a senior advisor to Moelis &amp; Company. Mr. Yanai previously served as Vice Chairman of the Rothschild Caesarea Foundation, Chairman of the Board of Cambrex Corporation and Protalix Biotherapeutics, PDL BioPharma Inc., Perrigo Company, Sagent Pharmaceuticals, Elisra, Bank Leumi Lelsreal, and I.T.L. Optronics Ltd. Mr. Yanai also held various leadership positions in the Israel Defense Forces. Mr. Yanai is a graduate of Harvard Business School’s AMP program. He holds a Master of Public Administration degree from George Washington University and a B.A. degree from Tel Aviv University and is also a graduate of the U.S. National Defense University – War College.</w:t>
      </w:r>
    </w:p>
    <w:p>
      <w:pPr>
        <w:spacing w:after="0" w:line="163" w:lineRule="exact"/>
        <w:rPr>
          <w:sz w:val="20"/>
          <w:szCs w:val="20"/>
          <w:color w:val="auto"/>
        </w:rPr>
      </w:pPr>
    </w:p>
    <w:p>
      <w:pPr>
        <w:ind w:left="6"/>
        <w:spacing w:after="0"/>
        <w:rPr>
          <w:sz w:val="20"/>
          <w:szCs w:val="20"/>
          <w:color w:val="auto"/>
        </w:rPr>
      </w:pPr>
      <w:r>
        <w:rPr>
          <w:rFonts w:ascii="Arial" w:cs="Arial" w:eastAsia="Arial" w:hAnsi="Arial"/>
          <w:sz w:val="16"/>
          <w:szCs w:val="16"/>
          <w:b w:val="1"/>
          <w:bCs w:val="1"/>
          <w:color w:val="04568A"/>
        </w:rPr>
        <w:t>Skills and Qualifications:</w:t>
      </w:r>
    </w:p>
    <w:p>
      <w:pPr>
        <w:spacing w:after="0" w:line="120" w:lineRule="exact"/>
        <w:rPr>
          <w:sz w:val="20"/>
          <w:szCs w:val="20"/>
          <w:color w:val="auto"/>
        </w:rPr>
      </w:pPr>
    </w:p>
    <w:p>
      <w:pPr>
        <w:ind w:left="146" w:hanging="146"/>
        <w:spacing w:after="0"/>
        <w:tabs>
          <w:tab w:leader="none" w:pos="146" w:val="left"/>
        </w:tabs>
        <w:numPr>
          <w:ilvl w:val="0"/>
          <w:numId w:val="24"/>
        </w:numPr>
        <w:rPr>
          <w:rFonts w:ascii="Arial" w:cs="Arial" w:eastAsia="Arial" w:hAnsi="Arial"/>
          <w:sz w:val="16"/>
          <w:szCs w:val="16"/>
          <w:color w:val="04568A"/>
        </w:rPr>
      </w:pPr>
      <w:r>
        <w:rPr>
          <w:rFonts w:ascii="Arial" w:cs="Arial" w:eastAsia="Arial" w:hAnsi="Arial"/>
          <w:sz w:val="16"/>
          <w:szCs w:val="16"/>
          <w:color w:val="auto"/>
        </w:rPr>
        <w:t>CEO, General Management, Commercial</w:t>
      </w:r>
    </w:p>
    <w:p>
      <w:pPr>
        <w:spacing w:after="0" w:line="5" w:lineRule="exact"/>
        <w:rPr>
          <w:rFonts w:ascii="Arial" w:cs="Arial" w:eastAsia="Arial" w:hAnsi="Arial"/>
          <w:sz w:val="16"/>
          <w:szCs w:val="16"/>
          <w:color w:val="04568A"/>
        </w:rPr>
      </w:pPr>
    </w:p>
    <w:p>
      <w:pPr>
        <w:ind w:left="146" w:hanging="146"/>
        <w:spacing w:after="0"/>
        <w:tabs>
          <w:tab w:leader="none" w:pos="146" w:val="left"/>
        </w:tabs>
        <w:numPr>
          <w:ilvl w:val="0"/>
          <w:numId w:val="24"/>
        </w:numPr>
        <w:rPr>
          <w:rFonts w:ascii="Arial" w:cs="Arial" w:eastAsia="Arial" w:hAnsi="Arial"/>
          <w:sz w:val="16"/>
          <w:szCs w:val="16"/>
          <w:color w:val="04568A"/>
        </w:rPr>
      </w:pPr>
      <w:r>
        <w:rPr>
          <w:rFonts w:ascii="Arial" w:cs="Arial" w:eastAsia="Arial" w:hAnsi="Arial"/>
          <w:sz w:val="16"/>
          <w:szCs w:val="16"/>
          <w:color w:val="auto"/>
        </w:rPr>
        <w:t>Investment, Venture Capital</w:t>
      </w:r>
    </w:p>
    <w:p>
      <w:pPr>
        <w:spacing w:after="0" w:line="2064" w:lineRule="exact"/>
        <w:rPr>
          <w:sz w:val="20"/>
          <w:szCs w:val="20"/>
          <w:color w:val="auto"/>
        </w:rPr>
      </w:pPr>
    </w:p>
    <w:p>
      <w:pPr>
        <w:sectPr>
          <w:pgSz w:w="11900" w:h="16838" w:orient="portrait"/>
          <w:cols w:equalWidth="0" w:num="2">
            <w:col w:w="5360" w:space="534"/>
            <w:col w:w="5346"/>
          </w:cols>
          <w:pgMar w:left="320" w:top="234" w:right="339" w:bottom="1440" w:gutter="0" w:footer="0" w:header="0"/>
          <w:type w:val="continuous"/>
        </w:sect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type w:val="continuous"/>
        </w:sectPr>
      </w:pPr>
    </w:p>
    <w:bookmarkStart w:id="25" w:name="page26"/>
    <w:bookmarkEnd w:id="25"/>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Required Vote</w:t>
      </w:r>
    </w:p>
    <w:p>
      <w:pPr>
        <w:spacing w:after="0" w:line="237"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Our Bylaws provide for a majority vote standard in uncontested elections of directors. Therefore, to be elected at our 2022 annual meeting, which is an uncontested election, each nominee for director must receive the affirmative vote of a majority of the votes cast with respect to such nominee by the holders of the shares of voting common stock voting by remote communication or by proxy at the annual meeting. A majority of the votes cast means that the number of votes cast “for” a nominee must exceed the number of votes cast “against” that nominee.</w:t>
      </w:r>
    </w:p>
    <w:p>
      <w:pPr>
        <w:spacing w:after="0" w:line="25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Recommendation of the Board of Directors</w:t>
      </w:r>
    </w:p>
    <w:p>
      <w:pPr>
        <w:spacing w:after="0" w:line="217" w:lineRule="exact"/>
        <w:rPr>
          <w:sz w:val="20"/>
          <w:szCs w:val="20"/>
          <w:color w:val="auto"/>
        </w:rPr>
      </w:pPr>
    </w:p>
    <w:p>
      <w:pPr>
        <w:ind w:left="340" w:right="300"/>
        <w:spacing w:after="0" w:line="286" w:lineRule="auto"/>
        <w:rPr>
          <w:sz w:val="20"/>
          <w:szCs w:val="20"/>
          <w:color w:val="auto"/>
        </w:rPr>
      </w:pPr>
      <w:r>
        <w:rPr>
          <w:rFonts w:ascii="Arial" w:cs="Arial" w:eastAsia="Arial" w:hAnsi="Arial"/>
          <w:sz w:val="16"/>
          <w:szCs w:val="16"/>
          <w:color w:val="auto"/>
        </w:rPr>
        <w:t>THE BOARD OF DIRECTORS RECOMMENDS THAT THE STOCKHOLDERS VOTE “</w:t>
      </w:r>
      <w:r>
        <w:rPr>
          <w:rFonts w:ascii="Arial" w:cs="Arial" w:eastAsia="Arial" w:hAnsi="Arial"/>
          <w:sz w:val="16"/>
          <w:szCs w:val="16"/>
          <w:b w:val="1"/>
          <w:bCs w:val="1"/>
          <w:color w:val="04568A"/>
        </w:rPr>
        <w:t>FOR</w:t>
      </w:r>
      <w:r>
        <w:rPr>
          <w:rFonts w:ascii="Arial" w:cs="Arial" w:eastAsia="Arial" w:hAnsi="Arial"/>
          <w:sz w:val="16"/>
          <w:szCs w:val="16"/>
          <w:color w:val="auto"/>
        </w:rPr>
        <w:t>” EACH OF THE BOARD OF DIRECTORS’ NOMINEES SET FORTH IN PROPOSAL NO.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-266065</wp:posOffset>
            </wp:positionV>
            <wp:extent cx="171450" cy="1631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71450" cy="163195"/>
                    </a:xfrm>
                    <a:prstGeom prst="rect">
                      <a:avLst/>
                    </a:prstGeom>
                    <a:noFill/>
                  </pic:spPr>
                </pic:pic>
              </a:graphicData>
            </a:graphic>
          </wp:anchor>
        </w:drawing>
      </w:r>
    </w:p>
    <w:p>
      <w:pPr>
        <w:spacing w:after="0" w:line="109"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25</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26" w:name="page27"/>
    <w:bookmarkEnd w:id="26"/>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Our </w:t>
      </w:r>
      <w:r>
        <w:rPr>
          <w:rFonts w:ascii="Arial" w:cs="Arial" w:eastAsia="Arial" w:hAnsi="Arial"/>
          <w:sz w:val="47"/>
          <w:szCs w:val="47"/>
          <w:b w:val="1"/>
          <w:bCs w:val="1"/>
          <w:color w:val="000000"/>
        </w:rPr>
        <w:t>Management</w:t>
      </w: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Executive Officers and Directors</w:t>
      </w:r>
    </w:p>
    <w:p>
      <w:pPr>
        <w:spacing w:after="0" w:line="29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Our executive officers and directors, their positions and their ages as of March 11, 2022, are as set forth in the table below. Each of our directors holds office until the next annual meeting of our stockholders or until his or her successor has been elected and qualified. Our executive officers serve at the discretion of the Board of Directors.</w:t>
      </w:r>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92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Name</w:t>
            </w:r>
          </w:p>
        </w:tc>
        <w:tc>
          <w:tcPr>
            <w:tcW w:w="840" w:type="dxa"/>
            <w:vAlign w:val="bottom"/>
            <w:tcBorders>
              <w:bottom w:val="single" w:sz="8" w:color="04568A"/>
            </w:tcBorders>
          </w:tcPr>
          <w:p>
            <w:pPr>
              <w:ind w:left="340"/>
              <w:spacing w:after="0"/>
              <w:rPr>
                <w:sz w:val="20"/>
                <w:szCs w:val="20"/>
                <w:color w:val="auto"/>
              </w:rPr>
            </w:pPr>
            <w:r>
              <w:rPr>
                <w:rFonts w:ascii="Arial" w:cs="Arial" w:eastAsia="Arial" w:hAnsi="Arial"/>
                <w:sz w:val="16"/>
                <w:szCs w:val="16"/>
                <w:b w:val="1"/>
                <w:bCs w:val="1"/>
                <w:color w:val="04568A"/>
              </w:rPr>
              <w:t>Age</w:t>
            </w:r>
          </w:p>
        </w:tc>
        <w:tc>
          <w:tcPr>
            <w:tcW w:w="8480" w:type="dxa"/>
            <w:vAlign w:val="bottom"/>
            <w:tcBorders>
              <w:bottom w:val="single" w:sz="8" w:color="04568A"/>
            </w:tcBorders>
          </w:tcPr>
          <w:p>
            <w:pPr>
              <w:ind w:left="180"/>
              <w:spacing w:after="0"/>
              <w:rPr>
                <w:sz w:val="20"/>
                <w:szCs w:val="20"/>
                <w:color w:val="auto"/>
              </w:rPr>
            </w:pPr>
            <w:r>
              <w:rPr>
                <w:rFonts w:ascii="Arial" w:cs="Arial" w:eastAsia="Arial" w:hAnsi="Arial"/>
                <w:sz w:val="16"/>
                <w:szCs w:val="16"/>
                <w:b w:val="1"/>
                <w:bCs w:val="1"/>
                <w:color w:val="04568A"/>
              </w:rPr>
              <w:t>Position</w:t>
            </w:r>
          </w:p>
        </w:tc>
      </w:tr>
      <w:tr>
        <w:trPr>
          <w:trHeight w:val="183"/>
        </w:trPr>
        <w:tc>
          <w:tcPr>
            <w:tcW w:w="1920" w:type="dxa"/>
            <w:vAlign w:val="bottom"/>
          </w:tcPr>
          <w:p>
            <w:pPr>
              <w:ind w:left="60"/>
              <w:spacing w:after="0" w:line="183" w:lineRule="exact"/>
              <w:rPr>
                <w:sz w:val="20"/>
                <w:szCs w:val="20"/>
                <w:color w:val="auto"/>
              </w:rPr>
            </w:pPr>
            <w:r>
              <w:rPr>
                <w:rFonts w:ascii="Arial" w:cs="Arial" w:eastAsia="Arial" w:hAnsi="Arial"/>
                <w:sz w:val="16"/>
                <w:szCs w:val="16"/>
                <w:color w:val="auto"/>
              </w:rPr>
              <w:t>Chintu Patel</w:t>
            </w:r>
          </w:p>
        </w:tc>
        <w:tc>
          <w:tcPr>
            <w:tcW w:w="840" w:type="dxa"/>
            <w:vAlign w:val="bottom"/>
          </w:tcPr>
          <w:p>
            <w:pPr>
              <w:ind w:left="340"/>
              <w:spacing w:after="0" w:line="183" w:lineRule="exact"/>
              <w:rPr>
                <w:sz w:val="20"/>
                <w:szCs w:val="20"/>
                <w:color w:val="auto"/>
              </w:rPr>
            </w:pPr>
            <w:r>
              <w:rPr>
                <w:rFonts w:ascii="Arial" w:cs="Arial" w:eastAsia="Arial" w:hAnsi="Arial"/>
                <w:sz w:val="16"/>
                <w:szCs w:val="16"/>
                <w:color w:val="auto"/>
              </w:rPr>
              <w:t>50</w:t>
            </w:r>
          </w:p>
        </w:tc>
        <w:tc>
          <w:tcPr>
            <w:tcW w:w="8480" w:type="dxa"/>
            <w:vAlign w:val="bottom"/>
          </w:tcPr>
          <w:p>
            <w:pPr>
              <w:ind w:left="180"/>
              <w:spacing w:after="0" w:line="183" w:lineRule="exact"/>
              <w:rPr>
                <w:sz w:val="20"/>
                <w:szCs w:val="20"/>
                <w:color w:val="auto"/>
              </w:rPr>
            </w:pPr>
            <w:r>
              <w:rPr>
                <w:rFonts w:ascii="Arial" w:cs="Arial" w:eastAsia="Arial" w:hAnsi="Arial"/>
                <w:sz w:val="16"/>
                <w:szCs w:val="16"/>
                <w:color w:val="auto"/>
              </w:rPr>
              <w:t>Co-Chief Executive Officer, Director</w:t>
            </w:r>
          </w:p>
        </w:tc>
      </w:tr>
      <w:tr>
        <w:trPr>
          <w:trHeight w:val="189"/>
        </w:trPr>
        <w:tc>
          <w:tcPr>
            <w:tcW w:w="1920" w:type="dxa"/>
            <w:vAlign w:val="bottom"/>
            <w:shd w:val="clear" w:color="auto" w:fill="E4E9F2"/>
          </w:tcPr>
          <w:p>
            <w:pPr>
              <w:ind w:left="60"/>
              <w:spacing w:after="0"/>
              <w:rPr>
                <w:sz w:val="20"/>
                <w:szCs w:val="20"/>
                <w:color w:val="auto"/>
              </w:rPr>
            </w:pPr>
            <w:r>
              <w:rPr>
                <w:rFonts w:ascii="Arial" w:cs="Arial" w:eastAsia="Arial" w:hAnsi="Arial"/>
                <w:sz w:val="16"/>
                <w:szCs w:val="16"/>
                <w:color w:val="auto"/>
              </w:rPr>
              <w:t>Chirag Patel</w:t>
            </w:r>
          </w:p>
        </w:tc>
        <w:tc>
          <w:tcPr>
            <w:tcW w:w="840" w:type="dxa"/>
            <w:vAlign w:val="bottom"/>
            <w:shd w:val="clear" w:color="auto" w:fill="E4E9F2"/>
          </w:tcPr>
          <w:p>
            <w:pPr>
              <w:ind w:left="340"/>
              <w:spacing w:after="0"/>
              <w:rPr>
                <w:sz w:val="20"/>
                <w:szCs w:val="20"/>
                <w:color w:val="auto"/>
              </w:rPr>
            </w:pPr>
            <w:r>
              <w:rPr>
                <w:rFonts w:ascii="Arial" w:cs="Arial" w:eastAsia="Arial" w:hAnsi="Arial"/>
                <w:sz w:val="16"/>
                <w:szCs w:val="16"/>
                <w:color w:val="auto"/>
              </w:rPr>
              <w:t>55</w:t>
            </w:r>
          </w:p>
        </w:tc>
        <w:tc>
          <w:tcPr>
            <w:tcW w:w="8480" w:type="dxa"/>
            <w:vAlign w:val="bottom"/>
            <w:shd w:val="clear" w:color="auto" w:fill="E4E9F2"/>
          </w:tcPr>
          <w:p>
            <w:pPr>
              <w:ind w:left="180"/>
              <w:spacing w:after="0"/>
              <w:rPr>
                <w:sz w:val="20"/>
                <w:szCs w:val="20"/>
                <w:color w:val="auto"/>
              </w:rPr>
            </w:pPr>
            <w:r>
              <w:rPr>
                <w:rFonts w:ascii="Arial" w:cs="Arial" w:eastAsia="Arial" w:hAnsi="Arial"/>
                <w:sz w:val="16"/>
                <w:szCs w:val="16"/>
                <w:color w:val="auto"/>
              </w:rPr>
              <w:t>Co-Chief Executive Officer and President, Director</w:t>
            </w:r>
          </w:p>
        </w:tc>
      </w:tr>
      <w:tr>
        <w:trPr>
          <w:trHeight w:val="189"/>
        </w:trPr>
        <w:tc>
          <w:tcPr>
            <w:tcW w:w="1920" w:type="dxa"/>
            <w:vAlign w:val="bottom"/>
          </w:tcPr>
          <w:p>
            <w:pPr>
              <w:ind w:left="60"/>
              <w:spacing w:after="0"/>
              <w:rPr>
                <w:sz w:val="20"/>
                <w:szCs w:val="20"/>
                <w:color w:val="auto"/>
              </w:rPr>
            </w:pPr>
            <w:r>
              <w:rPr>
                <w:rFonts w:ascii="Arial" w:cs="Arial" w:eastAsia="Arial" w:hAnsi="Arial"/>
                <w:sz w:val="16"/>
                <w:szCs w:val="16"/>
                <w:color w:val="auto"/>
              </w:rPr>
              <w:t>Andrew Boyer</w:t>
            </w:r>
          </w:p>
        </w:tc>
        <w:tc>
          <w:tcPr>
            <w:tcW w:w="840" w:type="dxa"/>
            <w:vAlign w:val="bottom"/>
          </w:tcPr>
          <w:p>
            <w:pPr>
              <w:ind w:left="340"/>
              <w:spacing w:after="0"/>
              <w:rPr>
                <w:sz w:val="20"/>
                <w:szCs w:val="20"/>
                <w:color w:val="auto"/>
              </w:rPr>
            </w:pPr>
            <w:r>
              <w:rPr>
                <w:rFonts w:ascii="Arial" w:cs="Arial" w:eastAsia="Arial" w:hAnsi="Arial"/>
                <w:sz w:val="16"/>
                <w:szCs w:val="16"/>
                <w:color w:val="auto"/>
              </w:rPr>
              <w:t>56</w:t>
            </w:r>
          </w:p>
        </w:tc>
        <w:tc>
          <w:tcPr>
            <w:tcW w:w="8480" w:type="dxa"/>
            <w:vAlign w:val="bottom"/>
          </w:tcPr>
          <w:p>
            <w:pPr>
              <w:ind w:left="180"/>
              <w:spacing w:after="0"/>
              <w:rPr>
                <w:sz w:val="20"/>
                <w:szCs w:val="20"/>
                <w:color w:val="auto"/>
              </w:rPr>
            </w:pPr>
            <w:r>
              <w:rPr>
                <w:rFonts w:ascii="Arial" w:cs="Arial" w:eastAsia="Arial" w:hAnsi="Arial"/>
                <w:sz w:val="16"/>
                <w:szCs w:val="16"/>
                <w:color w:val="auto"/>
              </w:rPr>
              <w:t>Executive Vice President, Chief Commercial Officer-Generics</w:t>
            </w:r>
          </w:p>
        </w:tc>
      </w:tr>
      <w:tr>
        <w:trPr>
          <w:trHeight w:val="189"/>
        </w:trPr>
        <w:tc>
          <w:tcPr>
            <w:tcW w:w="1920" w:type="dxa"/>
            <w:vAlign w:val="bottom"/>
            <w:shd w:val="clear" w:color="auto" w:fill="E4E9F2"/>
          </w:tcPr>
          <w:p>
            <w:pPr>
              <w:ind w:left="60"/>
              <w:spacing w:after="0"/>
              <w:rPr>
                <w:sz w:val="20"/>
                <w:szCs w:val="20"/>
                <w:color w:val="auto"/>
              </w:rPr>
            </w:pPr>
            <w:r>
              <w:rPr>
                <w:rFonts w:ascii="Arial" w:cs="Arial" w:eastAsia="Arial" w:hAnsi="Arial"/>
                <w:sz w:val="16"/>
                <w:szCs w:val="16"/>
                <w:color w:val="auto"/>
              </w:rPr>
              <w:t>Anastasios Konidaris</w:t>
            </w:r>
          </w:p>
        </w:tc>
        <w:tc>
          <w:tcPr>
            <w:tcW w:w="840" w:type="dxa"/>
            <w:vAlign w:val="bottom"/>
            <w:shd w:val="clear" w:color="auto" w:fill="E4E9F2"/>
          </w:tcPr>
          <w:p>
            <w:pPr>
              <w:ind w:left="340"/>
              <w:spacing w:after="0"/>
              <w:rPr>
                <w:sz w:val="20"/>
                <w:szCs w:val="20"/>
                <w:color w:val="auto"/>
              </w:rPr>
            </w:pPr>
            <w:r>
              <w:rPr>
                <w:rFonts w:ascii="Arial" w:cs="Arial" w:eastAsia="Arial" w:hAnsi="Arial"/>
                <w:sz w:val="16"/>
                <w:szCs w:val="16"/>
                <w:color w:val="auto"/>
              </w:rPr>
              <w:t>55</w:t>
            </w:r>
          </w:p>
        </w:tc>
        <w:tc>
          <w:tcPr>
            <w:tcW w:w="8480" w:type="dxa"/>
            <w:vAlign w:val="bottom"/>
            <w:shd w:val="clear" w:color="auto" w:fill="E4E9F2"/>
          </w:tcPr>
          <w:p>
            <w:pPr>
              <w:ind w:left="180"/>
              <w:spacing w:after="0"/>
              <w:rPr>
                <w:sz w:val="20"/>
                <w:szCs w:val="20"/>
                <w:color w:val="auto"/>
              </w:rPr>
            </w:pPr>
            <w:r>
              <w:rPr>
                <w:rFonts w:ascii="Arial" w:cs="Arial" w:eastAsia="Arial" w:hAnsi="Arial"/>
                <w:sz w:val="16"/>
                <w:szCs w:val="16"/>
                <w:color w:val="auto"/>
              </w:rPr>
              <w:t>Executive Vice President, Chief Financial Officer</w:t>
            </w:r>
          </w:p>
        </w:tc>
      </w:tr>
      <w:tr>
        <w:trPr>
          <w:trHeight w:val="189"/>
        </w:trPr>
        <w:tc>
          <w:tcPr>
            <w:tcW w:w="1920" w:type="dxa"/>
            <w:vAlign w:val="bottom"/>
          </w:tcPr>
          <w:p>
            <w:pPr>
              <w:ind w:left="60"/>
              <w:spacing w:after="0"/>
              <w:rPr>
                <w:sz w:val="20"/>
                <w:szCs w:val="20"/>
                <w:color w:val="auto"/>
              </w:rPr>
            </w:pPr>
            <w:r>
              <w:rPr>
                <w:rFonts w:ascii="Arial" w:cs="Arial" w:eastAsia="Arial" w:hAnsi="Arial"/>
                <w:sz w:val="16"/>
                <w:szCs w:val="16"/>
                <w:color w:val="auto"/>
              </w:rPr>
              <w:t>Jason B. Daly</w:t>
            </w:r>
          </w:p>
        </w:tc>
        <w:tc>
          <w:tcPr>
            <w:tcW w:w="840" w:type="dxa"/>
            <w:vAlign w:val="bottom"/>
          </w:tcPr>
          <w:p>
            <w:pPr>
              <w:ind w:left="340"/>
              <w:spacing w:after="0"/>
              <w:rPr>
                <w:sz w:val="20"/>
                <w:szCs w:val="20"/>
                <w:color w:val="auto"/>
              </w:rPr>
            </w:pPr>
            <w:r>
              <w:rPr>
                <w:rFonts w:ascii="Arial" w:cs="Arial" w:eastAsia="Arial" w:hAnsi="Arial"/>
                <w:sz w:val="16"/>
                <w:szCs w:val="16"/>
                <w:color w:val="auto"/>
              </w:rPr>
              <w:t>48</w:t>
            </w:r>
          </w:p>
        </w:tc>
        <w:tc>
          <w:tcPr>
            <w:tcW w:w="8480" w:type="dxa"/>
            <w:vAlign w:val="bottom"/>
          </w:tcPr>
          <w:p>
            <w:pPr>
              <w:ind w:left="180"/>
              <w:spacing w:after="0"/>
              <w:rPr>
                <w:sz w:val="20"/>
                <w:szCs w:val="20"/>
                <w:color w:val="auto"/>
              </w:rPr>
            </w:pPr>
            <w:r>
              <w:rPr>
                <w:rFonts w:ascii="Arial" w:cs="Arial" w:eastAsia="Arial" w:hAnsi="Arial"/>
                <w:sz w:val="16"/>
                <w:szCs w:val="16"/>
                <w:color w:val="auto"/>
              </w:rPr>
              <w:t>Senior Vice President, Chief Legal Officer and Corporate Secretary</w:t>
            </w:r>
          </w:p>
        </w:tc>
      </w:tr>
      <w:tr>
        <w:trPr>
          <w:trHeight w:val="189"/>
        </w:trPr>
        <w:tc>
          <w:tcPr>
            <w:tcW w:w="1920" w:type="dxa"/>
            <w:vAlign w:val="bottom"/>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840" w:type="dxa"/>
            <w:vAlign w:val="bottom"/>
            <w:shd w:val="clear" w:color="auto" w:fill="E4E9F2"/>
          </w:tcPr>
          <w:p>
            <w:pPr>
              <w:ind w:left="340"/>
              <w:spacing w:after="0"/>
              <w:rPr>
                <w:sz w:val="20"/>
                <w:szCs w:val="20"/>
                <w:color w:val="auto"/>
              </w:rPr>
            </w:pPr>
            <w:r>
              <w:rPr>
                <w:rFonts w:ascii="Arial" w:cs="Arial" w:eastAsia="Arial" w:hAnsi="Arial"/>
                <w:sz w:val="16"/>
                <w:szCs w:val="16"/>
                <w:color w:val="auto"/>
              </w:rPr>
              <w:t>44</w:t>
            </w:r>
          </w:p>
        </w:tc>
        <w:tc>
          <w:tcPr>
            <w:tcW w:w="8480" w:type="dxa"/>
            <w:vAlign w:val="bottom"/>
            <w:shd w:val="clear" w:color="auto" w:fill="E4E9F2"/>
          </w:tcPr>
          <w:p>
            <w:pPr>
              <w:ind w:left="180"/>
              <w:spacing w:after="0"/>
              <w:rPr>
                <w:sz w:val="20"/>
                <w:szCs w:val="20"/>
                <w:color w:val="auto"/>
              </w:rPr>
            </w:pPr>
            <w:r>
              <w:rPr>
                <w:rFonts w:ascii="Arial" w:cs="Arial" w:eastAsia="Arial" w:hAnsi="Arial"/>
                <w:sz w:val="16"/>
                <w:szCs w:val="16"/>
                <w:color w:val="auto"/>
              </w:rPr>
              <w:t>Executive Vice President, Chief Human Resources Officer &amp; Strategic Planning Officer</w:t>
            </w:r>
          </w:p>
        </w:tc>
      </w:tr>
      <w:tr>
        <w:trPr>
          <w:trHeight w:val="189"/>
        </w:trPr>
        <w:tc>
          <w:tcPr>
            <w:tcW w:w="1920" w:type="dxa"/>
            <w:vAlign w:val="bottom"/>
          </w:tcPr>
          <w:p>
            <w:pPr>
              <w:ind w:left="60"/>
              <w:spacing w:after="0"/>
              <w:rPr>
                <w:sz w:val="20"/>
                <w:szCs w:val="20"/>
                <w:color w:val="auto"/>
              </w:rPr>
            </w:pPr>
            <w:r>
              <w:rPr>
                <w:rFonts w:ascii="Arial" w:cs="Arial" w:eastAsia="Arial" w:hAnsi="Arial"/>
                <w:sz w:val="16"/>
                <w:szCs w:val="16"/>
                <w:color w:val="auto"/>
              </w:rPr>
              <w:t>Joseph Todisco</w:t>
            </w:r>
          </w:p>
        </w:tc>
        <w:tc>
          <w:tcPr>
            <w:tcW w:w="840" w:type="dxa"/>
            <w:vAlign w:val="bottom"/>
          </w:tcPr>
          <w:p>
            <w:pPr>
              <w:ind w:left="340"/>
              <w:spacing w:after="0"/>
              <w:rPr>
                <w:sz w:val="20"/>
                <w:szCs w:val="20"/>
                <w:color w:val="auto"/>
              </w:rPr>
            </w:pPr>
            <w:r>
              <w:rPr>
                <w:rFonts w:ascii="Arial" w:cs="Arial" w:eastAsia="Arial" w:hAnsi="Arial"/>
                <w:sz w:val="16"/>
                <w:szCs w:val="16"/>
                <w:color w:val="auto"/>
              </w:rPr>
              <w:t>46</w:t>
            </w:r>
          </w:p>
        </w:tc>
        <w:tc>
          <w:tcPr>
            <w:tcW w:w="8480" w:type="dxa"/>
            <w:vAlign w:val="bottom"/>
          </w:tcPr>
          <w:p>
            <w:pPr>
              <w:ind w:left="180"/>
              <w:spacing w:after="0"/>
              <w:rPr>
                <w:sz w:val="20"/>
                <w:szCs w:val="20"/>
                <w:color w:val="auto"/>
              </w:rPr>
            </w:pPr>
            <w:r>
              <w:rPr>
                <w:rFonts w:ascii="Arial" w:cs="Arial" w:eastAsia="Arial" w:hAnsi="Arial"/>
                <w:sz w:val="16"/>
                <w:szCs w:val="16"/>
                <w:color w:val="auto"/>
              </w:rPr>
              <w:t>Executive Vice President, Chief Commercial Officer-Specialty</w:t>
            </w:r>
          </w:p>
        </w:tc>
      </w:tr>
      <w:tr>
        <w:trPr>
          <w:trHeight w:val="189"/>
        </w:trPr>
        <w:tc>
          <w:tcPr>
            <w:tcW w:w="1920" w:type="dxa"/>
            <w:vAlign w:val="bottom"/>
            <w:shd w:val="clear" w:color="auto" w:fill="E4E9F2"/>
          </w:tcPr>
          <w:p>
            <w:pPr>
              <w:ind w:left="60"/>
              <w:spacing w:after="0"/>
              <w:rPr>
                <w:sz w:val="20"/>
                <w:szCs w:val="20"/>
                <w:color w:val="auto"/>
              </w:rPr>
            </w:pPr>
            <w:r>
              <w:rPr>
                <w:rFonts w:ascii="Arial" w:cs="Arial" w:eastAsia="Arial" w:hAnsi="Arial"/>
                <w:sz w:val="16"/>
                <w:szCs w:val="16"/>
                <w:color w:val="auto"/>
              </w:rPr>
              <w:t>Paul Meister</w:t>
            </w:r>
          </w:p>
        </w:tc>
        <w:tc>
          <w:tcPr>
            <w:tcW w:w="840" w:type="dxa"/>
            <w:vAlign w:val="bottom"/>
            <w:shd w:val="clear" w:color="auto" w:fill="E4E9F2"/>
          </w:tcPr>
          <w:p>
            <w:pPr>
              <w:ind w:left="340"/>
              <w:spacing w:after="0"/>
              <w:rPr>
                <w:sz w:val="20"/>
                <w:szCs w:val="20"/>
                <w:color w:val="auto"/>
              </w:rPr>
            </w:pPr>
            <w:r>
              <w:rPr>
                <w:rFonts w:ascii="Arial" w:cs="Arial" w:eastAsia="Arial" w:hAnsi="Arial"/>
                <w:sz w:val="16"/>
                <w:szCs w:val="16"/>
                <w:color w:val="auto"/>
              </w:rPr>
              <w:t>69</w:t>
            </w:r>
          </w:p>
        </w:tc>
        <w:tc>
          <w:tcPr>
            <w:tcW w:w="8480" w:type="dxa"/>
            <w:vAlign w:val="bottom"/>
            <w:shd w:val="clear" w:color="auto" w:fill="E4E9F2"/>
          </w:tcPr>
          <w:p>
            <w:pPr>
              <w:ind w:left="180"/>
              <w:spacing w:after="0"/>
              <w:rPr>
                <w:sz w:val="20"/>
                <w:szCs w:val="20"/>
                <w:color w:val="auto"/>
              </w:rPr>
            </w:pPr>
            <w:r>
              <w:rPr>
                <w:rFonts w:ascii="Arial" w:cs="Arial" w:eastAsia="Arial" w:hAnsi="Arial"/>
                <w:sz w:val="16"/>
                <w:szCs w:val="16"/>
                <w:color w:val="auto"/>
              </w:rPr>
              <w:t>Chairman of the Board of Directors</w:t>
            </w:r>
          </w:p>
        </w:tc>
      </w:tr>
      <w:tr>
        <w:trPr>
          <w:trHeight w:val="189"/>
        </w:trPr>
        <w:tc>
          <w:tcPr>
            <w:tcW w:w="1920" w:type="dxa"/>
            <w:vAlign w:val="bottom"/>
          </w:tcPr>
          <w:p>
            <w:pPr>
              <w:ind w:left="60"/>
              <w:spacing w:after="0"/>
              <w:rPr>
                <w:sz w:val="20"/>
                <w:szCs w:val="20"/>
                <w:color w:val="auto"/>
              </w:rPr>
            </w:pPr>
            <w:r>
              <w:rPr>
                <w:rFonts w:ascii="Arial" w:cs="Arial" w:eastAsia="Arial" w:hAnsi="Arial"/>
                <w:sz w:val="16"/>
                <w:szCs w:val="16"/>
                <w:color w:val="auto"/>
              </w:rPr>
              <w:t>Emily Peterson Alva</w:t>
            </w:r>
          </w:p>
        </w:tc>
        <w:tc>
          <w:tcPr>
            <w:tcW w:w="840" w:type="dxa"/>
            <w:vAlign w:val="bottom"/>
          </w:tcPr>
          <w:p>
            <w:pPr>
              <w:ind w:left="340"/>
              <w:spacing w:after="0"/>
              <w:rPr>
                <w:sz w:val="20"/>
                <w:szCs w:val="20"/>
                <w:color w:val="auto"/>
              </w:rPr>
            </w:pPr>
            <w:r>
              <w:rPr>
                <w:rFonts w:ascii="Arial" w:cs="Arial" w:eastAsia="Arial" w:hAnsi="Arial"/>
                <w:sz w:val="16"/>
                <w:szCs w:val="16"/>
                <w:color w:val="auto"/>
              </w:rPr>
              <w:t>47</w:t>
            </w:r>
          </w:p>
        </w:tc>
        <w:tc>
          <w:tcPr>
            <w:tcW w:w="8480" w:type="dxa"/>
            <w:vAlign w:val="bottom"/>
          </w:tcPr>
          <w:p>
            <w:pPr>
              <w:ind w:left="180"/>
              <w:spacing w:after="0"/>
              <w:rPr>
                <w:sz w:val="20"/>
                <w:szCs w:val="20"/>
                <w:color w:val="auto"/>
              </w:rPr>
            </w:pPr>
            <w:r>
              <w:rPr>
                <w:rFonts w:ascii="Arial" w:cs="Arial" w:eastAsia="Arial" w:hAnsi="Arial"/>
                <w:sz w:val="16"/>
                <w:szCs w:val="16"/>
                <w:color w:val="auto"/>
              </w:rPr>
              <w:t>Director</w:t>
            </w:r>
          </w:p>
        </w:tc>
      </w:tr>
      <w:tr>
        <w:trPr>
          <w:trHeight w:val="189"/>
        </w:trPr>
        <w:tc>
          <w:tcPr>
            <w:tcW w:w="1920" w:type="dxa"/>
            <w:vAlign w:val="bottom"/>
            <w:shd w:val="clear" w:color="auto" w:fill="E4E9F2"/>
          </w:tcPr>
          <w:p>
            <w:pPr>
              <w:ind w:left="60"/>
              <w:spacing w:after="0"/>
              <w:rPr>
                <w:sz w:val="20"/>
                <w:szCs w:val="20"/>
                <w:color w:val="auto"/>
              </w:rPr>
            </w:pPr>
            <w:r>
              <w:rPr>
                <w:rFonts w:ascii="Arial" w:cs="Arial" w:eastAsia="Arial" w:hAnsi="Arial"/>
                <w:sz w:val="16"/>
                <w:szCs w:val="16"/>
                <w:color w:val="auto"/>
              </w:rPr>
              <w:t>J. Kevin Buchi</w:t>
            </w:r>
          </w:p>
        </w:tc>
        <w:tc>
          <w:tcPr>
            <w:tcW w:w="840" w:type="dxa"/>
            <w:vAlign w:val="bottom"/>
            <w:shd w:val="clear" w:color="auto" w:fill="E4E9F2"/>
          </w:tcPr>
          <w:p>
            <w:pPr>
              <w:ind w:left="340"/>
              <w:spacing w:after="0"/>
              <w:rPr>
                <w:sz w:val="20"/>
                <w:szCs w:val="20"/>
                <w:color w:val="auto"/>
              </w:rPr>
            </w:pPr>
            <w:r>
              <w:rPr>
                <w:rFonts w:ascii="Arial" w:cs="Arial" w:eastAsia="Arial" w:hAnsi="Arial"/>
                <w:sz w:val="16"/>
                <w:szCs w:val="16"/>
                <w:color w:val="auto"/>
              </w:rPr>
              <w:t>66</w:t>
            </w:r>
          </w:p>
        </w:tc>
        <w:tc>
          <w:tcPr>
            <w:tcW w:w="8480" w:type="dxa"/>
            <w:vAlign w:val="bottom"/>
            <w:shd w:val="clear" w:color="auto" w:fill="E4E9F2"/>
          </w:tcPr>
          <w:p>
            <w:pPr>
              <w:ind w:left="180"/>
              <w:spacing w:after="0"/>
              <w:rPr>
                <w:sz w:val="20"/>
                <w:szCs w:val="20"/>
                <w:color w:val="auto"/>
              </w:rPr>
            </w:pPr>
            <w:r>
              <w:rPr>
                <w:rFonts w:ascii="Arial" w:cs="Arial" w:eastAsia="Arial" w:hAnsi="Arial"/>
                <w:sz w:val="16"/>
                <w:szCs w:val="16"/>
                <w:color w:val="auto"/>
              </w:rPr>
              <w:t>Director</w:t>
            </w:r>
          </w:p>
        </w:tc>
      </w:tr>
      <w:tr>
        <w:trPr>
          <w:trHeight w:val="189"/>
        </w:trPr>
        <w:tc>
          <w:tcPr>
            <w:tcW w:w="1920" w:type="dxa"/>
            <w:vAlign w:val="bottom"/>
          </w:tcPr>
          <w:p>
            <w:pPr>
              <w:ind w:left="60"/>
              <w:spacing w:after="0"/>
              <w:rPr>
                <w:sz w:val="20"/>
                <w:szCs w:val="20"/>
                <w:color w:val="auto"/>
              </w:rPr>
            </w:pPr>
            <w:r>
              <w:rPr>
                <w:rFonts w:ascii="Arial" w:cs="Arial" w:eastAsia="Arial" w:hAnsi="Arial"/>
                <w:sz w:val="16"/>
                <w:szCs w:val="16"/>
                <w:color w:val="auto"/>
              </w:rPr>
              <w:t>Jeff George</w:t>
            </w:r>
          </w:p>
        </w:tc>
        <w:tc>
          <w:tcPr>
            <w:tcW w:w="840" w:type="dxa"/>
            <w:vAlign w:val="bottom"/>
          </w:tcPr>
          <w:p>
            <w:pPr>
              <w:ind w:left="340"/>
              <w:spacing w:after="0"/>
              <w:rPr>
                <w:sz w:val="20"/>
                <w:szCs w:val="20"/>
                <w:color w:val="auto"/>
              </w:rPr>
            </w:pPr>
            <w:r>
              <w:rPr>
                <w:rFonts w:ascii="Arial" w:cs="Arial" w:eastAsia="Arial" w:hAnsi="Arial"/>
                <w:sz w:val="16"/>
                <w:szCs w:val="16"/>
                <w:color w:val="auto"/>
              </w:rPr>
              <w:t>48</w:t>
            </w:r>
          </w:p>
        </w:tc>
        <w:tc>
          <w:tcPr>
            <w:tcW w:w="8480" w:type="dxa"/>
            <w:vAlign w:val="bottom"/>
          </w:tcPr>
          <w:p>
            <w:pPr>
              <w:ind w:left="180"/>
              <w:spacing w:after="0"/>
              <w:rPr>
                <w:sz w:val="20"/>
                <w:szCs w:val="20"/>
                <w:color w:val="auto"/>
              </w:rPr>
            </w:pPr>
            <w:r>
              <w:rPr>
                <w:rFonts w:ascii="Arial" w:cs="Arial" w:eastAsia="Arial" w:hAnsi="Arial"/>
                <w:sz w:val="16"/>
                <w:szCs w:val="16"/>
                <w:color w:val="auto"/>
              </w:rPr>
              <w:t>Director</w:t>
            </w:r>
          </w:p>
        </w:tc>
      </w:tr>
      <w:tr>
        <w:trPr>
          <w:trHeight w:val="189"/>
        </w:trPr>
        <w:tc>
          <w:tcPr>
            <w:tcW w:w="1920" w:type="dxa"/>
            <w:vAlign w:val="bottom"/>
            <w:shd w:val="clear" w:color="auto" w:fill="E4E9F2"/>
          </w:tcPr>
          <w:p>
            <w:pPr>
              <w:ind w:left="60"/>
              <w:spacing w:after="0"/>
              <w:rPr>
                <w:sz w:val="20"/>
                <w:szCs w:val="20"/>
                <w:color w:val="auto"/>
              </w:rPr>
            </w:pPr>
            <w:r>
              <w:rPr>
                <w:rFonts w:ascii="Arial" w:cs="Arial" w:eastAsia="Arial" w:hAnsi="Arial"/>
                <w:sz w:val="16"/>
                <w:szCs w:val="16"/>
                <w:color w:val="auto"/>
              </w:rPr>
              <w:t>John Kiely</w:t>
            </w:r>
          </w:p>
        </w:tc>
        <w:tc>
          <w:tcPr>
            <w:tcW w:w="840" w:type="dxa"/>
            <w:vAlign w:val="bottom"/>
            <w:shd w:val="clear" w:color="auto" w:fill="E4E9F2"/>
          </w:tcPr>
          <w:p>
            <w:pPr>
              <w:ind w:left="340"/>
              <w:spacing w:after="0"/>
              <w:rPr>
                <w:sz w:val="20"/>
                <w:szCs w:val="20"/>
                <w:color w:val="auto"/>
              </w:rPr>
            </w:pPr>
            <w:r>
              <w:rPr>
                <w:rFonts w:ascii="Arial" w:cs="Arial" w:eastAsia="Arial" w:hAnsi="Arial"/>
                <w:sz w:val="16"/>
                <w:szCs w:val="16"/>
                <w:color w:val="auto"/>
              </w:rPr>
              <w:t>63</w:t>
            </w:r>
          </w:p>
        </w:tc>
        <w:tc>
          <w:tcPr>
            <w:tcW w:w="8480" w:type="dxa"/>
            <w:vAlign w:val="bottom"/>
            <w:shd w:val="clear" w:color="auto" w:fill="E4E9F2"/>
          </w:tcPr>
          <w:p>
            <w:pPr>
              <w:ind w:left="180"/>
              <w:spacing w:after="0"/>
              <w:rPr>
                <w:sz w:val="20"/>
                <w:szCs w:val="20"/>
                <w:color w:val="auto"/>
              </w:rPr>
            </w:pPr>
            <w:r>
              <w:rPr>
                <w:rFonts w:ascii="Arial" w:cs="Arial" w:eastAsia="Arial" w:hAnsi="Arial"/>
                <w:sz w:val="16"/>
                <w:szCs w:val="16"/>
                <w:color w:val="auto"/>
              </w:rPr>
              <w:t>Director</w:t>
            </w:r>
          </w:p>
        </w:tc>
      </w:tr>
      <w:tr>
        <w:trPr>
          <w:trHeight w:val="189"/>
        </w:trPr>
        <w:tc>
          <w:tcPr>
            <w:tcW w:w="1920" w:type="dxa"/>
            <w:vAlign w:val="bottom"/>
          </w:tcPr>
          <w:p>
            <w:pPr>
              <w:ind w:left="60"/>
              <w:spacing w:after="0"/>
              <w:rPr>
                <w:sz w:val="20"/>
                <w:szCs w:val="20"/>
                <w:color w:val="auto"/>
              </w:rPr>
            </w:pPr>
            <w:r>
              <w:rPr>
                <w:rFonts w:ascii="Arial" w:cs="Arial" w:eastAsia="Arial" w:hAnsi="Arial"/>
                <w:sz w:val="16"/>
                <w:szCs w:val="16"/>
                <w:color w:val="auto"/>
              </w:rPr>
              <w:t>Ted Nark</w:t>
            </w:r>
          </w:p>
        </w:tc>
        <w:tc>
          <w:tcPr>
            <w:tcW w:w="840" w:type="dxa"/>
            <w:vAlign w:val="bottom"/>
          </w:tcPr>
          <w:p>
            <w:pPr>
              <w:ind w:left="340"/>
              <w:spacing w:after="0"/>
              <w:rPr>
                <w:sz w:val="20"/>
                <w:szCs w:val="20"/>
                <w:color w:val="auto"/>
              </w:rPr>
            </w:pPr>
            <w:r>
              <w:rPr>
                <w:rFonts w:ascii="Arial" w:cs="Arial" w:eastAsia="Arial" w:hAnsi="Arial"/>
                <w:sz w:val="16"/>
                <w:szCs w:val="16"/>
                <w:color w:val="auto"/>
              </w:rPr>
              <w:t>63</w:t>
            </w:r>
          </w:p>
        </w:tc>
        <w:tc>
          <w:tcPr>
            <w:tcW w:w="8480" w:type="dxa"/>
            <w:vAlign w:val="bottom"/>
          </w:tcPr>
          <w:p>
            <w:pPr>
              <w:ind w:left="180"/>
              <w:spacing w:after="0"/>
              <w:rPr>
                <w:sz w:val="20"/>
                <w:szCs w:val="20"/>
                <w:color w:val="auto"/>
              </w:rPr>
            </w:pPr>
            <w:r>
              <w:rPr>
                <w:rFonts w:ascii="Arial" w:cs="Arial" w:eastAsia="Arial" w:hAnsi="Arial"/>
                <w:sz w:val="16"/>
                <w:szCs w:val="16"/>
                <w:color w:val="auto"/>
              </w:rPr>
              <w:t>Director</w:t>
            </w:r>
          </w:p>
        </w:tc>
      </w:tr>
      <w:tr>
        <w:trPr>
          <w:trHeight w:val="189"/>
        </w:trPr>
        <w:tc>
          <w:tcPr>
            <w:tcW w:w="1920" w:type="dxa"/>
            <w:vAlign w:val="bottom"/>
            <w:shd w:val="clear" w:color="auto" w:fill="E4E9F2"/>
          </w:tcPr>
          <w:p>
            <w:pPr>
              <w:ind w:left="60"/>
              <w:spacing w:after="0"/>
              <w:rPr>
                <w:sz w:val="20"/>
                <w:szCs w:val="20"/>
                <w:color w:val="auto"/>
              </w:rPr>
            </w:pPr>
            <w:r>
              <w:rPr>
                <w:rFonts w:ascii="Arial" w:cs="Arial" w:eastAsia="Arial" w:hAnsi="Arial"/>
                <w:sz w:val="16"/>
                <w:szCs w:val="16"/>
                <w:color w:val="auto"/>
              </w:rPr>
              <w:t>Gautam Patel</w:t>
            </w:r>
          </w:p>
        </w:tc>
        <w:tc>
          <w:tcPr>
            <w:tcW w:w="840" w:type="dxa"/>
            <w:vAlign w:val="bottom"/>
            <w:shd w:val="clear" w:color="auto" w:fill="E4E9F2"/>
          </w:tcPr>
          <w:p>
            <w:pPr>
              <w:ind w:left="340"/>
              <w:spacing w:after="0"/>
              <w:rPr>
                <w:sz w:val="20"/>
                <w:szCs w:val="20"/>
                <w:color w:val="auto"/>
              </w:rPr>
            </w:pPr>
            <w:r>
              <w:rPr>
                <w:rFonts w:ascii="Arial" w:cs="Arial" w:eastAsia="Arial" w:hAnsi="Arial"/>
                <w:sz w:val="16"/>
                <w:szCs w:val="16"/>
                <w:color w:val="auto"/>
              </w:rPr>
              <w:t>49</w:t>
            </w:r>
          </w:p>
        </w:tc>
        <w:tc>
          <w:tcPr>
            <w:tcW w:w="8480" w:type="dxa"/>
            <w:vAlign w:val="bottom"/>
            <w:shd w:val="clear" w:color="auto" w:fill="E4E9F2"/>
          </w:tcPr>
          <w:p>
            <w:pPr>
              <w:ind w:left="180"/>
              <w:spacing w:after="0"/>
              <w:rPr>
                <w:sz w:val="20"/>
                <w:szCs w:val="20"/>
                <w:color w:val="auto"/>
              </w:rPr>
            </w:pPr>
            <w:r>
              <w:rPr>
                <w:rFonts w:ascii="Arial" w:cs="Arial" w:eastAsia="Arial" w:hAnsi="Arial"/>
                <w:sz w:val="16"/>
                <w:szCs w:val="16"/>
                <w:color w:val="auto"/>
              </w:rPr>
              <w:t>Director</w:t>
            </w:r>
          </w:p>
        </w:tc>
      </w:tr>
      <w:tr>
        <w:trPr>
          <w:trHeight w:val="189"/>
        </w:trPr>
        <w:tc>
          <w:tcPr>
            <w:tcW w:w="1920" w:type="dxa"/>
            <w:vAlign w:val="bottom"/>
            <w:tcBorders>
              <w:bottom w:val="single" w:sz="8" w:color="04568A"/>
            </w:tcBorders>
          </w:tcPr>
          <w:p>
            <w:pPr>
              <w:ind w:left="60"/>
              <w:spacing w:after="0"/>
              <w:rPr>
                <w:sz w:val="20"/>
                <w:szCs w:val="20"/>
                <w:color w:val="auto"/>
              </w:rPr>
            </w:pPr>
            <w:r>
              <w:rPr>
                <w:rFonts w:ascii="Arial" w:cs="Arial" w:eastAsia="Arial" w:hAnsi="Arial"/>
                <w:sz w:val="16"/>
                <w:szCs w:val="16"/>
                <w:color w:val="auto"/>
              </w:rPr>
              <w:t>Shlomo Yanai</w:t>
            </w:r>
          </w:p>
        </w:tc>
        <w:tc>
          <w:tcPr>
            <w:tcW w:w="840" w:type="dxa"/>
            <w:vAlign w:val="bottom"/>
            <w:tcBorders>
              <w:bottom w:val="single" w:sz="8" w:color="04568A"/>
            </w:tcBorders>
          </w:tcPr>
          <w:p>
            <w:pPr>
              <w:ind w:left="340"/>
              <w:spacing w:after="0"/>
              <w:rPr>
                <w:sz w:val="20"/>
                <w:szCs w:val="20"/>
                <w:color w:val="auto"/>
              </w:rPr>
            </w:pPr>
            <w:r>
              <w:rPr>
                <w:rFonts w:ascii="Arial" w:cs="Arial" w:eastAsia="Arial" w:hAnsi="Arial"/>
                <w:sz w:val="16"/>
                <w:szCs w:val="16"/>
                <w:color w:val="auto"/>
              </w:rPr>
              <w:t>69</w:t>
            </w:r>
          </w:p>
        </w:tc>
        <w:tc>
          <w:tcPr>
            <w:tcW w:w="8480" w:type="dxa"/>
            <w:vAlign w:val="bottom"/>
            <w:tcBorders>
              <w:bottom w:val="single" w:sz="8" w:color="04568A"/>
            </w:tcBorders>
          </w:tcPr>
          <w:p>
            <w:pPr>
              <w:ind w:left="180"/>
              <w:spacing w:after="0"/>
              <w:rPr>
                <w:sz w:val="20"/>
                <w:szCs w:val="20"/>
                <w:color w:val="auto"/>
              </w:rPr>
            </w:pPr>
            <w:r>
              <w:rPr>
                <w:rFonts w:ascii="Arial" w:cs="Arial" w:eastAsia="Arial" w:hAnsi="Arial"/>
                <w:sz w:val="16"/>
                <w:szCs w:val="16"/>
                <w:color w:val="auto"/>
              </w:rPr>
              <w:t>Director</w:t>
            </w:r>
          </w:p>
        </w:tc>
      </w:tr>
    </w:tbl>
    <w:p>
      <w:pPr>
        <w:spacing w:after="0" w:line="191" w:lineRule="exact"/>
        <w:rPr>
          <w:sz w:val="20"/>
          <w:szCs w:val="20"/>
          <w:color w:val="auto"/>
        </w:rPr>
      </w:pPr>
    </w:p>
    <w:p>
      <w:pPr>
        <w:ind w:right="540"/>
        <w:spacing w:after="0" w:line="260" w:lineRule="auto"/>
        <w:rPr>
          <w:sz w:val="20"/>
          <w:szCs w:val="20"/>
          <w:color w:val="auto"/>
        </w:rPr>
      </w:pPr>
      <w:r>
        <w:rPr>
          <w:rFonts w:ascii="Arial" w:cs="Arial" w:eastAsia="Arial" w:hAnsi="Arial"/>
          <w:sz w:val="16"/>
          <w:szCs w:val="16"/>
          <w:color w:val="auto"/>
        </w:rPr>
        <w:t>For a description of the business experience of the above individuals who are director nominees standing for election, see “Proposal No. 1-Election of Directors.”</w:t>
      </w:r>
    </w:p>
    <w:p>
      <w:pPr>
        <w:spacing w:after="0" w:line="148"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27" w:name="page28"/>
    <w:bookmarkEnd w:id="27"/>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227965</wp:posOffset>
            </wp:positionH>
            <wp:positionV relativeFrom="paragraph">
              <wp:posOffset>120650</wp:posOffset>
            </wp:positionV>
            <wp:extent cx="6686550" cy="12515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686550" cy="1251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2140"/>
        <w:spacing w:after="0"/>
        <w:tabs>
          <w:tab w:leader="none" w:pos="7220" w:val="left"/>
        </w:tabs>
        <w:rPr>
          <w:sz w:val="20"/>
          <w:szCs w:val="20"/>
          <w:color w:val="auto"/>
        </w:rPr>
      </w:pPr>
      <w:r>
        <w:rPr>
          <w:rFonts w:ascii="Arial" w:cs="Arial" w:eastAsia="Arial" w:hAnsi="Arial"/>
          <w:sz w:val="18"/>
          <w:szCs w:val="18"/>
          <w:b w:val="1"/>
          <w:bCs w:val="1"/>
          <w:color w:val="04568A"/>
        </w:rPr>
        <w:t>ANDREW BOYER</w:t>
      </w:r>
      <w:r>
        <w:rPr>
          <w:sz w:val="20"/>
          <w:szCs w:val="20"/>
          <w:color w:val="auto"/>
        </w:rPr>
        <w:tab/>
      </w:r>
      <w:r>
        <w:rPr>
          <w:rFonts w:ascii="Arial" w:cs="Arial" w:eastAsia="Arial" w:hAnsi="Arial"/>
          <w:sz w:val="17"/>
          <w:szCs w:val="17"/>
          <w:b w:val="1"/>
          <w:bCs w:val="1"/>
          <w:color w:val="04568A"/>
        </w:rPr>
        <w:t>ANASTASIOS KONIDARIS</w:t>
      </w:r>
    </w:p>
    <w:p>
      <w:pPr>
        <w:spacing w:after="0" w:line="203" w:lineRule="exact"/>
        <w:rPr>
          <w:sz w:val="20"/>
          <w:szCs w:val="20"/>
          <w:color w:val="auto"/>
        </w:rPr>
      </w:pPr>
    </w:p>
    <w:p>
      <w:pPr>
        <w:ind w:left="540"/>
        <w:spacing w:after="0"/>
        <w:tabs>
          <w:tab w:leader="none" w:pos="6480" w:val="left"/>
        </w:tabs>
        <w:rPr>
          <w:sz w:val="20"/>
          <w:szCs w:val="20"/>
          <w:color w:val="auto"/>
        </w:rPr>
      </w:pPr>
      <w:r>
        <w:rPr>
          <w:rFonts w:ascii="Arial" w:cs="Arial" w:eastAsia="Arial" w:hAnsi="Arial"/>
          <w:sz w:val="16"/>
          <w:szCs w:val="16"/>
          <w:b w:val="1"/>
          <w:bCs w:val="1"/>
          <w:color w:val="auto"/>
        </w:rPr>
        <w:t>Executive Vice President, Chief Commercial Officer-Generics</w:t>
      </w:r>
      <w:r>
        <w:rPr>
          <w:sz w:val="20"/>
          <w:szCs w:val="20"/>
          <w:color w:val="auto"/>
        </w:rPr>
        <w:tab/>
      </w:r>
      <w:r>
        <w:rPr>
          <w:rFonts w:ascii="Arial" w:cs="Arial" w:eastAsia="Arial" w:hAnsi="Arial"/>
          <w:sz w:val="16"/>
          <w:szCs w:val="16"/>
          <w:b w:val="1"/>
          <w:bCs w:val="1"/>
          <w:color w:val="auto"/>
        </w:rPr>
        <w:t>Executive Vice President, Chief Financial Officer</w:t>
      </w:r>
    </w:p>
    <w:p>
      <w:pPr>
        <w:sectPr>
          <w:pgSz w:w="11900" w:h="16838" w:orient="portrait"/>
          <w:cols w:equalWidth="0" w:num="1">
            <w:col w:w="11240"/>
          </w:cols>
          <w:pgMar w:left="320" w:top="234" w:right="339" w:bottom="1440" w:gutter="0" w:footer="0" w:header="0"/>
        </w:sectPr>
      </w:pPr>
    </w:p>
    <w:p>
      <w:pPr>
        <w:spacing w:after="0" w:line="187" w:lineRule="exact"/>
        <w:rPr>
          <w:sz w:val="20"/>
          <w:szCs w:val="20"/>
          <w:color w:val="auto"/>
        </w:rPr>
      </w:pPr>
    </w:p>
    <w:p>
      <w:pPr>
        <w:jc w:val="both"/>
        <w:ind w:left="360"/>
        <w:spacing w:after="0" w:line="247" w:lineRule="auto"/>
        <w:rPr>
          <w:sz w:val="20"/>
          <w:szCs w:val="20"/>
          <w:color w:val="auto"/>
        </w:rPr>
      </w:pPr>
      <w:r>
        <w:rPr>
          <w:rFonts w:ascii="Arial" w:cs="Arial" w:eastAsia="Arial" w:hAnsi="Arial"/>
          <w:sz w:val="16"/>
          <w:szCs w:val="16"/>
          <w:color w:val="auto"/>
        </w:rPr>
        <w:t>Andrew Boyer has served as our Executive Vice President, Chief Commercial Officer – Generics since August 2020. Prior to that, he served as our Senior Vice President, Commercial Operations since the Combination, and from February 2018, to the completion of the Combination, as Executive Vice President, Commercial Operations of Amneal. Prior to joining Amneal, Mr. Boyer served as President &amp; CEO of North America Generics, Teva Pharmaceutical Industries Ltd., a multinational pharmaceuticals company, from August 2016 to February 2018. Before that, Mr. Boyer was Senior Vice President of Sales and Marketing for the U.S. Generics Division at Allergan, a global pharmaceutical company, from September 2006 to August 2016. Mr. Boyer joined Allergan (then known as Watson Pharmaceuticals) in 1998 as Associate Director of Marketing in Generics. Before joining Allergan, Mr. Boyer served as National Accounts Manager for Lederle/American Cyanamid as well as Marketing Manager for Barr Laboratories. Mr. Boyer received his degree in Business Administration and Management from State University of New York at Albany.</w:t>
      </w:r>
    </w:p>
    <w:p>
      <w:pPr>
        <w:spacing w:after="0" w:line="20" w:lineRule="exact"/>
        <w:rPr>
          <w:sz w:val="20"/>
          <w:szCs w:val="20"/>
          <w:color w:val="auto"/>
        </w:rPr>
      </w:pPr>
      <w:r>
        <w:rPr>
          <w:sz w:val="20"/>
          <w:szCs w:val="20"/>
          <w:color w:val="auto"/>
        </w:rPr>
        <w:br w:type="column"/>
      </w:r>
    </w:p>
    <w:p>
      <w:pPr>
        <w:spacing w:after="0" w:line="167" w:lineRule="exact"/>
        <w:rPr>
          <w:sz w:val="20"/>
          <w:szCs w:val="20"/>
          <w:color w:val="auto"/>
        </w:rPr>
      </w:pPr>
    </w:p>
    <w:p>
      <w:pPr>
        <w:jc w:val="both"/>
        <w:ind w:right="360"/>
        <w:spacing w:after="0" w:line="247" w:lineRule="auto"/>
        <w:rPr>
          <w:sz w:val="20"/>
          <w:szCs w:val="20"/>
          <w:color w:val="auto"/>
        </w:rPr>
      </w:pPr>
      <w:r>
        <w:rPr>
          <w:rFonts w:ascii="Arial" w:cs="Arial" w:eastAsia="Arial" w:hAnsi="Arial"/>
          <w:sz w:val="16"/>
          <w:szCs w:val="16"/>
          <w:color w:val="auto"/>
        </w:rPr>
        <w:t>Anastasios Konidaris has served as our Executive Vice President and Chief Financial Officer since August 2020. Prior to that, he was Senior Vice President and Chief Financial Officer since March, 2020. Mr. Konidaris previously served as Executive Vice President and Chief Financial Officer of Alcresta Pharmaceuticals, a specialty pharmaceutical company, since March 2016. Prior to joining Alcresta, Mr. Konidaris served as Senior Vice President and Chief Financial Officer of Ikaria, a biotherapeutics company, from October 2011 to May 2015. From 2007 to May 2015, Mr. Konidaris served as Senior Vice President and Chief Financial Officer at Dun &amp; Bradstreet Corporation, a leading commercial information services company, where he also served as Principal Accounting Officer and led the Global Finance Operations from 2005 to 2007. Earlier in his career, Mr. Konidaris held senior financial and operational positions of increasing responsibility at Schering-Plough, Pharmacia, Rhone-Poulenc Rorer, Novartis, and Bristol-Myers Squibb. Since 2015, Mr. Konidaris has served as a director and chairman of the audit committee of Zep, Inc. He previously served as chairman of Kadmon Holdings, director of Pernix Therapeutics and Delcath Systems. Mr. Konidaris received an MBA from Drexel University and a B.S. from Gwynedd Mercy College.</w:t>
      </w:r>
    </w:p>
    <w:p>
      <w:pPr>
        <w:spacing w:after="0" w:line="200" w:lineRule="exact"/>
        <w:rPr>
          <w:sz w:val="20"/>
          <w:szCs w:val="20"/>
          <w:color w:val="auto"/>
        </w:rPr>
      </w:pPr>
    </w:p>
    <w:p>
      <w:pPr>
        <w:sectPr>
          <w:pgSz w:w="11900" w:h="16838" w:orient="portrait"/>
          <w:cols w:equalWidth="0" w:num="2">
            <w:col w:w="5420" w:space="420"/>
            <w:col w:w="5400"/>
          </w:cols>
          <w:pgMar w:left="320" w:top="234" w:right="339" w:bottom="1440" w:gutter="0" w:footer="0" w:header="0"/>
          <w:type w:val="continuous"/>
        </w:sectPr>
      </w:pPr>
    </w:p>
    <w:p>
      <w:pPr>
        <w:spacing w:after="0" w:line="151"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27</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type w:val="continuous"/>
        </w:sectPr>
      </w:pPr>
    </w:p>
    <w:bookmarkStart w:id="28" w:name="page29"/>
    <w:bookmarkEnd w:id="28"/>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227965</wp:posOffset>
            </wp:positionH>
            <wp:positionV relativeFrom="paragraph">
              <wp:posOffset>120650</wp:posOffset>
            </wp:positionV>
            <wp:extent cx="6686550" cy="12604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6686550" cy="12604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tbl>
      <w:tblPr>
        <w:tblLayout w:type="fixed"/>
        <w:tblInd w:w="720" w:type="dxa"/>
        <w:tblCellMar>
          <w:top w:w="0" w:type="dxa"/>
          <w:left w:w="0" w:type="dxa"/>
          <w:bottom w:w="0" w:type="dxa"/>
          <w:right w:w="0" w:type="dxa"/>
        </w:tblCellMar>
      </w:tblPr>
      <w:tr>
        <w:trPr>
          <w:trHeight w:val="239"/>
        </w:trPr>
        <w:tc>
          <w:tcPr>
            <w:tcW w:w="4840" w:type="dxa"/>
            <w:vAlign w:val="bottom"/>
          </w:tcPr>
          <w:p>
            <w:pPr>
              <w:jc w:val="center"/>
              <w:ind w:right="416"/>
              <w:spacing w:after="0"/>
              <w:rPr>
                <w:sz w:val="20"/>
                <w:szCs w:val="20"/>
                <w:color w:val="auto"/>
              </w:rPr>
            </w:pPr>
            <w:r>
              <w:rPr>
                <w:rFonts w:ascii="Arial" w:cs="Arial" w:eastAsia="Arial" w:hAnsi="Arial"/>
                <w:sz w:val="18"/>
                <w:szCs w:val="18"/>
                <w:b w:val="1"/>
                <w:bCs w:val="1"/>
                <w:color w:val="04568A"/>
                <w:w w:val="99"/>
              </w:rPr>
              <w:t>JASON B. DALY</w:t>
            </w:r>
          </w:p>
        </w:tc>
        <w:tc>
          <w:tcPr>
            <w:tcW w:w="5100" w:type="dxa"/>
            <w:vAlign w:val="bottom"/>
          </w:tcPr>
          <w:p>
            <w:pPr>
              <w:jc w:val="center"/>
              <w:ind w:left="416"/>
              <w:spacing w:after="0"/>
              <w:rPr>
                <w:sz w:val="20"/>
                <w:szCs w:val="20"/>
                <w:color w:val="auto"/>
              </w:rPr>
            </w:pPr>
            <w:r>
              <w:rPr>
                <w:rFonts w:ascii="Arial" w:cs="Arial" w:eastAsia="Arial" w:hAnsi="Arial"/>
                <w:sz w:val="18"/>
                <w:szCs w:val="18"/>
                <w:b w:val="1"/>
                <w:bCs w:val="1"/>
                <w:color w:val="04568A"/>
                <w:w w:val="99"/>
              </w:rPr>
              <w:t>NIKITA SHAH</w:t>
            </w:r>
          </w:p>
        </w:tc>
      </w:tr>
      <w:tr>
        <w:trPr>
          <w:trHeight w:val="360"/>
        </w:trPr>
        <w:tc>
          <w:tcPr>
            <w:tcW w:w="4840" w:type="dxa"/>
            <w:vAlign w:val="bottom"/>
          </w:tcPr>
          <w:p>
            <w:pPr>
              <w:jc w:val="center"/>
              <w:ind w:right="416"/>
              <w:spacing w:after="0"/>
              <w:rPr>
                <w:sz w:val="20"/>
                <w:szCs w:val="20"/>
                <w:color w:val="auto"/>
              </w:rPr>
            </w:pPr>
            <w:r>
              <w:rPr>
                <w:rFonts w:ascii="Arial" w:cs="Arial" w:eastAsia="Arial" w:hAnsi="Arial"/>
                <w:sz w:val="16"/>
                <w:szCs w:val="16"/>
                <w:b w:val="1"/>
                <w:bCs w:val="1"/>
                <w:color w:val="auto"/>
              </w:rPr>
              <w:t>Senior Vice President, Chief Legal Officer and Corporate</w:t>
            </w:r>
          </w:p>
        </w:tc>
        <w:tc>
          <w:tcPr>
            <w:tcW w:w="5100" w:type="dxa"/>
            <w:vAlign w:val="bottom"/>
          </w:tcPr>
          <w:p>
            <w:pPr>
              <w:jc w:val="center"/>
              <w:ind w:left="416"/>
              <w:spacing w:after="0"/>
              <w:rPr>
                <w:sz w:val="20"/>
                <w:szCs w:val="20"/>
                <w:color w:val="auto"/>
              </w:rPr>
            </w:pPr>
            <w:r>
              <w:rPr>
                <w:rFonts w:ascii="Arial" w:cs="Arial" w:eastAsia="Arial" w:hAnsi="Arial"/>
                <w:sz w:val="16"/>
                <w:szCs w:val="16"/>
                <w:b w:val="1"/>
                <w:bCs w:val="1"/>
                <w:color w:val="auto"/>
              </w:rPr>
              <w:t>Executive Vice President, Chief Human Resources Officer &amp;</w:t>
            </w:r>
          </w:p>
        </w:tc>
      </w:tr>
      <w:tr>
        <w:trPr>
          <w:trHeight w:val="215"/>
        </w:trPr>
        <w:tc>
          <w:tcPr>
            <w:tcW w:w="4840" w:type="dxa"/>
            <w:vAlign w:val="bottom"/>
          </w:tcPr>
          <w:p>
            <w:pPr>
              <w:jc w:val="center"/>
              <w:ind w:right="416"/>
              <w:spacing w:after="0"/>
              <w:rPr>
                <w:sz w:val="20"/>
                <w:szCs w:val="20"/>
                <w:color w:val="auto"/>
              </w:rPr>
            </w:pPr>
            <w:r>
              <w:rPr>
                <w:rFonts w:ascii="Arial" w:cs="Arial" w:eastAsia="Arial" w:hAnsi="Arial"/>
                <w:sz w:val="16"/>
                <w:szCs w:val="16"/>
                <w:b w:val="1"/>
                <w:bCs w:val="1"/>
                <w:color w:val="auto"/>
              </w:rPr>
              <w:t>Secretary</w:t>
            </w:r>
          </w:p>
        </w:tc>
        <w:tc>
          <w:tcPr>
            <w:tcW w:w="5100" w:type="dxa"/>
            <w:vAlign w:val="bottom"/>
          </w:tcPr>
          <w:p>
            <w:pPr>
              <w:jc w:val="center"/>
              <w:ind w:left="416"/>
              <w:spacing w:after="0"/>
              <w:rPr>
                <w:sz w:val="20"/>
                <w:szCs w:val="20"/>
                <w:color w:val="auto"/>
              </w:rPr>
            </w:pPr>
            <w:r>
              <w:rPr>
                <w:rFonts w:ascii="Arial" w:cs="Arial" w:eastAsia="Arial" w:hAnsi="Arial"/>
                <w:sz w:val="16"/>
                <w:szCs w:val="16"/>
                <w:b w:val="1"/>
                <w:bCs w:val="1"/>
                <w:color w:val="auto"/>
              </w:rPr>
              <w:t>Strategic Planning Officer</w:t>
            </w:r>
          </w:p>
        </w:tc>
      </w:tr>
    </w:tbl>
    <w:p>
      <w:pPr>
        <w:spacing w:after="0" w:line="156" w:lineRule="exact"/>
        <w:rPr>
          <w:sz w:val="20"/>
          <w:szCs w:val="20"/>
          <w:color w:val="auto"/>
        </w:rPr>
      </w:pPr>
    </w:p>
    <w:p>
      <w:pPr>
        <w:sectPr>
          <w:pgSz w:w="11900" w:h="16838" w:orient="portrait"/>
          <w:cols w:equalWidth="0" w:num="1">
            <w:col w:w="11240"/>
          </w:cols>
          <w:pgMar w:left="320" w:top="234" w:right="339" w:bottom="1440" w:gutter="0" w:footer="0" w:header="0"/>
        </w:sectPr>
      </w:pPr>
    </w:p>
    <w:p>
      <w:pPr>
        <w:jc w:val="both"/>
        <w:ind w:left="360"/>
        <w:spacing w:after="0" w:line="247" w:lineRule="auto"/>
        <w:rPr>
          <w:sz w:val="20"/>
          <w:szCs w:val="20"/>
          <w:color w:val="auto"/>
        </w:rPr>
      </w:pPr>
      <w:r>
        <w:rPr>
          <w:rFonts w:ascii="Arial" w:cs="Arial" w:eastAsia="Arial" w:hAnsi="Arial"/>
          <w:sz w:val="16"/>
          <w:szCs w:val="16"/>
          <w:color w:val="auto"/>
        </w:rPr>
        <w:t>Jason Daly is our Senior Vice President, Chief Legal Officer and Corporate Secretary, a position he has held since January 2022. Mr. Daly is responsible for leading Amneal’s global legal and corporate compliance strategies with a focus on delivering value as Amneal drives into more complex commercial categories. Mr. Daly brings substantial experience leading the legal and commercial strategies for global pharmaceutical &amp; medical device companies, including Teva Pharmaceuticals, Inc., where he most recently served as Senior Vice President, U.S. Market Access and previously as Vice President &amp; Chief of Staff, North American Commercial as well as General Counsel – U.S. Generics &amp; North American Commercial. In his seven-year tenure with Teva, Mr. Daly was responsible for driving the company’s multi-billion-dollar U.S. managed-care customer accounts, including go-to-market tactics for biosimilars and expanding formulary access for key branded products. He also served as a key executive, overseeing a team of commercial attorneys responsible for legal strategies related to patent settlements and authorized generics, pricing policies, REMS programs, the commercialization of the company’s brand and generic medicines, and government affairs. Prior to Teva, Mr. Daly served nearly a decade in various legal and commercial leadership roles with Straumann Group. Mr. Daly previously worked for law firms HinckleyAllen LLP and WilmerHale LLP and was a law clerk to Judge Mary Lisi in the United States District Court in Providence, Rhode Island. Mr. Daly holds academic degrees from the University of Pennsylvania Law School as well as the University of Rhode Island. He holds professional certificates from The Wharton School of Business, The Kellogg School of Management and the Boston University School of Management. He is also a member of the Massachusetts and Rhode Island Bar Associations.</w:t>
      </w:r>
    </w:p>
    <w:p>
      <w:pPr>
        <w:spacing w:after="0" w:line="20" w:lineRule="exact"/>
        <w:rPr>
          <w:sz w:val="20"/>
          <w:szCs w:val="20"/>
          <w:color w:val="auto"/>
        </w:rPr>
      </w:pPr>
      <w:r>
        <w:rPr>
          <w:sz w:val="20"/>
          <w:szCs w:val="20"/>
          <w:color w:val="auto"/>
        </w:rPr>
        <w:br w:type="column"/>
      </w:r>
    </w:p>
    <w:p>
      <w:pPr>
        <w:jc w:val="both"/>
        <w:ind w:right="360"/>
        <w:spacing w:after="0" w:line="247" w:lineRule="auto"/>
        <w:rPr>
          <w:sz w:val="20"/>
          <w:szCs w:val="20"/>
          <w:color w:val="auto"/>
        </w:rPr>
      </w:pPr>
      <w:r>
        <w:rPr>
          <w:rFonts w:ascii="Arial" w:cs="Arial" w:eastAsia="Arial" w:hAnsi="Arial"/>
          <w:sz w:val="16"/>
          <w:szCs w:val="16"/>
          <w:color w:val="auto"/>
        </w:rPr>
        <w:t>Nikita Shah has served as our Executive Vice President, Chief Human Resources Officer &amp; Strategic Planning Officer since August 2020. Ms. Shah is responsible for overseeing Amneal’s Human Resources, Internal Communications and Corporate Social Responsibility functions, and partners with the Co-CEOs to lead the creation and execution of the Company’s long-term Corporate Strategy. Prior to this position, Ms. Shah served as the Company’s Senior Vice President, Chief Human Resources Officer from May 2018 to July 2020 and as Senior Vice President, Human Resources and Corporate Affairs from January 2014 to May 2018. Prior to joining Amneal, Ms. Shah led the internal audit and human resources functions for Warner Chilcott, a global specialty pharmaceutical company. She also supported corporate Mergers &amp; Acquisitions, process improvements and systems efficiencies across the organization. Prior to Warner Chilcott, Ms. Shah held roles of increasing responsibilities at AT&amp;T and Deloitte. Ms. Shah received her Master’s degrees in Accounting and Auditing from Gujarat University, India. She is a certified public accountant.</w:t>
      </w:r>
    </w:p>
    <w:p>
      <w:pPr>
        <w:spacing w:after="0" w:line="2431" w:lineRule="exact"/>
        <w:rPr>
          <w:sz w:val="20"/>
          <w:szCs w:val="20"/>
          <w:color w:val="auto"/>
        </w:rPr>
      </w:pPr>
    </w:p>
    <w:p>
      <w:pPr>
        <w:sectPr>
          <w:pgSz w:w="11900" w:h="16838" w:orient="portrait"/>
          <w:cols w:equalWidth="0" w:num="2">
            <w:col w:w="5420" w:space="420"/>
            <w:col w:w="5400"/>
          </w:cols>
          <w:pgMar w:left="320" w:top="234" w:right="339" w:bottom="1440" w:gutter="0" w:footer="0" w:header="0"/>
          <w:type w:val="continuous"/>
        </w:sect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type w:val="continuous"/>
        </w:sectPr>
      </w:pPr>
    </w:p>
    <w:bookmarkStart w:id="29" w:name="page30"/>
    <w:bookmarkEnd w:id="29"/>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227965</wp:posOffset>
            </wp:positionH>
            <wp:positionV relativeFrom="paragraph">
              <wp:posOffset>120650</wp:posOffset>
            </wp:positionV>
            <wp:extent cx="3343275" cy="13119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3343275" cy="1311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center"/>
        <w:ind w:right="5260"/>
        <w:spacing w:after="0"/>
        <w:rPr>
          <w:sz w:val="20"/>
          <w:szCs w:val="20"/>
          <w:color w:val="auto"/>
        </w:rPr>
      </w:pPr>
      <w:r>
        <w:rPr>
          <w:rFonts w:ascii="Arial" w:cs="Arial" w:eastAsia="Arial" w:hAnsi="Arial"/>
          <w:sz w:val="18"/>
          <w:szCs w:val="18"/>
          <w:b w:val="1"/>
          <w:bCs w:val="1"/>
          <w:color w:val="04568A"/>
        </w:rPr>
        <w:t>JOSEPH TODISCO</w:t>
      </w:r>
    </w:p>
    <w:p>
      <w:pPr>
        <w:spacing w:after="0" w:line="203" w:lineRule="exact"/>
        <w:rPr>
          <w:sz w:val="20"/>
          <w:szCs w:val="20"/>
          <w:color w:val="auto"/>
        </w:rPr>
      </w:pPr>
    </w:p>
    <w:p>
      <w:pPr>
        <w:jc w:val="center"/>
        <w:ind w:right="5260"/>
        <w:spacing w:after="0"/>
        <w:rPr>
          <w:sz w:val="20"/>
          <w:szCs w:val="20"/>
          <w:color w:val="auto"/>
        </w:rPr>
      </w:pPr>
      <w:r>
        <w:rPr>
          <w:rFonts w:ascii="Arial" w:cs="Arial" w:eastAsia="Arial" w:hAnsi="Arial"/>
          <w:sz w:val="16"/>
          <w:szCs w:val="16"/>
          <w:b w:val="1"/>
          <w:bCs w:val="1"/>
          <w:color w:val="auto"/>
        </w:rPr>
        <w:t>Executive Vice President, Chief Commercial Officer-Specialty</w:t>
      </w:r>
    </w:p>
    <w:p>
      <w:pPr>
        <w:spacing w:after="0" w:line="187" w:lineRule="exact"/>
        <w:rPr>
          <w:sz w:val="20"/>
          <w:szCs w:val="20"/>
          <w:color w:val="auto"/>
        </w:rPr>
      </w:pPr>
    </w:p>
    <w:p>
      <w:pPr>
        <w:ind w:left="360"/>
        <w:spacing w:after="0"/>
        <w:tabs>
          <w:tab w:leader="none" w:pos="1000" w:val="left"/>
          <w:tab w:leader="none" w:pos="1700" w:val="left"/>
          <w:tab w:leader="none" w:pos="2100" w:val="left"/>
          <w:tab w:leader="none" w:pos="2720" w:val="left"/>
          <w:tab w:leader="none" w:pos="3040" w:val="left"/>
          <w:tab w:leader="none" w:pos="3880" w:val="left"/>
          <w:tab w:leader="none" w:pos="4340" w:val="left"/>
          <w:tab w:leader="none" w:pos="5220" w:val="left"/>
        </w:tabs>
        <w:rPr>
          <w:sz w:val="20"/>
          <w:szCs w:val="20"/>
          <w:color w:val="auto"/>
        </w:rPr>
      </w:pPr>
      <w:r>
        <w:rPr>
          <w:rFonts w:ascii="Arial" w:cs="Arial" w:eastAsia="Arial" w:hAnsi="Arial"/>
          <w:sz w:val="16"/>
          <w:szCs w:val="16"/>
          <w:color w:val="auto"/>
        </w:rPr>
        <w:t>Joseph</w:t>
        <w:tab/>
        <w:t>Todisco</w:t>
        <w:tab/>
        <w:t>has</w:t>
        <w:tab/>
        <w:t>served</w:t>
        <w:tab/>
        <w:t>as</w:t>
        <w:tab/>
        <w:t>Executive</w:t>
        <w:tab/>
        <w:t>Vice</w:t>
        <w:tab/>
        <w:t>President,</w:t>
        <w:tab/>
        <w:t>Chief</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Commercial Officer-Specialty since August 2020, and previously served</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as Senior Vice President, Specialty Commercial, since May 2018. Mr.</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Todisco joined Amneal in 2011 as the head of Corporate Development</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and has been an integral part of the management team that executed the</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Combination, as well as multiple other business development, licensing</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and  mergers  &amp;  acquisitions.  In  addition  to  his  role  in  Corporate</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Development, Mr. Todisco held management oversight responsibility for</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Gemini Laboratories, LLC, a subsidiary of the Company, building it from</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inception to a highly profitable specialty pharmaceutical platform, as well</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as oversight for all of Amneal’s international commercial operations from</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2013 to 2018. Prior to joining Amneal, Mr. Todisco spent more than five</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years leading Ranbaxy’s North American Commercial Strategy and</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Business Development, and held various leadership roles with Par</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Pharmaceuticals. Prior to working in the pharmaceutical industry, Mr.</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Todisco was an investment banker for Oppenheimer &amp; Co. and also</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worked in financial services for Marsh &amp; McLennan Companies. Mr.</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Todisco holds a degree in Economics from Georgetown University and</w:t>
      </w:r>
    </w:p>
    <w:p>
      <w:pPr>
        <w:spacing w:after="0" w:line="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an M.B.A. from Fordham University School of Business.</w:t>
      </w:r>
    </w:p>
    <w:p>
      <w:pPr>
        <w:spacing w:after="0" w:line="174"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29</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30" w:name="page31"/>
    <w:bookmarkEnd w:id="30"/>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Executive </w:t>
      </w:r>
      <w:r>
        <w:rPr>
          <w:rFonts w:ascii="Arial" w:cs="Arial" w:eastAsia="Arial" w:hAnsi="Arial"/>
          <w:sz w:val="47"/>
          <w:szCs w:val="47"/>
          <w:b w:val="1"/>
          <w:bCs w:val="1"/>
          <w:color w:val="000000"/>
        </w:rPr>
        <w:t>Compensation</w:t>
      </w:r>
    </w:p>
    <w:p>
      <w:pPr>
        <w:spacing w:after="0" w:line="391"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Compensation Discussion and Analysis</w:t>
      </w:r>
    </w:p>
    <w:p>
      <w:pPr>
        <w:spacing w:after="0" w:line="221" w:lineRule="exact"/>
        <w:rPr>
          <w:sz w:val="20"/>
          <w:szCs w:val="20"/>
          <w:color w:val="auto"/>
        </w:rPr>
      </w:pPr>
    </w:p>
    <w:p>
      <w:pPr>
        <w:jc w:val="both"/>
        <w:spacing w:after="0" w:line="263" w:lineRule="auto"/>
        <w:rPr>
          <w:sz w:val="20"/>
          <w:szCs w:val="20"/>
          <w:color w:val="auto"/>
        </w:rPr>
      </w:pPr>
      <w:r>
        <w:rPr>
          <w:rFonts w:ascii="Arial" w:cs="Arial" w:eastAsia="Arial" w:hAnsi="Arial"/>
          <w:sz w:val="16"/>
          <w:szCs w:val="16"/>
          <w:i w:val="1"/>
          <w:iCs w:val="1"/>
          <w:color w:val="auto"/>
        </w:rPr>
        <w:t>The following Compensation Discussion and Analysis contains statements regarding historical and future Company performance targets or goals. We have disclosed these targets or goals in the limited context of our compensation programs and they should not be understood to be statements of management’s expectations or estimates of results. We specifically caution investors not to apply these statements to other contexts.</w:t>
      </w:r>
    </w:p>
    <w:p>
      <w:pPr>
        <w:spacing w:after="0" w:line="235" w:lineRule="exact"/>
        <w:rPr>
          <w:sz w:val="20"/>
          <w:szCs w:val="20"/>
          <w:color w:val="auto"/>
        </w:rPr>
      </w:pPr>
    </w:p>
    <w:tbl>
      <w:tblPr>
        <w:tblLayout w:type="fixed"/>
        <w:tblInd w:w="580" w:type="dxa"/>
        <w:tblCellMar>
          <w:top w:w="0" w:type="dxa"/>
          <w:left w:w="0" w:type="dxa"/>
          <w:bottom w:w="0" w:type="dxa"/>
          <w:right w:w="0" w:type="dxa"/>
        </w:tblCellMar>
      </w:tblPr>
      <w:tr>
        <w:trPr>
          <w:trHeight w:val="93"/>
        </w:trPr>
        <w:tc>
          <w:tcPr>
            <w:tcW w:w="180" w:type="dxa"/>
            <w:vAlign w:val="bottom"/>
            <w:tcBorders>
              <w:bottom w:val="single" w:sz="8" w:color="auto"/>
            </w:tcBorders>
          </w:tcPr>
          <w:p>
            <w:pPr>
              <w:spacing w:after="0"/>
              <w:rPr>
                <w:sz w:val="8"/>
                <w:szCs w:val="8"/>
                <w:color w:val="auto"/>
              </w:rPr>
            </w:pPr>
          </w:p>
        </w:tc>
        <w:tc>
          <w:tcPr>
            <w:tcW w:w="1820" w:type="dxa"/>
            <w:vAlign w:val="bottom"/>
            <w:vMerge w:val="restart"/>
          </w:tcPr>
          <w:p>
            <w:pPr>
              <w:ind w:left="80"/>
              <w:spacing w:after="0"/>
              <w:rPr>
                <w:sz w:val="20"/>
                <w:szCs w:val="20"/>
                <w:color w:val="auto"/>
              </w:rPr>
            </w:pPr>
            <w:r>
              <w:rPr>
                <w:rFonts w:ascii="Arial" w:cs="Arial" w:eastAsia="Arial" w:hAnsi="Arial"/>
                <w:sz w:val="16"/>
                <w:szCs w:val="16"/>
                <w:color w:val="auto"/>
              </w:rPr>
              <w:t>TABLE OF CONTENTS</w:t>
            </w:r>
          </w:p>
        </w:tc>
        <w:tc>
          <w:tcPr>
            <w:tcW w:w="5560" w:type="dxa"/>
            <w:vAlign w:val="bottom"/>
            <w:tcBorders>
              <w:bottom w:val="single" w:sz="8" w:color="auto"/>
            </w:tcBorders>
          </w:tcPr>
          <w:p>
            <w:pPr>
              <w:spacing w:after="0"/>
              <w:rPr>
                <w:sz w:val="8"/>
                <w:szCs w:val="8"/>
                <w:color w:val="auto"/>
              </w:rPr>
            </w:pPr>
          </w:p>
        </w:tc>
        <w:tc>
          <w:tcPr>
            <w:tcW w:w="254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82"/>
        </w:trPr>
        <w:tc>
          <w:tcPr>
            <w:tcW w:w="180" w:type="dxa"/>
            <w:vAlign w:val="bottom"/>
          </w:tcPr>
          <w:p>
            <w:pPr>
              <w:spacing w:after="0"/>
              <w:rPr>
                <w:sz w:val="7"/>
                <w:szCs w:val="7"/>
                <w:color w:val="auto"/>
              </w:rPr>
            </w:pPr>
          </w:p>
        </w:tc>
        <w:tc>
          <w:tcPr>
            <w:tcW w:w="1820" w:type="dxa"/>
            <w:vAlign w:val="bottom"/>
            <w:vMerge w:val="continue"/>
          </w:tcPr>
          <w:p>
            <w:pPr>
              <w:spacing w:after="0"/>
              <w:rPr>
                <w:sz w:val="7"/>
                <w:szCs w:val="7"/>
                <w:color w:val="auto"/>
              </w:rPr>
            </w:pPr>
          </w:p>
        </w:tc>
        <w:tc>
          <w:tcPr>
            <w:tcW w:w="5560" w:type="dxa"/>
            <w:vAlign w:val="bottom"/>
          </w:tcPr>
          <w:p>
            <w:pPr>
              <w:spacing w:after="0"/>
              <w:rPr>
                <w:sz w:val="7"/>
                <w:szCs w:val="7"/>
                <w:color w:val="auto"/>
              </w:rPr>
            </w:pPr>
          </w:p>
        </w:tc>
        <w:tc>
          <w:tcPr>
            <w:tcW w:w="25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06"/>
        </w:trPr>
        <w:tc>
          <w:tcPr>
            <w:tcW w:w="7560" w:type="dxa"/>
            <w:vAlign w:val="bottom"/>
            <w:gridSpan w:val="3"/>
          </w:tcPr>
          <w:p>
            <w:pPr>
              <w:ind w:left="180"/>
              <w:spacing w:after="0"/>
              <w:rPr>
                <w:rFonts w:ascii="Arial" w:cs="Arial" w:eastAsia="Arial" w:hAnsi="Arial"/>
                <w:sz w:val="16"/>
                <w:szCs w:val="16"/>
                <w:b w:val="1"/>
                <w:bCs w:val="1"/>
                <w:color w:val="04568A"/>
              </w:rPr>
            </w:pPr>
            <w:hyperlink w:anchor="page31">
              <w:r>
                <w:rPr>
                  <w:rFonts w:ascii="Arial" w:cs="Arial" w:eastAsia="Arial" w:hAnsi="Arial"/>
                  <w:sz w:val="16"/>
                  <w:szCs w:val="16"/>
                  <w:b w:val="1"/>
                  <w:bCs w:val="1"/>
                  <w:color w:val="04568A"/>
                </w:rPr>
                <w:t>Executive Summary</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1">
              <w:r>
                <w:rPr>
                  <w:rFonts w:ascii="Arial" w:cs="Arial" w:eastAsia="Arial" w:hAnsi="Arial"/>
                  <w:sz w:val="16"/>
                  <w:szCs w:val="16"/>
                  <w:b w:val="1"/>
                  <w:bCs w:val="1"/>
                  <w:color w:val="04568A"/>
                </w:rPr>
                <w:t>30</w:t>
              </w:r>
            </w:hyperlink>
          </w:p>
        </w:tc>
        <w:tc>
          <w:tcPr>
            <w:tcW w:w="0" w:type="dxa"/>
            <w:vAlign w:val="bottom"/>
          </w:tcPr>
          <w:p>
            <w:pPr>
              <w:spacing w:after="0"/>
              <w:rPr>
                <w:sz w:val="1"/>
                <w:szCs w:val="1"/>
                <w:color w:val="auto"/>
              </w:rPr>
            </w:pPr>
          </w:p>
        </w:tc>
      </w:tr>
      <w:tr>
        <w:trPr>
          <w:trHeight w:val="189"/>
        </w:trPr>
        <w:tc>
          <w:tcPr>
            <w:tcW w:w="7560" w:type="dxa"/>
            <w:vAlign w:val="bottom"/>
            <w:gridSpan w:val="3"/>
          </w:tcPr>
          <w:p>
            <w:pPr>
              <w:ind w:left="180"/>
              <w:spacing w:after="0"/>
              <w:rPr>
                <w:rFonts w:ascii="Arial" w:cs="Arial" w:eastAsia="Arial" w:hAnsi="Arial"/>
                <w:sz w:val="16"/>
                <w:szCs w:val="16"/>
                <w:b w:val="1"/>
                <w:bCs w:val="1"/>
                <w:color w:val="04568A"/>
              </w:rPr>
            </w:pPr>
            <w:hyperlink w:anchor="page32">
              <w:r>
                <w:rPr>
                  <w:rFonts w:ascii="Arial" w:cs="Arial" w:eastAsia="Arial" w:hAnsi="Arial"/>
                  <w:sz w:val="16"/>
                  <w:szCs w:val="16"/>
                  <w:b w:val="1"/>
                  <w:bCs w:val="1"/>
                  <w:color w:val="04568A"/>
                </w:rPr>
                <w:t>Role of the Compensation Committee</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2">
              <w:r>
                <w:rPr>
                  <w:rFonts w:ascii="Arial" w:cs="Arial" w:eastAsia="Arial" w:hAnsi="Arial"/>
                  <w:sz w:val="16"/>
                  <w:szCs w:val="16"/>
                  <w:b w:val="1"/>
                  <w:bCs w:val="1"/>
                  <w:color w:val="04568A"/>
                </w:rPr>
                <w:t>31</w:t>
              </w:r>
            </w:hyperlink>
          </w:p>
        </w:tc>
        <w:tc>
          <w:tcPr>
            <w:tcW w:w="0" w:type="dxa"/>
            <w:vAlign w:val="bottom"/>
          </w:tcPr>
          <w:p>
            <w:pPr>
              <w:spacing w:after="0"/>
              <w:rPr>
                <w:sz w:val="1"/>
                <w:szCs w:val="1"/>
                <w:color w:val="auto"/>
              </w:rPr>
            </w:pPr>
          </w:p>
        </w:tc>
      </w:tr>
      <w:tr>
        <w:trPr>
          <w:trHeight w:val="189"/>
        </w:trPr>
        <w:tc>
          <w:tcPr>
            <w:tcW w:w="7560" w:type="dxa"/>
            <w:vAlign w:val="bottom"/>
            <w:gridSpan w:val="3"/>
          </w:tcPr>
          <w:p>
            <w:pPr>
              <w:ind w:left="180"/>
              <w:spacing w:after="0"/>
              <w:rPr>
                <w:rFonts w:ascii="Arial" w:cs="Arial" w:eastAsia="Arial" w:hAnsi="Arial"/>
                <w:sz w:val="16"/>
                <w:szCs w:val="16"/>
                <w:b w:val="1"/>
                <w:bCs w:val="1"/>
                <w:color w:val="04568A"/>
              </w:rPr>
            </w:pPr>
            <w:hyperlink w:anchor="page33">
              <w:r>
                <w:rPr>
                  <w:rFonts w:ascii="Arial" w:cs="Arial" w:eastAsia="Arial" w:hAnsi="Arial"/>
                  <w:sz w:val="16"/>
                  <w:szCs w:val="16"/>
                  <w:b w:val="1"/>
                  <w:bCs w:val="1"/>
                  <w:color w:val="04568A"/>
                </w:rPr>
                <w:t>Role of Our Co-Chief Executive Officers in Compensation Decisions</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3">
              <w:r>
                <w:rPr>
                  <w:rFonts w:ascii="Arial" w:cs="Arial" w:eastAsia="Arial" w:hAnsi="Arial"/>
                  <w:sz w:val="16"/>
                  <w:szCs w:val="16"/>
                  <w:b w:val="1"/>
                  <w:bCs w:val="1"/>
                  <w:color w:val="04568A"/>
                </w:rPr>
                <w:t>32</w:t>
              </w:r>
            </w:hyperlink>
          </w:p>
        </w:tc>
        <w:tc>
          <w:tcPr>
            <w:tcW w:w="0" w:type="dxa"/>
            <w:vAlign w:val="bottom"/>
          </w:tcPr>
          <w:p>
            <w:pPr>
              <w:spacing w:after="0"/>
              <w:rPr>
                <w:sz w:val="1"/>
                <w:szCs w:val="1"/>
                <w:color w:val="auto"/>
              </w:rPr>
            </w:pPr>
          </w:p>
        </w:tc>
      </w:tr>
      <w:tr>
        <w:trPr>
          <w:trHeight w:val="189"/>
        </w:trPr>
        <w:tc>
          <w:tcPr>
            <w:tcW w:w="7560" w:type="dxa"/>
            <w:vAlign w:val="bottom"/>
            <w:gridSpan w:val="3"/>
          </w:tcPr>
          <w:p>
            <w:pPr>
              <w:ind w:left="180"/>
              <w:spacing w:after="0"/>
              <w:rPr>
                <w:rFonts w:ascii="Arial" w:cs="Arial" w:eastAsia="Arial" w:hAnsi="Arial"/>
                <w:sz w:val="16"/>
                <w:szCs w:val="16"/>
                <w:b w:val="1"/>
                <w:bCs w:val="1"/>
                <w:color w:val="04568A"/>
              </w:rPr>
            </w:pPr>
            <w:hyperlink w:anchor="page33">
              <w:r>
                <w:rPr>
                  <w:rFonts w:ascii="Arial" w:cs="Arial" w:eastAsia="Arial" w:hAnsi="Arial"/>
                  <w:sz w:val="16"/>
                  <w:szCs w:val="16"/>
                  <w:b w:val="1"/>
                  <w:bCs w:val="1"/>
                  <w:color w:val="04568A"/>
                </w:rPr>
                <w:t>Peer Group Surveys and the Role of Our Compensation Consultant</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3">
              <w:r>
                <w:rPr>
                  <w:rFonts w:ascii="Arial" w:cs="Arial" w:eastAsia="Arial" w:hAnsi="Arial"/>
                  <w:sz w:val="16"/>
                  <w:szCs w:val="16"/>
                  <w:b w:val="1"/>
                  <w:bCs w:val="1"/>
                  <w:color w:val="04568A"/>
                </w:rPr>
                <w:t>32</w:t>
              </w:r>
            </w:hyperlink>
          </w:p>
        </w:tc>
        <w:tc>
          <w:tcPr>
            <w:tcW w:w="0" w:type="dxa"/>
            <w:vAlign w:val="bottom"/>
          </w:tcPr>
          <w:p>
            <w:pPr>
              <w:spacing w:after="0"/>
              <w:rPr>
                <w:sz w:val="1"/>
                <w:szCs w:val="1"/>
                <w:color w:val="auto"/>
              </w:rPr>
            </w:pPr>
          </w:p>
        </w:tc>
      </w:tr>
      <w:tr>
        <w:trPr>
          <w:trHeight w:val="215"/>
        </w:trPr>
        <w:tc>
          <w:tcPr>
            <w:tcW w:w="7560" w:type="dxa"/>
            <w:vAlign w:val="bottom"/>
            <w:gridSpan w:val="3"/>
          </w:tcPr>
          <w:p>
            <w:pPr>
              <w:ind w:left="180"/>
              <w:spacing w:after="0"/>
              <w:rPr>
                <w:rFonts w:ascii="Arial" w:cs="Arial" w:eastAsia="Arial" w:hAnsi="Arial"/>
                <w:sz w:val="16"/>
                <w:szCs w:val="16"/>
                <w:b w:val="1"/>
                <w:bCs w:val="1"/>
                <w:color w:val="04568A"/>
              </w:rPr>
            </w:pPr>
            <w:hyperlink w:anchor="page34">
              <w:r>
                <w:rPr>
                  <w:rFonts w:ascii="Arial" w:cs="Arial" w:eastAsia="Arial" w:hAnsi="Arial"/>
                  <w:sz w:val="16"/>
                  <w:szCs w:val="16"/>
                  <w:b w:val="1"/>
                  <w:bCs w:val="1"/>
                  <w:color w:val="04568A"/>
                </w:rPr>
                <w:t>Components of Executive Compensation</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4">
              <w:r>
                <w:rPr>
                  <w:rFonts w:ascii="Arial" w:cs="Arial" w:eastAsia="Arial" w:hAnsi="Arial"/>
                  <w:sz w:val="16"/>
                  <w:szCs w:val="16"/>
                  <w:b w:val="1"/>
                  <w:bCs w:val="1"/>
                  <w:color w:val="04568A"/>
                </w:rPr>
                <w:t>33</w:t>
              </w:r>
            </w:hyperlink>
          </w:p>
        </w:tc>
        <w:tc>
          <w:tcPr>
            <w:tcW w:w="0" w:type="dxa"/>
            <w:vAlign w:val="bottom"/>
          </w:tcPr>
          <w:p>
            <w:pPr>
              <w:spacing w:after="0"/>
              <w:rPr>
                <w:sz w:val="1"/>
                <w:szCs w:val="1"/>
                <w:color w:val="auto"/>
              </w:rPr>
            </w:pPr>
          </w:p>
        </w:tc>
      </w:tr>
      <w:tr>
        <w:trPr>
          <w:trHeight w:val="345"/>
        </w:trPr>
        <w:tc>
          <w:tcPr>
            <w:tcW w:w="180" w:type="dxa"/>
            <w:vAlign w:val="bottom"/>
          </w:tcPr>
          <w:p>
            <w:pPr>
              <w:spacing w:after="0"/>
              <w:rPr>
                <w:sz w:val="24"/>
                <w:szCs w:val="24"/>
                <w:color w:val="auto"/>
              </w:rPr>
            </w:pPr>
          </w:p>
        </w:tc>
        <w:tc>
          <w:tcPr>
            <w:tcW w:w="7380" w:type="dxa"/>
            <w:vAlign w:val="bottom"/>
            <w:gridSpan w:val="2"/>
          </w:tcPr>
          <w:p>
            <w:pPr>
              <w:ind w:left="180"/>
              <w:spacing w:after="0"/>
              <w:rPr>
                <w:rFonts w:ascii="Arial" w:cs="Arial" w:eastAsia="Arial" w:hAnsi="Arial"/>
                <w:sz w:val="16"/>
                <w:szCs w:val="16"/>
                <w:color w:val="auto"/>
              </w:rPr>
            </w:pPr>
            <w:hyperlink w:anchor="page34">
              <w:r>
                <w:rPr>
                  <w:rFonts w:ascii="Arial" w:cs="Arial" w:eastAsia="Arial" w:hAnsi="Arial"/>
                  <w:sz w:val="16"/>
                  <w:szCs w:val="16"/>
                  <w:color w:val="auto"/>
                </w:rPr>
                <w:t>Base Salaries</w:t>
              </w:r>
            </w:hyperlink>
          </w:p>
        </w:tc>
        <w:tc>
          <w:tcPr>
            <w:tcW w:w="2540" w:type="dxa"/>
            <w:vAlign w:val="bottom"/>
          </w:tcPr>
          <w:p>
            <w:pPr>
              <w:jc w:val="right"/>
              <w:ind w:right="99"/>
              <w:spacing w:after="0"/>
              <w:rPr>
                <w:rFonts w:ascii="Arial" w:cs="Arial" w:eastAsia="Arial" w:hAnsi="Arial"/>
                <w:sz w:val="16"/>
                <w:szCs w:val="16"/>
                <w:color w:val="auto"/>
              </w:rPr>
            </w:pPr>
            <w:hyperlink w:anchor="page34">
              <w:r>
                <w:rPr>
                  <w:rFonts w:ascii="Arial" w:cs="Arial" w:eastAsia="Arial" w:hAnsi="Arial"/>
                  <w:sz w:val="16"/>
                  <w:szCs w:val="16"/>
                  <w:color w:val="auto"/>
                </w:rPr>
                <w:t>33</w:t>
              </w:r>
            </w:hyperlink>
          </w:p>
        </w:tc>
        <w:tc>
          <w:tcPr>
            <w:tcW w:w="0" w:type="dxa"/>
            <w:vAlign w:val="bottom"/>
          </w:tcPr>
          <w:p>
            <w:pPr>
              <w:spacing w:after="0"/>
              <w:rPr>
                <w:sz w:val="1"/>
                <w:szCs w:val="1"/>
                <w:color w:val="auto"/>
              </w:rPr>
            </w:pPr>
          </w:p>
        </w:tc>
      </w:tr>
      <w:tr>
        <w:trPr>
          <w:trHeight w:val="189"/>
        </w:trPr>
        <w:tc>
          <w:tcPr>
            <w:tcW w:w="180" w:type="dxa"/>
            <w:vAlign w:val="bottom"/>
          </w:tcPr>
          <w:p>
            <w:pPr>
              <w:spacing w:after="0"/>
              <w:rPr>
                <w:sz w:val="16"/>
                <w:szCs w:val="16"/>
                <w:color w:val="auto"/>
              </w:rPr>
            </w:pPr>
          </w:p>
        </w:tc>
        <w:tc>
          <w:tcPr>
            <w:tcW w:w="7380" w:type="dxa"/>
            <w:vAlign w:val="bottom"/>
            <w:gridSpan w:val="2"/>
          </w:tcPr>
          <w:p>
            <w:pPr>
              <w:ind w:left="180"/>
              <w:spacing w:after="0"/>
              <w:rPr>
                <w:rFonts w:ascii="Arial" w:cs="Arial" w:eastAsia="Arial" w:hAnsi="Arial"/>
                <w:sz w:val="16"/>
                <w:szCs w:val="16"/>
                <w:color w:val="auto"/>
              </w:rPr>
            </w:pPr>
            <w:hyperlink w:anchor="page34">
              <w:r>
                <w:rPr>
                  <w:rFonts w:ascii="Arial" w:cs="Arial" w:eastAsia="Arial" w:hAnsi="Arial"/>
                  <w:sz w:val="16"/>
                  <w:szCs w:val="16"/>
                  <w:color w:val="auto"/>
                </w:rPr>
                <w:t>Annual and Long-Term Incentive Awards</w:t>
              </w:r>
            </w:hyperlink>
          </w:p>
        </w:tc>
        <w:tc>
          <w:tcPr>
            <w:tcW w:w="2540" w:type="dxa"/>
            <w:vAlign w:val="bottom"/>
          </w:tcPr>
          <w:p>
            <w:pPr>
              <w:jc w:val="right"/>
              <w:ind w:right="99"/>
              <w:spacing w:after="0"/>
              <w:rPr>
                <w:rFonts w:ascii="Arial" w:cs="Arial" w:eastAsia="Arial" w:hAnsi="Arial"/>
                <w:sz w:val="16"/>
                <w:szCs w:val="16"/>
                <w:color w:val="auto"/>
              </w:rPr>
            </w:pPr>
            <w:hyperlink w:anchor="page34">
              <w:r>
                <w:rPr>
                  <w:rFonts w:ascii="Arial" w:cs="Arial" w:eastAsia="Arial" w:hAnsi="Arial"/>
                  <w:sz w:val="16"/>
                  <w:szCs w:val="16"/>
                  <w:color w:val="auto"/>
                </w:rPr>
                <w:t>33</w:t>
              </w:r>
            </w:hyperlink>
          </w:p>
        </w:tc>
        <w:tc>
          <w:tcPr>
            <w:tcW w:w="0" w:type="dxa"/>
            <w:vAlign w:val="bottom"/>
          </w:tcPr>
          <w:p>
            <w:pPr>
              <w:spacing w:after="0"/>
              <w:rPr>
                <w:sz w:val="1"/>
                <w:szCs w:val="1"/>
                <w:color w:val="auto"/>
              </w:rPr>
            </w:pPr>
          </w:p>
        </w:tc>
      </w:tr>
      <w:tr>
        <w:trPr>
          <w:trHeight w:val="189"/>
        </w:trPr>
        <w:tc>
          <w:tcPr>
            <w:tcW w:w="180" w:type="dxa"/>
            <w:vAlign w:val="bottom"/>
          </w:tcPr>
          <w:p>
            <w:pPr>
              <w:spacing w:after="0"/>
              <w:rPr>
                <w:sz w:val="16"/>
                <w:szCs w:val="16"/>
                <w:color w:val="auto"/>
              </w:rPr>
            </w:pPr>
          </w:p>
        </w:tc>
        <w:tc>
          <w:tcPr>
            <w:tcW w:w="7380" w:type="dxa"/>
            <w:vAlign w:val="bottom"/>
            <w:gridSpan w:val="2"/>
          </w:tcPr>
          <w:p>
            <w:pPr>
              <w:ind w:left="180"/>
              <w:spacing w:after="0"/>
              <w:rPr>
                <w:rFonts w:ascii="Arial" w:cs="Arial" w:eastAsia="Arial" w:hAnsi="Arial"/>
                <w:sz w:val="16"/>
                <w:szCs w:val="16"/>
                <w:color w:val="auto"/>
              </w:rPr>
            </w:pPr>
            <w:hyperlink w:anchor="page34">
              <w:r>
                <w:rPr>
                  <w:rFonts w:ascii="Arial" w:cs="Arial" w:eastAsia="Arial" w:hAnsi="Arial"/>
                  <w:sz w:val="16"/>
                  <w:szCs w:val="16"/>
                  <w:color w:val="auto"/>
                </w:rPr>
                <w:t>Annual Performance-Based Cash Incentive Compensation</w:t>
              </w:r>
            </w:hyperlink>
          </w:p>
        </w:tc>
        <w:tc>
          <w:tcPr>
            <w:tcW w:w="2540" w:type="dxa"/>
            <w:vAlign w:val="bottom"/>
          </w:tcPr>
          <w:p>
            <w:pPr>
              <w:jc w:val="right"/>
              <w:ind w:right="99"/>
              <w:spacing w:after="0"/>
              <w:rPr>
                <w:rFonts w:ascii="Arial" w:cs="Arial" w:eastAsia="Arial" w:hAnsi="Arial"/>
                <w:sz w:val="16"/>
                <w:szCs w:val="16"/>
                <w:color w:val="auto"/>
              </w:rPr>
            </w:pPr>
            <w:hyperlink w:anchor="page34">
              <w:r>
                <w:rPr>
                  <w:rFonts w:ascii="Arial" w:cs="Arial" w:eastAsia="Arial" w:hAnsi="Arial"/>
                  <w:sz w:val="16"/>
                  <w:szCs w:val="16"/>
                  <w:color w:val="auto"/>
                </w:rPr>
                <w:t>33</w:t>
              </w:r>
            </w:hyperlink>
          </w:p>
        </w:tc>
        <w:tc>
          <w:tcPr>
            <w:tcW w:w="0" w:type="dxa"/>
            <w:vAlign w:val="bottom"/>
          </w:tcPr>
          <w:p>
            <w:pPr>
              <w:spacing w:after="0"/>
              <w:rPr>
                <w:sz w:val="1"/>
                <w:szCs w:val="1"/>
                <w:color w:val="auto"/>
              </w:rPr>
            </w:pPr>
          </w:p>
        </w:tc>
      </w:tr>
      <w:tr>
        <w:trPr>
          <w:trHeight w:val="189"/>
        </w:trPr>
        <w:tc>
          <w:tcPr>
            <w:tcW w:w="180" w:type="dxa"/>
            <w:vAlign w:val="bottom"/>
          </w:tcPr>
          <w:p>
            <w:pPr>
              <w:spacing w:after="0"/>
              <w:rPr>
                <w:sz w:val="16"/>
                <w:szCs w:val="16"/>
                <w:color w:val="auto"/>
              </w:rPr>
            </w:pPr>
          </w:p>
        </w:tc>
        <w:tc>
          <w:tcPr>
            <w:tcW w:w="7380" w:type="dxa"/>
            <w:vAlign w:val="bottom"/>
            <w:gridSpan w:val="2"/>
          </w:tcPr>
          <w:p>
            <w:pPr>
              <w:ind w:left="180"/>
              <w:spacing w:after="0"/>
              <w:rPr>
                <w:rFonts w:ascii="Arial" w:cs="Arial" w:eastAsia="Arial" w:hAnsi="Arial"/>
                <w:sz w:val="16"/>
                <w:szCs w:val="16"/>
                <w:color w:val="auto"/>
              </w:rPr>
            </w:pPr>
            <w:hyperlink w:anchor="page36">
              <w:r>
                <w:rPr>
                  <w:rFonts w:ascii="Arial" w:cs="Arial" w:eastAsia="Arial" w:hAnsi="Arial"/>
                  <w:sz w:val="16"/>
                  <w:szCs w:val="16"/>
                  <w:color w:val="auto"/>
                </w:rPr>
                <w:t>Long-Term Incentive Compensation</w:t>
              </w:r>
            </w:hyperlink>
          </w:p>
        </w:tc>
        <w:tc>
          <w:tcPr>
            <w:tcW w:w="2540" w:type="dxa"/>
            <w:vAlign w:val="bottom"/>
          </w:tcPr>
          <w:p>
            <w:pPr>
              <w:jc w:val="right"/>
              <w:ind w:right="99"/>
              <w:spacing w:after="0"/>
              <w:rPr>
                <w:rFonts w:ascii="Arial" w:cs="Arial" w:eastAsia="Arial" w:hAnsi="Arial"/>
                <w:sz w:val="16"/>
                <w:szCs w:val="16"/>
                <w:color w:val="auto"/>
              </w:rPr>
            </w:pPr>
            <w:hyperlink w:anchor="page36">
              <w:r>
                <w:rPr>
                  <w:rFonts w:ascii="Arial" w:cs="Arial" w:eastAsia="Arial" w:hAnsi="Arial"/>
                  <w:sz w:val="16"/>
                  <w:szCs w:val="16"/>
                  <w:color w:val="auto"/>
                </w:rPr>
                <w:t>35</w:t>
              </w:r>
            </w:hyperlink>
          </w:p>
        </w:tc>
        <w:tc>
          <w:tcPr>
            <w:tcW w:w="0" w:type="dxa"/>
            <w:vAlign w:val="bottom"/>
          </w:tcPr>
          <w:p>
            <w:pPr>
              <w:spacing w:after="0"/>
              <w:rPr>
                <w:sz w:val="1"/>
                <w:szCs w:val="1"/>
                <w:color w:val="auto"/>
              </w:rPr>
            </w:pPr>
          </w:p>
        </w:tc>
      </w:tr>
      <w:tr>
        <w:trPr>
          <w:trHeight w:val="189"/>
        </w:trPr>
        <w:tc>
          <w:tcPr>
            <w:tcW w:w="180" w:type="dxa"/>
            <w:vAlign w:val="bottom"/>
          </w:tcPr>
          <w:p>
            <w:pPr>
              <w:spacing w:after="0"/>
              <w:rPr>
                <w:sz w:val="16"/>
                <w:szCs w:val="16"/>
                <w:color w:val="auto"/>
              </w:rPr>
            </w:pPr>
          </w:p>
        </w:tc>
        <w:tc>
          <w:tcPr>
            <w:tcW w:w="7380" w:type="dxa"/>
            <w:vAlign w:val="bottom"/>
            <w:gridSpan w:val="2"/>
          </w:tcPr>
          <w:p>
            <w:pPr>
              <w:ind w:left="180"/>
              <w:spacing w:after="0"/>
              <w:rPr>
                <w:rFonts w:ascii="Arial" w:cs="Arial" w:eastAsia="Arial" w:hAnsi="Arial"/>
                <w:sz w:val="16"/>
                <w:szCs w:val="16"/>
                <w:color w:val="auto"/>
              </w:rPr>
            </w:pPr>
            <w:hyperlink w:anchor="page37">
              <w:r>
                <w:rPr>
                  <w:rFonts w:ascii="Arial" w:cs="Arial" w:eastAsia="Arial" w:hAnsi="Arial"/>
                  <w:sz w:val="16"/>
                  <w:szCs w:val="16"/>
                  <w:color w:val="auto"/>
                </w:rPr>
                <w:t>Other Compensation and Benefits</w:t>
              </w:r>
            </w:hyperlink>
          </w:p>
        </w:tc>
        <w:tc>
          <w:tcPr>
            <w:tcW w:w="2540" w:type="dxa"/>
            <w:vAlign w:val="bottom"/>
          </w:tcPr>
          <w:p>
            <w:pPr>
              <w:jc w:val="right"/>
              <w:ind w:right="99"/>
              <w:spacing w:after="0"/>
              <w:rPr>
                <w:rFonts w:ascii="Arial" w:cs="Arial" w:eastAsia="Arial" w:hAnsi="Arial"/>
                <w:sz w:val="16"/>
                <w:szCs w:val="16"/>
                <w:color w:val="auto"/>
              </w:rPr>
            </w:pPr>
            <w:hyperlink w:anchor="page37">
              <w:r>
                <w:rPr>
                  <w:rFonts w:ascii="Arial" w:cs="Arial" w:eastAsia="Arial" w:hAnsi="Arial"/>
                  <w:sz w:val="16"/>
                  <w:szCs w:val="16"/>
                  <w:color w:val="auto"/>
                </w:rPr>
                <w:t>36</w:t>
              </w:r>
            </w:hyperlink>
          </w:p>
        </w:tc>
        <w:tc>
          <w:tcPr>
            <w:tcW w:w="0" w:type="dxa"/>
            <w:vAlign w:val="bottom"/>
          </w:tcPr>
          <w:p>
            <w:pPr>
              <w:spacing w:after="0"/>
              <w:rPr>
                <w:sz w:val="1"/>
                <w:szCs w:val="1"/>
                <w:color w:val="auto"/>
              </w:rPr>
            </w:pPr>
          </w:p>
        </w:tc>
      </w:tr>
      <w:tr>
        <w:trPr>
          <w:trHeight w:val="195"/>
        </w:trPr>
        <w:tc>
          <w:tcPr>
            <w:tcW w:w="180" w:type="dxa"/>
            <w:vAlign w:val="bottom"/>
          </w:tcPr>
          <w:p>
            <w:pPr>
              <w:spacing w:after="0"/>
              <w:rPr>
                <w:sz w:val="16"/>
                <w:szCs w:val="16"/>
                <w:color w:val="auto"/>
              </w:rPr>
            </w:pPr>
          </w:p>
        </w:tc>
        <w:tc>
          <w:tcPr>
            <w:tcW w:w="7380" w:type="dxa"/>
            <w:vAlign w:val="bottom"/>
            <w:gridSpan w:val="2"/>
          </w:tcPr>
          <w:p>
            <w:pPr>
              <w:ind w:left="180"/>
              <w:spacing w:after="0"/>
              <w:rPr>
                <w:rFonts w:ascii="Arial" w:cs="Arial" w:eastAsia="Arial" w:hAnsi="Arial"/>
                <w:sz w:val="16"/>
                <w:szCs w:val="16"/>
                <w:color w:val="auto"/>
              </w:rPr>
            </w:pPr>
            <w:hyperlink w:anchor="page37">
              <w:r>
                <w:rPr>
                  <w:rFonts w:ascii="Arial" w:cs="Arial" w:eastAsia="Arial" w:hAnsi="Arial"/>
                  <w:sz w:val="16"/>
                  <w:szCs w:val="16"/>
                  <w:color w:val="auto"/>
                </w:rPr>
                <w:t>Executive Severance and Change in Control Severance Benefits</w:t>
              </w:r>
            </w:hyperlink>
          </w:p>
        </w:tc>
        <w:tc>
          <w:tcPr>
            <w:tcW w:w="2540" w:type="dxa"/>
            <w:vAlign w:val="bottom"/>
          </w:tcPr>
          <w:p>
            <w:pPr>
              <w:jc w:val="right"/>
              <w:ind w:right="99"/>
              <w:spacing w:after="0"/>
              <w:rPr>
                <w:rFonts w:ascii="Arial" w:cs="Arial" w:eastAsia="Arial" w:hAnsi="Arial"/>
                <w:sz w:val="16"/>
                <w:szCs w:val="16"/>
                <w:color w:val="auto"/>
              </w:rPr>
            </w:pPr>
            <w:hyperlink w:anchor="page37">
              <w:r>
                <w:rPr>
                  <w:rFonts w:ascii="Arial" w:cs="Arial" w:eastAsia="Arial" w:hAnsi="Arial"/>
                  <w:sz w:val="16"/>
                  <w:szCs w:val="16"/>
                  <w:color w:val="auto"/>
                </w:rPr>
                <w:t>36</w:t>
              </w:r>
            </w:hyperlink>
          </w:p>
        </w:tc>
        <w:tc>
          <w:tcPr>
            <w:tcW w:w="0" w:type="dxa"/>
            <w:vAlign w:val="bottom"/>
          </w:tcPr>
          <w:p>
            <w:pPr>
              <w:spacing w:after="0"/>
              <w:rPr>
                <w:sz w:val="1"/>
                <w:szCs w:val="1"/>
                <w:color w:val="auto"/>
              </w:rPr>
            </w:pPr>
          </w:p>
        </w:tc>
      </w:tr>
      <w:tr>
        <w:trPr>
          <w:trHeight w:val="352"/>
        </w:trPr>
        <w:tc>
          <w:tcPr>
            <w:tcW w:w="7560" w:type="dxa"/>
            <w:vAlign w:val="bottom"/>
            <w:gridSpan w:val="3"/>
          </w:tcPr>
          <w:p>
            <w:pPr>
              <w:ind w:left="180"/>
              <w:spacing w:after="0"/>
              <w:rPr>
                <w:rFonts w:ascii="Arial" w:cs="Arial" w:eastAsia="Arial" w:hAnsi="Arial"/>
                <w:sz w:val="16"/>
                <w:szCs w:val="16"/>
                <w:b w:val="1"/>
                <w:bCs w:val="1"/>
                <w:color w:val="04568A"/>
              </w:rPr>
            </w:pPr>
            <w:hyperlink w:anchor="page37">
              <w:r>
                <w:rPr>
                  <w:rFonts w:ascii="Arial" w:cs="Arial" w:eastAsia="Arial" w:hAnsi="Arial"/>
                  <w:sz w:val="16"/>
                  <w:szCs w:val="16"/>
                  <w:b w:val="1"/>
                  <w:bCs w:val="1"/>
                  <w:color w:val="04568A"/>
                </w:rPr>
                <w:t>Consideration of 2021 Say-on-Pay Vote</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7">
              <w:r>
                <w:rPr>
                  <w:rFonts w:ascii="Arial" w:cs="Arial" w:eastAsia="Arial" w:hAnsi="Arial"/>
                  <w:sz w:val="16"/>
                  <w:szCs w:val="16"/>
                  <w:b w:val="1"/>
                  <w:bCs w:val="1"/>
                  <w:color w:val="04568A"/>
                </w:rPr>
                <w:t>36</w:t>
              </w:r>
            </w:hyperlink>
          </w:p>
        </w:tc>
        <w:tc>
          <w:tcPr>
            <w:tcW w:w="0" w:type="dxa"/>
            <w:vAlign w:val="bottom"/>
          </w:tcPr>
          <w:p>
            <w:pPr>
              <w:spacing w:after="0"/>
              <w:rPr>
                <w:sz w:val="1"/>
                <w:szCs w:val="1"/>
                <w:color w:val="auto"/>
              </w:rPr>
            </w:pPr>
          </w:p>
        </w:tc>
      </w:tr>
      <w:tr>
        <w:trPr>
          <w:trHeight w:val="189"/>
        </w:trPr>
        <w:tc>
          <w:tcPr>
            <w:tcW w:w="7560" w:type="dxa"/>
            <w:vAlign w:val="bottom"/>
            <w:gridSpan w:val="3"/>
          </w:tcPr>
          <w:p>
            <w:pPr>
              <w:ind w:left="180"/>
              <w:spacing w:after="0"/>
              <w:rPr>
                <w:rFonts w:ascii="Arial" w:cs="Arial" w:eastAsia="Arial" w:hAnsi="Arial"/>
                <w:sz w:val="16"/>
                <w:szCs w:val="16"/>
                <w:b w:val="1"/>
                <w:bCs w:val="1"/>
                <w:color w:val="04568A"/>
              </w:rPr>
            </w:pPr>
            <w:hyperlink w:anchor="page37">
              <w:r>
                <w:rPr>
                  <w:rFonts w:ascii="Arial" w:cs="Arial" w:eastAsia="Arial" w:hAnsi="Arial"/>
                  <w:sz w:val="16"/>
                  <w:szCs w:val="16"/>
                  <w:b w:val="1"/>
                  <w:bCs w:val="1"/>
                  <w:color w:val="04568A"/>
                </w:rPr>
                <w:t>Accounting and Tax Considerations</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7">
              <w:r>
                <w:rPr>
                  <w:rFonts w:ascii="Arial" w:cs="Arial" w:eastAsia="Arial" w:hAnsi="Arial"/>
                  <w:sz w:val="16"/>
                  <w:szCs w:val="16"/>
                  <w:b w:val="1"/>
                  <w:bCs w:val="1"/>
                  <w:color w:val="04568A"/>
                </w:rPr>
                <w:t>36</w:t>
              </w:r>
            </w:hyperlink>
          </w:p>
        </w:tc>
        <w:tc>
          <w:tcPr>
            <w:tcW w:w="0" w:type="dxa"/>
            <w:vAlign w:val="bottom"/>
          </w:tcPr>
          <w:p>
            <w:pPr>
              <w:spacing w:after="0"/>
              <w:rPr>
                <w:sz w:val="1"/>
                <w:szCs w:val="1"/>
                <w:color w:val="auto"/>
              </w:rPr>
            </w:pPr>
          </w:p>
        </w:tc>
      </w:tr>
      <w:tr>
        <w:trPr>
          <w:trHeight w:val="189"/>
        </w:trPr>
        <w:tc>
          <w:tcPr>
            <w:tcW w:w="7560" w:type="dxa"/>
            <w:vAlign w:val="bottom"/>
            <w:gridSpan w:val="3"/>
          </w:tcPr>
          <w:p>
            <w:pPr>
              <w:ind w:left="180"/>
              <w:spacing w:after="0"/>
              <w:rPr>
                <w:rFonts w:ascii="Arial" w:cs="Arial" w:eastAsia="Arial" w:hAnsi="Arial"/>
                <w:sz w:val="16"/>
                <w:szCs w:val="16"/>
                <w:b w:val="1"/>
                <w:bCs w:val="1"/>
                <w:color w:val="04568A"/>
              </w:rPr>
            </w:pPr>
            <w:hyperlink w:anchor="page38">
              <w:r>
                <w:rPr>
                  <w:rFonts w:ascii="Arial" w:cs="Arial" w:eastAsia="Arial" w:hAnsi="Arial"/>
                  <w:sz w:val="16"/>
                  <w:szCs w:val="16"/>
                  <w:b w:val="1"/>
                  <w:bCs w:val="1"/>
                  <w:color w:val="04568A"/>
                </w:rPr>
                <w:t>Executive Compensation Clawback Policy</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8">
              <w:r>
                <w:rPr>
                  <w:rFonts w:ascii="Arial" w:cs="Arial" w:eastAsia="Arial" w:hAnsi="Arial"/>
                  <w:sz w:val="16"/>
                  <w:szCs w:val="16"/>
                  <w:b w:val="1"/>
                  <w:bCs w:val="1"/>
                  <w:color w:val="04568A"/>
                </w:rPr>
                <w:t>37</w:t>
              </w:r>
            </w:hyperlink>
          </w:p>
        </w:tc>
        <w:tc>
          <w:tcPr>
            <w:tcW w:w="0" w:type="dxa"/>
            <w:vAlign w:val="bottom"/>
          </w:tcPr>
          <w:p>
            <w:pPr>
              <w:spacing w:after="0"/>
              <w:rPr>
                <w:sz w:val="1"/>
                <w:szCs w:val="1"/>
                <w:color w:val="auto"/>
              </w:rPr>
            </w:pPr>
          </w:p>
        </w:tc>
      </w:tr>
      <w:tr>
        <w:trPr>
          <w:trHeight w:val="189"/>
        </w:trPr>
        <w:tc>
          <w:tcPr>
            <w:tcW w:w="7560" w:type="dxa"/>
            <w:vAlign w:val="bottom"/>
            <w:gridSpan w:val="3"/>
          </w:tcPr>
          <w:p>
            <w:pPr>
              <w:ind w:left="180"/>
              <w:spacing w:after="0"/>
              <w:rPr>
                <w:rFonts w:ascii="Arial" w:cs="Arial" w:eastAsia="Arial" w:hAnsi="Arial"/>
                <w:sz w:val="16"/>
                <w:szCs w:val="16"/>
                <w:b w:val="1"/>
                <w:bCs w:val="1"/>
                <w:color w:val="04568A"/>
              </w:rPr>
            </w:pPr>
            <w:hyperlink w:anchor="page38">
              <w:r>
                <w:rPr>
                  <w:rFonts w:ascii="Arial" w:cs="Arial" w:eastAsia="Arial" w:hAnsi="Arial"/>
                  <w:sz w:val="16"/>
                  <w:szCs w:val="16"/>
                  <w:b w:val="1"/>
                  <w:bCs w:val="1"/>
                  <w:color w:val="04568A"/>
                </w:rPr>
                <w:t>Stock Ownership Guidelines for Executive Officers</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8">
              <w:r>
                <w:rPr>
                  <w:rFonts w:ascii="Arial" w:cs="Arial" w:eastAsia="Arial" w:hAnsi="Arial"/>
                  <w:sz w:val="16"/>
                  <w:szCs w:val="16"/>
                  <w:b w:val="1"/>
                  <w:bCs w:val="1"/>
                  <w:color w:val="04568A"/>
                </w:rPr>
                <w:t>37</w:t>
              </w:r>
            </w:hyperlink>
          </w:p>
        </w:tc>
        <w:tc>
          <w:tcPr>
            <w:tcW w:w="0" w:type="dxa"/>
            <w:vAlign w:val="bottom"/>
          </w:tcPr>
          <w:p>
            <w:pPr>
              <w:spacing w:after="0"/>
              <w:rPr>
                <w:sz w:val="1"/>
                <w:szCs w:val="1"/>
                <w:color w:val="auto"/>
              </w:rPr>
            </w:pPr>
          </w:p>
        </w:tc>
      </w:tr>
      <w:tr>
        <w:trPr>
          <w:trHeight w:val="189"/>
        </w:trPr>
        <w:tc>
          <w:tcPr>
            <w:tcW w:w="7560" w:type="dxa"/>
            <w:vAlign w:val="bottom"/>
            <w:gridSpan w:val="3"/>
          </w:tcPr>
          <w:p>
            <w:pPr>
              <w:ind w:left="180"/>
              <w:spacing w:after="0"/>
              <w:rPr>
                <w:rFonts w:ascii="Arial" w:cs="Arial" w:eastAsia="Arial" w:hAnsi="Arial"/>
                <w:sz w:val="16"/>
                <w:szCs w:val="16"/>
                <w:b w:val="1"/>
                <w:bCs w:val="1"/>
                <w:color w:val="04568A"/>
              </w:rPr>
            </w:pPr>
            <w:hyperlink w:anchor="page38">
              <w:r>
                <w:rPr>
                  <w:rFonts w:ascii="Arial" w:cs="Arial" w:eastAsia="Arial" w:hAnsi="Arial"/>
                  <w:sz w:val="16"/>
                  <w:szCs w:val="16"/>
                  <w:b w:val="1"/>
                  <w:bCs w:val="1"/>
                  <w:color w:val="04568A"/>
                </w:rPr>
                <w:t>Anti-Hedging Policy</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8">
              <w:r>
                <w:rPr>
                  <w:rFonts w:ascii="Arial" w:cs="Arial" w:eastAsia="Arial" w:hAnsi="Arial"/>
                  <w:sz w:val="16"/>
                  <w:szCs w:val="16"/>
                  <w:b w:val="1"/>
                  <w:bCs w:val="1"/>
                  <w:color w:val="04568A"/>
                </w:rPr>
                <w:t>37</w:t>
              </w:r>
            </w:hyperlink>
          </w:p>
        </w:tc>
        <w:tc>
          <w:tcPr>
            <w:tcW w:w="0" w:type="dxa"/>
            <w:vAlign w:val="bottom"/>
          </w:tcPr>
          <w:p>
            <w:pPr>
              <w:spacing w:after="0"/>
              <w:rPr>
                <w:sz w:val="1"/>
                <w:szCs w:val="1"/>
                <w:color w:val="auto"/>
              </w:rPr>
            </w:pPr>
          </w:p>
        </w:tc>
      </w:tr>
      <w:tr>
        <w:trPr>
          <w:trHeight w:val="215"/>
        </w:trPr>
        <w:tc>
          <w:tcPr>
            <w:tcW w:w="7560" w:type="dxa"/>
            <w:vAlign w:val="bottom"/>
            <w:gridSpan w:val="3"/>
          </w:tcPr>
          <w:p>
            <w:pPr>
              <w:ind w:left="180"/>
              <w:spacing w:after="0"/>
              <w:rPr>
                <w:rFonts w:ascii="Arial" w:cs="Arial" w:eastAsia="Arial" w:hAnsi="Arial"/>
                <w:sz w:val="16"/>
                <w:szCs w:val="16"/>
                <w:b w:val="1"/>
                <w:bCs w:val="1"/>
                <w:color w:val="04568A"/>
              </w:rPr>
            </w:pPr>
            <w:hyperlink w:anchor="page38">
              <w:r>
                <w:rPr>
                  <w:rFonts w:ascii="Arial" w:cs="Arial" w:eastAsia="Arial" w:hAnsi="Arial"/>
                  <w:sz w:val="16"/>
                  <w:szCs w:val="16"/>
                  <w:b w:val="1"/>
                  <w:bCs w:val="1"/>
                  <w:color w:val="04568A"/>
                </w:rPr>
                <w:t>Report of the Compensation Committee</w:t>
              </w:r>
            </w:hyperlink>
          </w:p>
        </w:tc>
        <w:tc>
          <w:tcPr>
            <w:tcW w:w="2540" w:type="dxa"/>
            <w:vAlign w:val="bottom"/>
          </w:tcPr>
          <w:p>
            <w:pPr>
              <w:jc w:val="right"/>
              <w:ind w:right="99"/>
              <w:spacing w:after="0"/>
              <w:rPr>
                <w:rFonts w:ascii="Arial" w:cs="Arial" w:eastAsia="Arial" w:hAnsi="Arial"/>
                <w:sz w:val="16"/>
                <w:szCs w:val="16"/>
                <w:b w:val="1"/>
                <w:bCs w:val="1"/>
                <w:color w:val="04568A"/>
              </w:rPr>
            </w:pPr>
            <w:hyperlink w:anchor="page38">
              <w:r>
                <w:rPr>
                  <w:rFonts w:ascii="Arial" w:cs="Arial" w:eastAsia="Arial" w:hAnsi="Arial"/>
                  <w:sz w:val="16"/>
                  <w:szCs w:val="16"/>
                  <w:b w:val="1"/>
                  <w:bCs w:val="1"/>
                  <w:color w:val="04568A"/>
                </w:rPr>
                <w:t>37</w:t>
              </w:r>
            </w:hyperlink>
          </w:p>
        </w:tc>
        <w:tc>
          <w:tcPr>
            <w:tcW w:w="0" w:type="dxa"/>
            <w:vAlign w:val="bottom"/>
          </w:tcPr>
          <w:p>
            <w:pPr>
              <w:spacing w:after="0"/>
              <w:rPr>
                <w:sz w:val="1"/>
                <w:szCs w:val="1"/>
                <w:color w:val="auto"/>
              </w:rPr>
            </w:pPr>
          </w:p>
        </w:tc>
      </w:tr>
      <w:tr>
        <w:trPr>
          <w:trHeight w:val="182"/>
        </w:trPr>
        <w:tc>
          <w:tcPr>
            <w:tcW w:w="180" w:type="dxa"/>
            <w:vAlign w:val="bottom"/>
            <w:tcBorders>
              <w:bottom w:val="single" w:sz="8" w:color="auto"/>
            </w:tcBorders>
          </w:tcPr>
          <w:p>
            <w:pPr>
              <w:spacing w:after="0"/>
              <w:rPr>
                <w:sz w:val="15"/>
                <w:szCs w:val="15"/>
                <w:color w:val="auto"/>
              </w:rPr>
            </w:pPr>
          </w:p>
        </w:tc>
        <w:tc>
          <w:tcPr>
            <w:tcW w:w="1820" w:type="dxa"/>
            <w:vAlign w:val="bottom"/>
            <w:tcBorders>
              <w:bottom w:val="single" w:sz="8" w:color="auto"/>
            </w:tcBorders>
          </w:tcPr>
          <w:p>
            <w:pPr>
              <w:spacing w:after="0"/>
              <w:rPr>
                <w:sz w:val="15"/>
                <w:szCs w:val="15"/>
                <w:color w:val="auto"/>
              </w:rPr>
            </w:pPr>
          </w:p>
        </w:tc>
        <w:tc>
          <w:tcPr>
            <w:tcW w:w="5560" w:type="dxa"/>
            <w:vAlign w:val="bottom"/>
            <w:tcBorders>
              <w:bottom w:val="single" w:sz="8" w:color="auto"/>
            </w:tcBorders>
          </w:tcPr>
          <w:p>
            <w:pPr>
              <w:spacing w:after="0"/>
              <w:rPr>
                <w:sz w:val="15"/>
                <w:szCs w:val="15"/>
                <w:color w:val="auto"/>
              </w:rPr>
            </w:pPr>
          </w:p>
        </w:tc>
        <w:tc>
          <w:tcPr>
            <w:tcW w:w="254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bl>
    <w:p>
      <w:pPr>
        <w:spacing w:after="0" w:line="342"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Executive Summary</w:t>
      </w:r>
    </w:p>
    <w:p>
      <w:pPr>
        <w:spacing w:after="0" w:line="237"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 the paragraphs that follow, we provide an overview and analysis of our compensation programs and policies, the material compensation decisions we have made under those programs and policies, and the material factors that we considered in making those decisions. Following this section you will find a series of tables containing specific information about the compensation earned or paid in fiscal 2021 to the following executive officers:</w:t>
      </w:r>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215"/>
        </w:trPr>
        <w:tc>
          <w:tcPr>
            <w:tcW w:w="3280" w:type="dxa"/>
            <w:vAlign w:val="bottom"/>
          </w:tcPr>
          <w:p>
            <w:pPr>
              <w:spacing w:after="0"/>
              <w:rPr>
                <w:sz w:val="20"/>
                <w:szCs w:val="20"/>
                <w:color w:val="auto"/>
              </w:rPr>
            </w:pPr>
            <w:r>
              <w:rPr>
                <w:rFonts w:ascii="Arial" w:cs="Arial" w:eastAsia="Arial" w:hAnsi="Arial"/>
                <w:sz w:val="16"/>
                <w:szCs w:val="16"/>
                <w:b w:val="1"/>
                <w:bCs w:val="1"/>
                <w:color w:val="04568A"/>
              </w:rPr>
              <w:t>2021 NAMED EXECUTIVE OFFICERS</w:t>
            </w:r>
          </w:p>
        </w:tc>
        <w:tc>
          <w:tcPr>
            <w:tcW w:w="7960" w:type="dxa"/>
            <w:vAlign w:val="bottom"/>
          </w:tcPr>
          <w:p>
            <w:pPr>
              <w:spacing w:after="0"/>
              <w:rPr>
                <w:sz w:val="18"/>
                <w:szCs w:val="18"/>
                <w:color w:val="auto"/>
              </w:rPr>
            </w:pPr>
          </w:p>
        </w:tc>
      </w:tr>
      <w:tr>
        <w:trPr>
          <w:trHeight w:val="370"/>
        </w:trPr>
        <w:tc>
          <w:tcPr>
            <w:tcW w:w="328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Name</w:t>
            </w:r>
          </w:p>
        </w:tc>
        <w:tc>
          <w:tcPr>
            <w:tcW w:w="7960" w:type="dxa"/>
            <w:vAlign w:val="bottom"/>
            <w:tcBorders>
              <w:bottom w:val="single" w:sz="8" w:color="04568A"/>
            </w:tcBorders>
          </w:tcPr>
          <w:p>
            <w:pPr>
              <w:ind w:left="440"/>
              <w:spacing w:after="0"/>
              <w:rPr>
                <w:sz w:val="20"/>
                <w:szCs w:val="20"/>
                <w:color w:val="auto"/>
              </w:rPr>
            </w:pPr>
            <w:r>
              <w:rPr>
                <w:rFonts w:ascii="Arial" w:cs="Arial" w:eastAsia="Arial" w:hAnsi="Arial"/>
                <w:sz w:val="16"/>
                <w:szCs w:val="16"/>
                <w:b w:val="1"/>
                <w:bCs w:val="1"/>
                <w:color w:val="04568A"/>
              </w:rPr>
              <w:t>Position</w:t>
            </w:r>
          </w:p>
        </w:tc>
      </w:tr>
      <w:tr>
        <w:trPr>
          <w:trHeight w:val="183"/>
        </w:trPr>
        <w:tc>
          <w:tcPr>
            <w:tcW w:w="3280" w:type="dxa"/>
            <w:vAlign w:val="bottom"/>
          </w:tcPr>
          <w:p>
            <w:pPr>
              <w:ind w:left="60"/>
              <w:spacing w:after="0" w:line="183" w:lineRule="exact"/>
              <w:rPr>
                <w:sz w:val="20"/>
                <w:szCs w:val="20"/>
                <w:color w:val="auto"/>
              </w:rPr>
            </w:pPr>
            <w:r>
              <w:rPr>
                <w:rFonts w:ascii="Arial" w:cs="Arial" w:eastAsia="Arial" w:hAnsi="Arial"/>
                <w:sz w:val="16"/>
                <w:szCs w:val="16"/>
                <w:color w:val="auto"/>
              </w:rPr>
              <w:t>Chirag Patel</w:t>
            </w:r>
          </w:p>
        </w:tc>
        <w:tc>
          <w:tcPr>
            <w:tcW w:w="7960" w:type="dxa"/>
            <w:vAlign w:val="bottom"/>
          </w:tcPr>
          <w:p>
            <w:pPr>
              <w:ind w:left="440"/>
              <w:spacing w:after="0" w:line="183" w:lineRule="exact"/>
              <w:rPr>
                <w:sz w:val="20"/>
                <w:szCs w:val="20"/>
                <w:color w:val="auto"/>
              </w:rPr>
            </w:pPr>
            <w:r>
              <w:rPr>
                <w:rFonts w:ascii="Arial" w:cs="Arial" w:eastAsia="Arial" w:hAnsi="Arial"/>
                <w:sz w:val="16"/>
                <w:szCs w:val="16"/>
                <w:color w:val="auto"/>
              </w:rPr>
              <w:t>Co-Chief Executive Officer and President</w:t>
            </w:r>
          </w:p>
        </w:tc>
      </w:tr>
      <w:tr>
        <w:trPr>
          <w:trHeight w:val="189"/>
        </w:trPr>
        <w:tc>
          <w:tcPr>
            <w:tcW w:w="3280" w:type="dxa"/>
            <w:vAlign w:val="bottom"/>
            <w:shd w:val="clear" w:color="auto" w:fill="E4E9F2"/>
          </w:tcPr>
          <w:p>
            <w:pPr>
              <w:ind w:left="60"/>
              <w:spacing w:after="0"/>
              <w:rPr>
                <w:sz w:val="20"/>
                <w:szCs w:val="20"/>
                <w:color w:val="auto"/>
              </w:rPr>
            </w:pPr>
            <w:r>
              <w:rPr>
                <w:rFonts w:ascii="Arial" w:cs="Arial" w:eastAsia="Arial" w:hAnsi="Arial"/>
                <w:sz w:val="16"/>
                <w:szCs w:val="16"/>
                <w:color w:val="auto"/>
              </w:rPr>
              <w:t>Chintu Patel</w:t>
            </w:r>
          </w:p>
        </w:tc>
        <w:tc>
          <w:tcPr>
            <w:tcW w:w="7960" w:type="dxa"/>
            <w:vAlign w:val="bottom"/>
            <w:shd w:val="clear" w:color="auto" w:fill="E4E9F2"/>
          </w:tcPr>
          <w:p>
            <w:pPr>
              <w:ind w:left="440"/>
              <w:spacing w:after="0"/>
              <w:rPr>
                <w:sz w:val="20"/>
                <w:szCs w:val="20"/>
                <w:color w:val="auto"/>
              </w:rPr>
            </w:pPr>
            <w:r>
              <w:rPr>
                <w:rFonts w:ascii="Arial" w:cs="Arial" w:eastAsia="Arial" w:hAnsi="Arial"/>
                <w:sz w:val="16"/>
                <w:szCs w:val="16"/>
                <w:color w:val="auto"/>
              </w:rPr>
              <w:t>Co-Chief Executive Officer</w:t>
            </w:r>
          </w:p>
        </w:tc>
      </w:tr>
      <w:tr>
        <w:trPr>
          <w:trHeight w:val="189"/>
        </w:trPr>
        <w:tc>
          <w:tcPr>
            <w:tcW w:w="3280" w:type="dxa"/>
            <w:vAlign w:val="bottom"/>
          </w:tcPr>
          <w:p>
            <w:pPr>
              <w:ind w:left="60"/>
              <w:spacing w:after="0"/>
              <w:rPr>
                <w:sz w:val="20"/>
                <w:szCs w:val="20"/>
                <w:color w:val="auto"/>
              </w:rPr>
            </w:pPr>
            <w:r>
              <w:rPr>
                <w:rFonts w:ascii="Arial" w:cs="Arial" w:eastAsia="Arial" w:hAnsi="Arial"/>
                <w:sz w:val="16"/>
                <w:szCs w:val="16"/>
                <w:color w:val="auto"/>
              </w:rPr>
              <w:t>Anastasios Konidaris</w:t>
            </w:r>
          </w:p>
        </w:tc>
        <w:tc>
          <w:tcPr>
            <w:tcW w:w="7960" w:type="dxa"/>
            <w:vAlign w:val="bottom"/>
          </w:tcPr>
          <w:p>
            <w:pPr>
              <w:ind w:left="440"/>
              <w:spacing w:after="0"/>
              <w:rPr>
                <w:sz w:val="20"/>
                <w:szCs w:val="20"/>
                <w:color w:val="auto"/>
              </w:rPr>
            </w:pPr>
            <w:r>
              <w:rPr>
                <w:rFonts w:ascii="Arial" w:cs="Arial" w:eastAsia="Arial" w:hAnsi="Arial"/>
                <w:sz w:val="16"/>
                <w:szCs w:val="16"/>
                <w:color w:val="auto"/>
              </w:rPr>
              <w:t>Executive Vice President and Chief Financial Officer</w:t>
            </w:r>
          </w:p>
        </w:tc>
      </w:tr>
      <w:tr>
        <w:trPr>
          <w:trHeight w:val="189"/>
        </w:trPr>
        <w:tc>
          <w:tcPr>
            <w:tcW w:w="3280" w:type="dxa"/>
            <w:vAlign w:val="bottom"/>
            <w:shd w:val="clear" w:color="auto" w:fill="E4E9F2"/>
          </w:tcPr>
          <w:p>
            <w:pPr>
              <w:ind w:left="60"/>
              <w:spacing w:after="0"/>
              <w:rPr>
                <w:sz w:val="20"/>
                <w:szCs w:val="20"/>
                <w:color w:val="auto"/>
              </w:rPr>
            </w:pPr>
            <w:r>
              <w:rPr>
                <w:rFonts w:ascii="Arial" w:cs="Arial" w:eastAsia="Arial" w:hAnsi="Arial"/>
                <w:sz w:val="16"/>
                <w:szCs w:val="16"/>
                <w:color w:val="auto"/>
              </w:rPr>
              <w:t>Andrew Boyer</w:t>
            </w:r>
          </w:p>
        </w:tc>
        <w:tc>
          <w:tcPr>
            <w:tcW w:w="7960" w:type="dxa"/>
            <w:vAlign w:val="bottom"/>
            <w:shd w:val="clear" w:color="auto" w:fill="E4E9F2"/>
          </w:tcPr>
          <w:p>
            <w:pPr>
              <w:ind w:left="440"/>
              <w:spacing w:after="0"/>
              <w:rPr>
                <w:sz w:val="20"/>
                <w:szCs w:val="20"/>
                <w:color w:val="auto"/>
              </w:rPr>
            </w:pPr>
            <w:r>
              <w:rPr>
                <w:rFonts w:ascii="Arial" w:cs="Arial" w:eastAsia="Arial" w:hAnsi="Arial"/>
                <w:sz w:val="16"/>
                <w:szCs w:val="16"/>
                <w:color w:val="auto"/>
              </w:rPr>
              <w:t>Executive Vice President, Chief Commercial Officer - Generics</w:t>
            </w:r>
          </w:p>
        </w:tc>
      </w:tr>
      <w:tr>
        <w:trPr>
          <w:trHeight w:val="189"/>
        </w:trPr>
        <w:tc>
          <w:tcPr>
            <w:tcW w:w="3280" w:type="dxa"/>
            <w:vAlign w:val="bottom"/>
          </w:tcPr>
          <w:p>
            <w:pPr>
              <w:ind w:left="60"/>
              <w:spacing w:after="0"/>
              <w:rPr>
                <w:sz w:val="20"/>
                <w:szCs w:val="20"/>
                <w:color w:val="auto"/>
              </w:rPr>
            </w:pPr>
            <w:r>
              <w:rPr>
                <w:rFonts w:ascii="Arial" w:cs="Arial" w:eastAsia="Arial" w:hAnsi="Arial"/>
                <w:sz w:val="16"/>
                <w:szCs w:val="16"/>
                <w:color w:val="auto"/>
              </w:rPr>
              <w:t>Joseph Todisco</w:t>
            </w:r>
          </w:p>
        </w:tc>
        <w:tc>
          <w:tcPr>
            <w:tcW w:w="7960" w:type="dxa"/>
            <w:vAlign w:val="bottom"/>
          </w:tcPr>
          <w:p>
            <w:pPr>
              <w:ind w:left="440"/>
              <w:spacing w:after="0"/>
              <w:rPr>
                <w:sz w:val="20"/>
                <w:szCs w:val="20"/>
                <w:color w:val="auto"/>
              </w:rPr>
            </w:pPr>
            <w:r>
              <w:rPr>
                <w:rFonts w:ascii="Arial" w:cs="Arial" w:eastAsia="Arial" w:hAnsi="Arial"/>
                <w:sz w:val="16"/>
                <w:szCs w:val="16"/>
                <w:color w:val="auto"/>
              </w:rPr>
              <w:t>Executive Vice President, Chief Commercial Officer - Specialty</w:t>
            </w:r>
          </w:p>
        </w:tc>
      </w:tr>
      <w:tr>
        <w:trPr>
          <w:trHeight w:val="189"/>
        </w:trPr>
        <w:tc>
          <w:tcPr>
            <w:tcW w:w="328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7960" w:type="dxa"/>
            <w:vAlign w:val="bottom"/>
            <w:tcBorders>
              <w:bottom w:val="single" w:sz="8" w:color="04568A"/>
            </w:tcBorders>
            <w:shd w:val="clear" w:color="auto" w:fill="E4E9F2"/>
          </w:tcPr>
          <w:p>
            <w:pPr>
              <w:ind w:left="440"/>
              <w:spacing w:after="0"/>
              <w:rPr>
                <w:sz w:val="20"/>
                <w:szCs w:val="20"/>
                <w:color w:val="auto"/>
              </w:rPr>
            </w:pPr>
            <w:r>
              <w:rPr>
                <w:rFonts w:ascii="Arial" w:cs="Arial" w:eastAsia="Arial" w:hAnsi="Arial"/>
                <w:sz w:val="16"/>
                <w:szCs w:val="16"/>
                <w:color w:val="auto"/>
              </w:rPr>
              <w:t>Executive Vice President, Chief Human Resources Officer and Strategic Planning Officer</w:t>
            </w:r>
          </w:p>
        </w:tc>
      </w:tr>
    </w:tbl>
    <w:p>
      <w:pPr>
        <w:spacing w:after="0" w:line="19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Throughout this proxy statement we refer to these individuals as our “named executive officers” or “NEOs.” The discussion below is intended to help you understand the detailed information provided in those tables and put that information into context within our overall compensation program.</w:t>
      </w:r>
    </w:p>
    <w:p>
      <w:pPr>
        <w:spacing w:after="0" w:line="148"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31" w:name="page32"/>
    <w:bookmarkEnd w:id="31"/>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spacing w:after="0"/>
        <w:rPr>
          <w:sz w:val="20"/>
          <w:szCs w:val="20"/>
          <w:color w:val="auto"/>
        </w:rPr>
      </w:pPr>
      <w:r>
        <w:rPr>
          <w:rFonts w:ascii="Arial" w:cs="Arial" w:eastAsia="Arial" w:hAnsi="Arial"/>
          <w:sz w:val="16"/>
          <w:szCs w:val="16"/>
          <w:color w:val="auto"/>
        </w:rPr>
        <w:t>The primary objective of our executive compensation program is to provide compensation designed to:</w:t>
      </w:r>
    </w:p>
    <w:p>
      <w:pPr>
        <w:spacing w:after="0" w:line="194" w:lineRule="exact"/>
        <w:rPr>
          <w:sz w:val="20"/>
          <w:szCs w:val="20"/>
          <w:color w:val="auto"/>
        </w:rPr>
      </w:pPr>
    </w:p>
    <w:p>
      <w:pPr>
        <w:ind w:left="180" w:hanging="172"/>
        <w:spacing w:after="0"/>
        <w:tabs>
          <w:tab w:leader="none" w:pos="180" w:val="left"/>
        </w:tabs>
        <w:numPr>
          <w:ilvl w:val="0"/>
          <w:numId w:val="25"/>
        </w:numPr>
        <w:rPr>
          <w:rFonts w:ascii="Arial" w:cs="Arial" w:eastAsia="Arial" w:hAnsi="Arial"/>
          <w:sz w:val="16"/>
          <w:szCs w:val="16"/>
          <w:color w:val="04568A"/>
        </w:rPr>
      </w:pPr>
      <w:r>
        <w:rPr>
          <w:rFonts w:ascii="Arial" w:cs="Arial" w:eastAsia="Arial" w:hAnsi="Arial"/>
          <w:sz w:val="16"/>
          <w:szCs w:val="16"/>
          <w:color w:val="auto"/>
        </w:rPr>
        <w:t>attract, motivate and retain executive officers of outstanding ability and potential;</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25"/>
        </w:numPr>
        <w:rPr>
          <w:rFonts w:ascii="Arial" w:cs="Arial" w:eastAsia="Arial" w:hAnsi="Arial"/>
          <w:sz w:val="16"/>
          <w:szCs w:val="16"/>
          <w:color w:val="04568A"/>
        </w:rPr>
      </w:pPr>
      <w:r>
        <w:rPr>
          <w:rFonts w:ascii="Arial" w:cs="Arial" w:eastAsia="Arial" w:hAnsi="Arial"/>
          <w:sz w:val="16"/>
          <w:szCs w:val="16"/>
          <w:color w:val="auto"/>
        </w:rPr>
        <w:t>reinforce the execution of our business strategy and the achievement of our business objectives; and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25"/>
        </w:numPr>
        <w:rPr>
          <w:rFonts w:ascii="Arial" w:cs="Arial" w:eastAsia="Arial" w:hAnsi="Arial"/>
          <w:sz w:val="16"/>
          <w:szCs w:val="16"/>
          <w:color w:val="04568A"/>
        </w:rPr>
      </w:pPr>
      <w:r>
        <w:rPr>
          <w:rFonts w:ascii="Arial" w:cs="Arial" w:eastAsia="Arial" w:hAnsi="Arial"/>
          <w:sz w:val="16"/>
          <w:szCs w:val="16"/>
          <w:color w:val="auto"/>
        </w:rPr>
        <w:t>align the interests of our executive officers with the interests of our stockholders, with the ultimate objective of increasing stockholder value.</w:t>
      </w:r>
    </w:p>
    <w:p>
      <w:pPr>
        <w:spacing w:after="0" w:line="19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Compensation Committee aims to provide incentives for superior performance in a given year and over a sustained period by paying fair, reasonable and competitive compensation, and by basing a significant portion of our total compensation package upon achieving that performance (i.e., “pay for performance”).</w:t>
      </w:r>
    </w:p>
    <w:p>
      <w:pPr>
        <w:spacing w:after="0" w:line="17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We also aim for simplicity in our compensation program so that it is easy for our employees and our stockholders to understand the various components of our compensation program and the incentives designed to drive Company performance. The three key components of our executive compensation program are base salary, annual cash performance-based incentive and equity-based long-term incentive awards.</w:t>
      </w:r>
    </w:p>
    <w:p>
      <w:pPr>
        <w:spacing w:after="0" w:line="174"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We believe that the compensation program has been instrumental in helping the Company achieve financial and strategic goals, as evidenced by the following:</w:t>
      </w:r>
    </w:p>
    <w:p>
      <w:pPr>
        <w:spacing w:after="0" w:line="346"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2021 Financial Performance*</w:t>
      </w:r>
    </w:p>
    <w:p>
      <w:pPr>
        <w:spacing w:after="0" w:line="205" w:lineRule="exact"/>
        <w:rPr>
          <w:sz w:val="20"/>
          <w:szCs w:val="20"/>
          <w:color w:val="auto"/>
        </w:rPr>
      </w:pPr>
    </w:p>
    <w:p>
      <w:pPr>
        <w:ind w:left="180" w:hanging="172"/>
        <w:spacing w:after="0"/>
        <w:tabs>
          <w:tab w:leader="none" w:pos="180" w:val="left"/>
        </w:tabs>
        <w:numPr>
          <w:ilvl w:val="0"/>
          <w:numId w:val="26"/>
        </w:numPr>
        <w:rPr>
          <w:rFonts w:ascii="Arial" w:cs="Arial" w:eastAsia="Arial" w:hAnsi="Arial"/>
          <w:sz w:val="16"/>
          <w:szCs w:val="16"/>
          <w:color w:val="04568A"/>
        </w:rPr>
      </w:pPr>
      <w:r>
        <w:rPr>
          <w:rFonts w:ascii="Arial" w:cs="Arial" w:eastAsia="Arial" w:hAnsi="Arial"/>
          <w:sz w:val="16"/>
          <w:szCs w:val="16"/>
          <w:color w:val="auto"/>
        </w:rPr>
        <w:t>Net revenue of $2,094</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26"/>
        </w:numPr>
        <w:rPr>
          <w:rFonts w:ascii="Arial" w:cs="Arial" w:eastAsia="Arial" w:hAnsi="Arial"/>
          <w:sz w:val="16"/>
          <w:szCs w:val="16"/>
          <w:color w:val="04568A"/>
        </w:rPr>
      </w:pPr>
      <w:r>
        <w:rPr>
          <w:rFonts w:ascii="Arial" w:cs="Arial" w:eastAsia="Arial" w:hAnsi="Arial"/>
          <w:sz w:val="16"/>
          <w:szCs w:val="16"/>
          <w:color w:val="auto"/>
        </w:rPr>
        <w:t>Net income of $11 and diluted EPS of $0.07</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26"/>
        </w:numPr>
        <w:rPr>
          <w:rFonts w:ascii="Arial" w:cs="Arial" w:eastAsia="Arial" w:hAnsi="Arial"/>
          <w:sz w:val="16"/>
          <w:szCs w:val="16"/>
          <w:color w:val="04568A"/>
        </w:rPr>
      </w:pPr>
      <w:r>
        <w:rPr>
          <w:rFonts w:ascii="Arial" w:cs="Arial" w:eastAsia="Arial" w:hAnsi="Arial"/>
          <w:sz w:val="16"/>
          <w:szCs w:val="16"/>
          <w:color w:val="auto"/>
        </w:rPr>
        <w:t>Adjusted net income of $258</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26"/>
        </w:numPr>
        <w:rPr>
          <w:rFonts w:ascii="Arial" w:cs="Arial" w:eastAsia="Arial" w:hAnsi="Arial"/>
          <w:sz w:val="16"/>
          <w:szCs w:val="16"/>
          <w:color w:val="04568A"/>
        </w:rPr>
      </w:pPr>
      <w:r>
        <w:rPr>
          <w:rFonts w:ascii="Arial" w:cs="Arial" w:eastAsia="Arial" w:hAnsi="Arial"/>
          <w:sz w:val="16"/>
          <w:szCs w:val="16"/>
          <w:color w:val="auto"/>
        </w:rPr>
        <w:t>Adjusted EBITDA of $538</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26"/>
        </w:numPr>
        <w:rPr>
          <w:rFonts w:ascii="Arial" w:cs="Arial" w:eastAsia="Arial" w:hAnsi="Arial"/>
          <w:sz w:val="16"/>
          <w:szCs w:val="16"/>
          <w:color w:val="04568A"/>
        </w:rPr>
      </w:pPr>
      <w:r>
        <w:rPr>
          <w:rFonts w:ascii="Arial" w:cs="Arial" w:eastAsia="Arial" w:hAnsi="Arial"/>
          <w:sz w:val="16"/>
          <w:szCs w:val="16"/>
          <w:color w:val="auto"/>
        </w:rPr>
        <w:t>Adjusted diluted EPS of $0.85</w:t>
      </w:r>
    </w:p>
    <w:p>
      <w:pPr>
        <w:spacing w:after="0" w:line="194"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2021 was a year of strong operational performance and broad-based growth across our business. Adjusted net income, adjusted EBITDA and adjusted diluted EPS are not financial measures in conformity with U.S. generally accepted accounting principles (“GAAP”). Please see “Appendix A – Non-GAAP Measures” for more information, including reconciliations to the most directly comparable GAAP measures along with an explanation for why we use these measures and how they are useful to investors.</w:t>
      </w:r>
    </w:p>
    <w:p>
      <w:pPr>
        <w:spacing w:after="0" w:line="164" w:lineRule="exact"/>
        <w:rPr>
          <w:sz w:val="20"/>
          <w:szCs w:val="20"/>
          <w:color w:val="auto"/>
        </w:rPr>
      </w:pPr>
    </w:p>
    <w:p>
      <w:pPr>
        <w:ind w:left="280" w:hanging="272"/>
        <w:spacing w:after="0"/>
        <w:tabs>
          <w:tab w:leader="none" w:pos="280" w:val="left"/>
        </w:tabs>
        <w:numPr>
          <w:ilvl w:val="0"/>
          <w:numId w:val="27"/>
        </w:numPr>
        <w:rPr>
          <w:rFonts w:ascii="Arial" w:cs="Arial" w:eastAsia="Arial" w:hAnsi="Arial"/>
          <w:sz w:val="14"/>
          <w:szCs w:val="14"/>
          <w:i w:val="1"/>
          <w:iCs w:val="1"/>
          <w:color w:val="auto"/>
        </w:rPr>
      </w:pPr>
      <w:r>
        <w:rPr>
          <w:rFonts w:ascii="Arial" w:cs="Arial" w:eastAsia="Arial" w:hAnsi="Arial"/>
          <w:sz w:val="14"/>
          <w:szCs w:val="14"/>
          <w:i w:val="1"/>
          <w:iCs w:val="1"/>
          <w:color w:val="auto"/>
        </w:rPr>
        <w:t>(In millions, except per share data).</w:t>
      </w:r>
    </w:p>
    <w:p>
      <w:pPr>
        <w:spacing w:after="0" w:line="172"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Operational Execution</w:t>
      </w:r>
    </w:p>
    <w:p>
      <w:pPr>
        <w:spacing w:after="0" w:line="205" w:lineRule="exact"/>
        <w:rPr>
          <w:sz w:val="20"/>
          <w:szCs w:val="20"/>
          <w:color w:val="auto"/>
        </w:rPr>
      </w:pPr>
    </w:p>
    <w:p>
      <w:pPr>
        <w:ind w:left="180" w:hanging="172"/>
        <w:spacing w:after="0"/>
        <w:tabs>
          <w:tab w:leader="none" w:pos="180" w:val="left"/>
        </w:tabs>
        <w:numPr>
          <w:ilvl w:val="0"/>
          <w:numId w:val="28"/>
        </w:numPr>
        <w:rPr>
          <w:rFonts w:ascii="Arial" w:cs="Arial" w:eastAsia="Arial" w:hAnsi="Arial"/>
          <w:sz w:val="16"/>
          <w:szCs w:val="16"/>
          <w:color w:val="04568A"/>
        </w:rPr>
      </w:pPr>
      <w:r>
        <w:rPr>
          <w:rFonts w:ascii="Arial" w:cs="Arial" w:eastAsia="Arial" w:hAnsi="Arial"/>
          <w:sz w:val="16"/>
          <w:szCs w:val="16"/>
          <w:color w:val="auto"/>
        </w:rPr>
        <w:t>During fiscal 2021, we launched 28 new Generics segment products.</w:t>
      </w:r>
    </w:p>
    <w:p>
      <w:pPr>
        <w:spacing w:after="0" w:line="86" w:lineRule="exact"/>
        <w:rPr>
          <w:rFonts w:ascii="Arial" w:cs="Arial" w:eastAsia="Arial" w:hAnsi="Arial"/>
          <w:sz w:val="16"/>
          <w:szCs w:val="16"/>
          <w:color w:val="04568A"/>
        </w:rPr>
      </w:pPr>
    </w:p>
    <w:p>
      <w:pPr>
        <w:ind w:left="180" w:hanging="172"/>
        <w:spacing w:after="0" w:line="279" w:lineRule="auto"/>
        <w:tabs>
          <w:tab w:leader="none" w:pos="180" w:val="left"/>
        </w:tabs>
        <w:numPr>
          <w:ilvl w:val="0"/>
          <w:numId w:val="28"/>
        </w:numPr>
        <w:rPr>
          <w:rFonts w:ascii="Arial" w:cs="Arial" w:eastAsia="Arial" w:hAnsi="Arial"/>
          <w:sz w:val="16"/>
          <w:szCs w:val="16"/>
          <w:color w:val="04568A"/>
        </w:rPr>
      </w:pPr>
      <w:r>
        <w:rPr>
          <w:rFonts w:ascii="Arial" w:cs="Arial" w:eastAsia="Arial" w:hAnsi="Arial"/>
          <w:sz w:val="16"/>
          <w:szCs w:val="16"/>
          <w:color w:val="auto"/>
        </w:rPr>
        <w:t>As of February 2022, we had approximately 114 Generics segment products with ANDAs submitted and 128 Generics segment products in the development pipeline. We achieved strong net sales growth with our Rytary</w:t>
      </w:r>
      <w:r>
        <w:rPr>
          <w:rFonts w:ascii="Arial" w:cs="Arial" w:eastAsia="Arial" w:hAnsi="Arial"/>
          <w:sz w:val="26"/>
          <w:szCs w:val="26"/>
          <w:color w:val="auto"/>
          <w:vertAlign w:val="superscript"/>
        </w:rPr>
        <w:t>®</w:t>
      </w:r>
      <w:r>
        <w:rPr>
          <w:rFonts w:ascii="Arial" w:cs="Arial" w:eastAsia="Arial" w:hAnsi="Arial"/>
          <w:sz w:val="16"/>
          <w:szCs w:val="16"/>
          <w:color w:val="auto"/>
        </w:rPr>
        <w:t xml:space="preserve"> and Unithroid</w:t>
      </w:r>
      <w:r>
        <w:rPr>
          <w:rFonts w:ascii="Arial" w:cs="Arial" w:eastAsia="Arial" w:hAnsi="Arial"/>
          <w:sz w:val="26"/>
          <w:szCs w:val="26"/>
          <w:color w:val="auto"/>
          <w:vertAlign w:val="superscript"/>
        </w:rPr>
        <w:t>®</w:t>
      </w:r>
      <w:r>
        <w:rPr>
          <w:rFonts w:ascii="Arial" w:cs="Arial" w:eastAsia="Arial" w:hAnsi="Arial"/>
          <w:sz w:val="16"/>
          <w:szCs w:val="16"/>
          <w:color w:val="auto"/>
        </w:rPr>
        <w:t xml:space="preserve"> products in our Specialty segment.</w:t>
      </w:r>
    </w:p>
    <w:p>
      <w:pPr>
        <w:spacing w:after="0" w:line="197"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Role of the Compensation Committee</w:t>
      </w:r>
    </w:p>
    <w:p>
      <w:pPr>
        <w:spacing w:after="0" w:line="237"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 Compensation Committee of our Board of Directors is responsible for setting and administering the policies that govern salary, annual and long-term incentive programs and other compensation and benefits for our executive officers. The Compensation Committee annually evaluates the performance of, and evaluates the compensation of, our Co-Chief Executive Officers based upon a combination of the achievement of corporate goals and individual performance. As part of its performance review process, the Compensation Committee solicits the input of the full Board of Directors and makes recommendations to the full Board, which makes compensation decisions with respect to our Co-Chief Executive Officers on the basis of those recommendations. The Compensation Committee oversees various executive and employee compensation plans and programs, and it has responsibility for continually monitoring these plans and programs to confirm that they adhere to our compensation philosophy and objectives. Our Compensation Committee determines the appropriate compensation levels of executives, evaluates officer and director compensation plans, policies and programs, and reviews benefit plans for officers. Our Compensation Committee believes that the total compensation paid to our named executive officers should be fair, reasonable and competitive, and that a significant portion of the total compensation should be tied to our Company’s annual and long-term performance.</w:t>
      </w:r>
    </w:p>
    <w:p>
      <w:pPr>
        <w:spacing w:after="0" w:line="232"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Compensation Committee has the authority to engage the services of outside advisers, experts and others to assist the Compensation Committee, and believes that it is important to do so from time to time. See “Peer Group Surveys and the Role of Our Compensation Consultant” below.</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31</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32" w:name="page33"/>
    <w:bookmarkEnd w:id="32"/>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Role of Our Co-Chief Executive Officers in Compensation Decisions</w:t>
      </w:r>
    </w:p>
    <w:p>
      <w:pPr>
        <w:spacing w:after="0" w:line="237"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Regarding most compensation matters, including executive compensation and our annual and long-term incentive plans, Chirag Patel, our Co-Chief Executive Officer and President and Chintu Patel, our Co-Chief Executive Officer, evaluate the performance of our other executive officers and make recommendations to the Compensation Committee on the basis of these reviews, including with respect to salary adjustments and incentive plan award amounts for the other executive officers. The Compensation Committee, however, does not delegate any of its functions to others in setting compensation for our named executive officers and exercises its judgment to make final compensation determinations.</w:t>
      </w:r>
    </w:p>
    <w:p>
      <w:pPr>
        <w:spacing w:after="0" w:line="176" w:lineRule="exact"/>
        <w:rPr>
          <w:sz w:val="20"/>
          <w:szCs w:val="20"/>
          <w:color w:val="auto"/>
        </w:rPr>
      </w:pPr>
    </w:p>
    <w:p>
      <w:pPr>
        <w:jc w:val="both"/>
        <w:ind w:right="20"/>
        <w:spacing w:after="0" w:line="253" w:lineRule="auto"/>
        <w:rPr>
          <w:sz w:val="20"/>
          <w:szCs w:val="20"/>
          <w:color w:val="auto"/>
        </w:rPr>
      </w:pPr>
      <w:r>
        <w:rPr>
          <w:rFonts w:ascii="Arial" w:cs="Arial" w:eastAsia="Arial" w:hAnsi="Arial"/>
          <w:sz w:val="16"/>
          <w:szCs w:val="16"/>
          <w:color w:val="auto"/>
        </w:rPr>
        <w:t>Neither of the Co-Chief Executive Officers participates in the decision making regarding his own compensation, and neither is present when his compensation is discussed. Our Compensation Committee reports the compensation decisions it has made with respect to our executive officers other than our Co-Chief Executive Officers to the Board of Directors.</w:t>
      </w:r>
    </w:p>
    <w:p>
      <w:pPr>
        <w:spacing w:after="0" w:line="325"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Peer Group Surveys and the Role of Our Compensation Consultant</w:t>
      </w:r>
    </w:p>
    <w:p>
      <w:pPr>
        <w:spacing w:after="0" w:line="237"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Compensation Committee reviews and evaluates the independence of its Compensation Consultant each year and has the final authority to hire and terminate the consultant. During fiscal year 2021 the Compensation Committee initiated an RFP (Request for Proposal) and evaluated proposals from five consulting firms to act as the Compensation Committee’s independent consultant. Based on the Compensation Committee evaluation against predefined criteria, the Compensation Committee selected to re-engage Aon’s Human Capital Solutions practice, a division of Aon plc. Aon’s services are limited to advising the Compensation Committee with respect to executive compensation and non-employee director compensation.</w:t>
      </w:r>
    </w:p>
    <w:p>
      <w:pPr>
        <w:spacing w:after="0" w:line="176"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The Compensation Committee has assessed the independence of Aon considering applicable SEC and NYSE standards and has concluded AON is independent, and AON’s engagement presented no conflicts of interest in 2021.</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Compensation Committee reviews the composition of our peer group annually to ensure that the companies constituting the peer group continue to provide meaningful and relevant compensation comparisons, including the appropriate industry and sub-industry (i.e., generic pharmaceuticals), financial metric comparisons (such as revenue, EBITDA, market capitalization and financial growth), number of employees and location. In considering these factors for 2021, and based on the recommendation of its independent compensation consultant, the Compensation Committee removed Akorn, Inc., Mylan N.V. and Teva Pharmaceutical Industries Ltd. from the prior peer group and added Lannett Company.</w:t>
      </w:r>
    </w:p>
    <w:p>
      <w:pPr>
        <w:spacing w:after="0" w:line="176"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Our Compensation Committee finds comparative data from our peer group to be useful in setting and adjusting executive compensation, but it does not target our programs or any particular element of compensation to be at or within a particular percentile or range compared to our peers. Our Compensation Committee uses the peer group data along with other relevant compensation survey sources to ensure that our executive compensation program and its constituent elements are and remain competitive in relation to our peers, and applies judgment and discretion in establishing targeted compensation levels taking into account not only competitive market data but also the experience of the executive, scope of responsibility, critical skill sets and expertise.</w:t>
      </w:r>
    </w:p>
    <w:p>
      <w:pPr>
        <w:spacing w:after="0" w:line="176" w:lineRule="exact"/>
        <w:rPr>
          <w:sz w:val="20"/>
          <w:szCs w:val="20"/>
          <w:color w:val="auto"/>
        </w:rPr>
      </w:pPr>
    </w:p>
    <w:p>
      <w:pPr>
        <w:spacing w:after="0"/>
        <w:rPr>
          <w:sz w:val="20"/>
          <w:szCs w:val="20"/>
          <w:color w:val="auto"/>
        </w:rPr>
      </w:pPr>
      <w:r>
        <w:rPr>
          <w:rFonts w:ascii="Arial" w:cs="Arial" w:eastAsia="Arial" w:hAnsi="Arial"/>
          <w:sz w:val="16"/>
          <w:szCs w:val="16"/>
          <w:color w:val="auto"/>
        </w:rPr>
        <w:t>Our 2021 peer group consisted of the following publicly traded companies:</w:t>
      </w:r>
    </w:p>
    <w:p>
      <w:pPr>
        <w:spacing w:after="0" w:line="172"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160" w:type="dxa"/>
            <w:vAlign w:val="bottom"/>
            <w:tcBorders>
              <w:top w:val="single" w:sz="8" w:color="04568A"/>
            </w:tcBorders>
          </w:tcPr>
          <w:p>
            <w:pPr>
              <w:ind w:left="60"/>
              <w:spacing w:after="0"/>
              <w:rPr>
                <w:sz w:val="20"/>
                <w:szCs w:val="20"/>
                <w:color w:val="auto"/>
              </w:rPr>
            </w:pPr>
            <w:r>
              <w:rPr>
                <w:rFonts w:ascii="Arial" w:cs="Arial" w:eastAsia="Arial" w:hAnsi="Arial"/>
                <w:sz w:val="16"/>
                <w:szCs w:val="16"/>
                <w:color w:val="04568A"/>
              </w:rPr>
              <w:t>•</w:t>
            </w:r>
          </w:p>
        </w:tc>
        <w:tc>
          <w:tcPr>
            <w:tcW w:w="3220" w:type="dxa"/>
            <w:vAlign w:val="bottom"/>
            <w:tcBorders>
              <w:top w:val="single" w:sz="8" w:color="04568A"/>
            </w:tcBorders>
            <w:gridSpan w:val="2"/>
          </w:tcPr>
          <w:p>
            <w:pPr>
              <w:ind w:left="40"/>
              <w:spacing w:after="0"/>
              <w:rPr>
                <w:sz w:val="20"/>
                <w:szCs w:val="20"/>
                <w:color w:val="auto"/>
              </w:rPr>
            </w:pPr>
            <w:r>
              <w:rPr>
                <w:rFonts w:ascii="Arial" w:cs="Arial" w:eastAsia="Arial" w:hAnsi="Arial"/>
                <w:sz w:val="16"/>
                <w:szCs w:val="16"/>
                <w:color w:val="auto"/>
              </w:rPr>
              <w:t>Alkermes plc</w:t>
            </w:r>
          </w:p>
        </w:tc>
        <w:tc>
          <w:tcPr>
            <w:tcW w:w="2580" w:type="dxa"/>
            <w:vAlign w:val="bottom"/>
            <w:tcBorders>
              <w:top w:val="single" w:sz="8" w:color="04568A"/>
            </w:tcBorders>
          </w:tcPr>
          <w:p>
            <w:pPr>
              <w:ind w:left="2480"/>
              <w:spacing w:after="0"/>
              <w:rPr>
                <w:sz w:val="20"/>
                <w:szCs w:val="20"/>
                <w:color w:val="auto"/>
              </w:rPr>
            </w:pPr>
            <w:r>
              <w:rPr>
                <w:rFonts w:ascii="Arial" w:cs="Arial" w:eastAsia="Arial" w:hAnsi="Arial"/>
                <w:sz w:val="16"/>
                <w:szCs w:val="16"/>
                <w:color w:val="04568A"/>
              </w:rPr>
              <w:t>•</w:t>
            </w:r>
          </w:p>
        </w:tc>
        <w:tc>
          <w:tcPr>
            <w:tcW w:w="4840" w:type="dxa"/>
            <w:vAlign w:val="bottom"/>
            <w:tcBorders>
              <w:top w:val="single" w:sz="8" w:color="04568A"/>
            </w:tcBorders>
            <w:gridSpan w:val="2"/>
          </w:tcPr>
          <w:p>
            <w:pPr>
              <w:ind w:left="40"/>
              <w:spacing w:after="0"/>
              <w:rPr>
                <w:sz w:val="20"/>
                <w:szCs w:val="20"/>
                <w:color w:val="auto"/>
              </w:rPr>
            </w:pPr>
            <w:r>
              <w:rPr>
                <w:rFonts w:ascii="Arial" w:cs="Arial" w:eastAsia="Arial" w:hAnsi="Arial"/>
                <w:sz w:val="16"/>
                <w:szCs w:val="16"/>
                <w:color w:val="auto"/>
              </w:rPr>
              <w:t>Jazz Pharmaceuticals plc</w:t>
            </w:r>
          </w:p>
        </w:tc>
        <w:tc>
          <w:tcPr>
            <w:tcW w:w="440" w:type="dxa"/>
            <w:vAlign w:val="bottom"/>
            <w:tcBorders>
              <w:top w:val="single" w:sz="8" w:color="04568A"/>
            </w:tcBorders>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3380" w:type="dxa"/>
            <w:vAlign w:val="bottom"/>
            <w:gridSpan w:val="3"/>
            <w:shd w:val="clear" w:color="auto" w:fill="E4E9F2"/>
          </w:tcPr>
          <w:p>
            <w:pPr>
              <w:ind w:left="60"/>
              <w:spacing w:after="0"/>
              <w:rPr>
                <w:sz w:val="20"/>
                <w:szCs w:val="20"/>
                <w:color w:val="auto"/>
              </w:rPr>
            </w:pPr>
            <w:r>
              <w:rPr>
                <w:rFonts w:ascii="Arial" w:cs="Arial" w:eastAsia="Arial" w:hAnsi="Arial"/>
                <w:sz w:val="16"/>
                <w:szCs w:val="16"/>
                <w:color w:val="04568A"/>
              </w:rPr>
              <w:t xml:space="preserve">• </w:t>
            </w:r>
            <w:r>
              <w:rPr>
                <w:rFonts w:ascii="Arial" w:cs="Arial" w:eastAsia="Arial" w:hAnsi="Arial"/>
                <w:sz w:val="16"/>
                <w:szCs w:val="16"/>
                <w:color w:val="000000"/>
              </w:rPr>
              <w:t>Amphastar Pharmaceuticals, Inc.</w:t>
            </w:r>
          </w:p>
        </w:tc>
        <w:tc>
          <w:tcPr>
            <w:tcW w:w="2580" w:type="dxa"/>
            <w:vAlign w:val="bottom"/>
            <w:shd w:val="clear" w:color="auto" w:fill="E4E9F2"/>
          </w:tcPr>
          <w:p>
            <w:pPr>
              <w:ind w:left="2480"/>
              <w:spacing w:after="0"/>
              <w:rPr>
                <w:sz w:val="20"/>
                <w:szCs w:val="20"/>
                <w:color w:val="auto"/>
              </w:rPr>
            </w:pPr>
            <w:r>
              <w:rPr>
                <w:rFonts w:ascii="Arial" w:cs="Arial" w:eastAsia="Arial" w:hAnsi="Arial"/>
                <w:sz w:val="16"/>
                <w:szCs w:val="16"/>
                <w:color w:val="04568A"/>
              </w:rPr>
              <w:t>•</w:t>
            </w:r>
          </w:p>
        </w:tc>
        <w:tc>
          <w:tcPr>
            <w:tcW w:w="4840" w:type="dxa"/>
            <w:vAlign w:val="bottom"/>
            <w:gridSpan w:val="2"/>
            <w:shd w:val="clear" w:color="auto" w:fill="E4E9F2"/>
          </w:tcPr>
          <w:p>
            <w:pPr>
              <w:ind w:left="40"/>
              <w:spacing w:after="0"/>
              <w:rPr>
                <w:sz w:val="20"/>
                <w:szCs w:val="20"/>
                <w:color w:val="auto"/>
              </w:rPr>
            </w:pPr>
            <w:r>
              <w:rPr>
                <w:rFonts w:ascii="Arial" w:cs="Arial" w:eastAsia="Arial" w:hAnsi="Arial"/>
                <w:sz w:val="16"/>
                <w:szCs w:val="16"/>
                <w:color w:val="auto"/>
              </w:rPr>
              <w:t>Lannett Company</w:t>
            </w:r>
          </w:p>
        </w:tc>
        <w:tc>
          <w:tcPr>
            <w:tcW w:w="440" w:type="dxa"/>
            <w:vAlign w:val="bottom"/>
            <w:shd w:val="clear" w:color="auto" w:fill="E4E9F2"/>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160" w:type="dxa"/>
            <w:vAlign w:val="bottom"/>
          </w:tcPr>
          <w:p>
            <w:pPr>
              <w:ind w:left="60"/>
              <w:spacing w:after="0"/>
              <w:rPr>
                <w:sz w:val="20"/>
                <w:szCs w:val="20"/>
                <w:color w:val="auto"/>
              </w:rPr>
            </w:pPr>
            <w:r>
              <w:rPr>
                <w:rFonts w:ascii="Arial" w:cs="Arial" w:eastAsia="Arial" w:hAnsi="Arial"/>
                <w:sz w:val="16"/>
                <w:szCs w:val="16"/>
                <w:color w:val="04568A"/>
              </w:rPr>
              <w:t>•</w:t>
            </w:r>
          </w:p>
        </w:tc>
        <w:tc>
          <w:tcPr>
            <w:tcW w:w="3220" w:type="dxa"/>
            <w:vAlign w:val="bottom"/>
            <w:gridSpan w:val="2"/>
          </w:tcPr>
          <w:p>
            <w:pPr>
              <w:ind w:left="40"/>
              <w:spacing w:after="0"/>
              <w:rPr>
                <w:sz w:val="20"/>
                <w:szCs w:val="20"/>
                <w:color w:val="auto"/>
              </w:rPr>
            </w:pPr>
            <w:r>
              <w:rPr>
                <w:rFonts w:ascii="Arial" w:cs="Arial" w:eastAsia="Arial" w:hAnsi="Arial"/>
                <w:sz w:val="16"/>
                <w:szCs w:val="16"/>
                <w:color w:val="auto"/>
              </w:rPr>
              <w:t>Catalent, Inc.</w:t>
            </w:r>
          </w:p>
        </w:tc>
        <w:tc>
          <w:tcPr>
            <w:tcW w:w="2580" w:type="dxa"/>
            <w:vAlign w:val="bottom"/>
          </w:tcPr>
          <w:p>
            <w:pPr>
              <w:ind w:left="2480"/>
              <w:spacing w:after="0"/>
              <w:rPr>
                <w:sz w:val="20"/>
                <w:szCs w:val="20"/>
                <w:color w:val="auto"/>
              </w:rPr>
            </w:pPr>
            <w:r>
              <w:rPr>
                <w:rFonts w:ascii="Arial" w:cs="Arial" w:eastAsia="Arial" w:hAnsi="Arial"/>
                <w:sz w:val="16"/>
                <w:szCs w:val="16"/>
                <w:color w:val="04568A"/>
              </w:rPr>
              <w:t>•</w:t>
            </w:r>
          </w:p>
        </w:tc>
        <w:tc>
          <w:tcPr>
            <w:tcW w:w="4840" w:type="dxa"/>
            <w:vAlign w:val="bottom"/>
            <w:gridSpan w:val="2"/>
          </w:tcPr>
          <w:p>
            <w:pPr>
              <w:ind w:left="40"/>
              <w:spacing w:after="0"/>
              <w:rPr>
                <w:sz w:val="20"/>
                <w:szCs w:val="20"/>
                <w:color w:val="auto"/>
              </w:rPr>
            </w:pPr>
            <w:r>
              <w:rPr>
                <w:rFonts w:ascii="Arial" w:cs="Arial" w:eastAsia="Arial" w:hAnsi="Arial"/>
                <w:sz w:val="16"/>
                <w:szCs w:val="16"/>
                <w:color w:val="auto"/>
              </w:rPr>
              <w:t>Mallinckrodt plc</w:t>
            </w:r>
          </w:p>
        </w:tc>
        <w:tc>
          <w:tcPr>
            <w:tcW w:w="4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160" w:type="dxa"/>
            <w:vAlign w:val="bottom"/>
            <w:shd w:val="clear" w:color="auto" w:fill="E4E9F2"/>
          </w:tcPr>
          <w:p>
            <w:pPr>
              <w:ind w:left="60"/>
              <w:spacing w:after="0"/>
              <w:rPr>
                <w:sz w:val="20"/>
                <w:szCs w:val="20"/>
                <w:color w:val="auto"/>
              </w:rPr>
            </w:pPr>
            <w:r>
              <w:rPr>
                <w:rFonts w:ascii="Arial" w:cs="Arial" w:eastAsia="Arial" w:hAnsi="Arial"/>
                <w:sz w:val="16"/>
                <w:szCs w:val="16"/>
                <w:color w:val="04568A"/>
              </w:rPr>
              <w:t>•</w:t>
            </w:r>
          </w:p>
        </w:tc>
        <w:tc>
          <w:tcPr>
            <w:tcW w:w="3220" w:type="dxa"/>
            <w:vAlign w:val="bottom"/>
            <w:gridSpan w:val="2"/>
            <w:shd w:val="clear" w:color="auto" w:fill="E4E9F2"/>
          </w:tcPr>
          <w:p>
            <w:pPr>
              <w:ind w:left="40"/>
              <w:spacing w:after="0"/>
              <w:rPr>
                <w:sz w:val="20"/>
                <w:szCs w:val="20"/>
                <w:color w:val="auto"/>
              </w:rPr>
            </w:pPr>
            <w:r>
              <w:rPr>
                <w:rFonts w:ascii="Arial" w:cs="Arial" w:eastAsia="Arial" w:hAnsi="Arial"/>
                <w:sz w:val="16"/>
                <w:szCs w:val="16"/>
                <w:color w:val="auto"/>
              </w:rPr>
              <w:t>Emergent BioSolutions Inc.</w:t>
            </w:r>
          </w:p>
        </w:tc>
        <w:tc>
          <w:tcPr>
            <w:tcW w:w="2580" w:type="dxa"/>
            <w:vAlign w:val="bottom"/>
            <w:shd w:val="clear" w:color="auto" w:fill="E4E9F2"/>
          </w:tcPr>
          <w:p>
            <w:pPr>
              <w:ind w:left="2480"/>
              <w:spacing w:after="0"/>
              <w:rPr>
                <w:sz w:val="20"/>
                <w:szCs w:val="20"/>
                <w:color w:val="auto"/>
              </w:rPr>
            </w:pPr>
            <w:r>
              <w:rPr>
                <w:rFonts w:ascii="Arial" w:cs="Arial" w:eastAsia="Arial" w:hAnsi="Arial"/>
                <w:sz w:val="16"/>
                <w:szCs w:val="16"/>
                <w:color w:val="04568A"/>
              </w:rPr>
              <w:t>•</w:t>
            </w:r>
          </w:p>
        </w:tc>
        <w:tc>
          <w:tcPr>
            <w:tcW w:w="4840" w:type="dxa"/>
            <w:vAlign w:val="bottom"/>
            <w:gridSpan w:val="2"/>
            <w:shd w:val="clear" w:color="auto" w:fill="E4E9F2"/>
          </w:tcPr>
          <w:p>
            <w:pPr>
              <w:ind w:left="40"/>
              <w:spacing w:after="0"/>
              <w:rPr>
                <w:sz w:val="20"/>
                <w:szCs w:val="20"/>
                <w:color w:val="auto"/>
              </w:rPr>
            </w:pPr>
            <w:r>
              <w:rPr>
                <w:rFonts w:ascii="Arial" w:cs="Arial" w:eastAsia="Arial" w:hAnsi="Arial"/>
                <w:sz w:val="16"/>
                <w:szCs w:val="16"/>
                <w:color w:val="auto"/>
              </w:rPr>
              <w:t>Perrigo Company plc</w:t>
            </w:r>
          </w:p>
        </w:tc>
        <w:tc>
          <w:tcPr>
            <w:tcW w:w="440" w:type="dxa"/>
            <w:vAlign w:val="bottom"/>
            <w:shd w:val="clear" w:color="auto" w:fill="E4E9F2"/>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160" w:type="dxa"/>
            <w:vAlign w:val="bottom"/>
          </w:tcPr>
          <w:p>
            <w:pPr>
              <w:ind w:left="60"/>
              <w:spacing w:after="0"/>
              <w:rPr>
                <w:sz w:val="20"/>
                <w:szCs w:val="20"/>
                <w:color w:val="auto"/>
              </w:rPr>
            </w:pPr>
            <w:r>
              <w:rPr>
                <w:rFonts w:ascii="Arial" w:cs="Arial" w:eastAsia="Arial" w:hAnsi="Arial"/>
                <w:sz w:val="16"/>
                <w:szCs w:val="16"/>
                <w:color w:val="04568A"/>
              </w:rPr>
              <w:t>•</w:t>
            </w:r>
          </w:p>
        </w:tc>
        <w:tc>
          <w:tcPr>
            <w:tcW w:w="3220" w:type="dxa"/>
            <w:vAlign w:val="bottom"/>
            <w:gridSpan w:val="2"/>
          </w:tcPr>
          <w:p>
            <w:pPr>
              <w:ind w:left="40"/>
              <w:spacing w:after="0"/>
              <w:rPr>
                <w:sz w:val="20"/>
                <w:szCs w:val="20"/>
                <w:color w:val="auto"/>
              </w:rPr>
            </w:pPr>
            <w:r>
              <w:rPr>
                <w:rFonts w:ascii="Arial" w:cs="Arial" w:eastAsia="Arial" w:hAnsi="Arial"/>
                <w:sz w:val="16"/>
                <w:szCs w:val="16"/>
                <w:color w:val="auto"/>
              </w:rPr>
              <w:t>Endo International plc</w:t>
            </w:r>
          </w:p>
        </w:tc>
        <w:tc>
          <w:tcPr>
            <w:tcW w:w="2580" w:type="dxa"/>
            <w:vAlign w:val="bottom"/>
          </w:tcPr>
          <w:p>
            <w:pPr>
              <w:ind w:left="2480"/>
              <w:spacing w:after="0"/>
              <w:rPr>
                <w:sz w:val="20"/>
                <w:szCs w:val="20"/>
                <w:color w:val="auto"/>
              </w:rPr>
            </w:pPr>
            <w:r>
              <w:rPr>
                <w:rFonts w:ascii="Arial" w:cs="Arial" w:eastAsia="Arial" w:hAnsi="Arial"/>
                <w:sz w:val="16"/>
                <w:szCs w:val="16"/>
                <w:color w:val="04568A"/>
              </w:rPr>
              <w:t>•</w:t>
            </w:r>
          </w:p>
        </w:tc>
        <w:tc>
          <w:tcPr>
            <w:tcW w:w="4840" w:type="dxa"/>
            <w:vAlign w:val="bottom"/>
            <w:gridSpan w:val="2"/>
          </w:tcPr>
          <w:p>
            <w:pPr>
              <w:ind w:left="40"/>
              <w:spacing w:after="0"/>
              <w:rPr>
                <w:sz w:val="20"/>
                <w:szCs w:val="20"/>
                <w:color w:val="auto"/>
              </w:rPr>
            </w:pPr>
            <w:r>
              <w:rPr>
                <w:rFonts w:ascii="Arial" w:cs="Arial" w:eastAsia="Arial" w:hAnsi="Arial"/>
                <w:sz w:val="16"/>
                <w:szCs w:val="16"/>
                <w:color w:val="auto"/>
              </w:rPr>
              <w:t>Prestige Consumer Healthcare Inc.</w:t>
            </w:r>
          </w:p>
        </w:tc>
        <w:tc>
          <w:tcPr>
            <w:tcW w:w="4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16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color w:val="04568A"/>
              </w:rPr>
              <w:t>•</w:t>
            </w:r>
          </w:p>
        </w:tc>
        <w:tc>
          <w:tcPr>
            <w:tcW w:w="3220" w:type="dxa"/>
            <w:vAlign w:val="bottom"/>
            <w:tcBorders>
              <w:bottom w:val="single" w:sz="8" w:color="04568A"/>
            </w:tcBorders>
            <w:gridSpan w:val="2"/>
            <w:shd w:val="clear" w:color="auto" w:fill="E4E9F2"/>
          </w:tcPr>
          <w:p>
            <w:pPr>
              <w:ind w:left="40"/>
              <w:spacing w:after="0"/>
              <w:rPr>
                <w:sz w:val="20"/>
                <w:szCs w:val="20"/>
                <w:color w:val="auto"/>
              </w:rPr>
            </w:pPr>
            <w:r>
              <w:rPr>
                <w:rFonts w:ascii="Arial" w:cs="Arial" w:eastAsia="Arial" w:hAnsi="Arial"/>
                <w:sz w:val="16"/>
                <w:szCs w:val="16"/>
                <w:color w:val="auto"/>
              </w:rPr>
              <w:t>Horizon Pharma plc</w:t>
            </w:r>
          </w:p>
        </w:tc>
        <w:tc>
          <w:tcPr>
            <w:tcW w:w="2580" w:type="dxa"/>
            <w:vAlign w:val="bottom"/>
            <w:tcBorders>
              <w:bottom w:val="single" w:sz="8" w:color="04568A"/>
            </w:tcBorders>
            <w:shd w:val="clear" w:color="auto" w:fill="E4E9F2"/>
          </w:tcPr>
          <w:p>
            <w:pPr>
              <w:ind w:left="2480"/>
              <w:spacing w:after="0"/>
              <w:rPr>
                <w:sz w:val="20"/>
                <w:szCs w:val="20"/>
                <w:color w:val="auto"/>
              </w:rPr>
            </w:pPr>
            <w:r>
              <w:rPr>
                <w:rFonts w:ascii="Arial" w:cs="Arial" w:eastAsia="Arial" w:hAnsi="Arial"/>
                <w:sz w:val="16"/>
                <w:szCs w:val="16"/>
                <w:color w:val="04568A"/>
              </w:rPr>
              <w:t>•</w:t>
            </w:r>
          </w:p>
        </w:tc>
        <w:tc>
          <w:tcPr>
            <w:tcW w:w="4840" w:type="dxa"/>
            <w:vAlign w:val="bottom"/>
            <w:tcBorders>
              <w:bottom w:val="single" w:sz="8" w:color="04568A"/>
            </w:tcBorders>
            <w:gridSpan w:val="2"/>
            <w:shd w:val="clear" w:color="auto" w:fill="E4E9F2"/>
          </w:tcPr>
          <w:p>
            <w:pPr>
              <w:ind w:left="40"/>
              <w:spacing w:after="0"/>
              <w:rPr>
                <w:sz w:val="20"/>
                <w:szCs w:val="20"/>
                <w:color w:val="auto"/>
              </w:rPr>
            </w:pPr>
            <w:r>
              <w:rPr>
                <w:rFonts w:ascii="Arial" w:cs="Arial" w:eastAsia="Arial" w:hAnsi="Arial"/>
                <w:sz w:val="16"/>
                <w:szCs w:val="16"/>
                <w:color w:val="auto"/>
              </w:rPr>
              <w:t>United Therapeutics Corporation</w:t>
            </w:r>
          </w:p>
        </w:tc>
        <w:tc>
          <w:tcPr>
            <w:tcW w:w="440" w:type="dxa"/>
            <w:vAlign w:val="bottom"/>
            <w:tcBorders>
              <w:bottom w:val="single" w:sz="8" w:color="04568A"/>
            </w:tcBorders>
            <w:shd w:val="clear" w:color="auto" w:fill="E4E9F2"/>
          </w:tcPr>
          <w:p>
            <w:pPr>
              <w:spacing w:after="0"/>
              <w:rPr>
                <w:sz w:val="16"/>
                <w:szCs w:val="16"/>
                <w:color w:val="auto"/>
              </w:rPr>
            </w:pPr>
          </w:p>
        </w:tc>
        <w:tc>
          <w:tcPr>
            <w:tcW w:w="0" w:type="dxa"/>
            <w:vAlign w:val="bottom"/>
          </w:tcPr>
          <w:p>
            <w:pPr>
              <w:spacing w:after="0"/>
              <w:rPr>
                <w:sz w:val="1"/>
                <w:szCs w:val="1"/>
                <w:color w:val="auto"/>
              </w:rPr>
            </w:pPr>
          </w:p>
        </w:tc>
      </w:tr>
      <w:tr>
        <w:trPr>
          <w:trHeight w:val="277"/>
        </w:trPr>
        <w:tc>
          <w:tcPr>
            <w:tcW w:w="1580" w:type="dxa"/>
            <w:vAlign w:val="bottom"/>
            <w:gridSpan w:val="2"/>
            <w:vMerge w:val="restart"/>
          </w:tcPr>
          <w:p>
            <w:pPr>
              <w:spacing w:after="0"/>
              <w:rPr>
                <w:sz w:val="20"/>
                <w:szCs w:val="20"/>
                <w:color w:val="auto"/>
              </w:rPr>
            </w:pPr>
            <w:r>
              <w:rPr>
                <w:rFonts w:ascii="Arial" w:cs="Arial" w:eastAsia="Arial" w:hAnsi="Arial"/>
                <w:sz w:val="16"/>
                <w:szCs w:val="16"/>
                <w:b w:val="1"/>
                <w:bCs w:val="1"/>
                <w:color w:val="04568A"/>
              </w:rPr>
              <w:t>www.amneal.com</w:t>
            </w:r>
          </w:p>
        </w:tc>
        <w:tc>
          <w:tcPr>
            <w:tcW w:w="1800" w:type="dxa"/>
            <w:vAlign w:val="bottom"/>
            <w:tcBorders>
              <w:bottom w:val="single" w:sz="8" w:color="auto"/>
            </w:tcBorders>
          </w:tcPr>
          <w:p>
            <w:pPr>
              <w:spacing w:after="0"/>
              <w:rPr>
                <w:sz w:val="24"/>
                <w:szCs w:val="24"/>
                <w:color w:val="auto"/>
              </w:rPr>
            </w:pPr>
          </w:p>
        </w:tc>
        <w:tc>
          <w:tcPr>
            <w:tcW w:w="4940" w:type="dxa"/>
            <w:vAlign w:val="bottom"/>
            <w:gridSpan w:val="2"/>
            <w:vMerge w:val="restart"/>
          </w:tcPr>
          <w:p>
            <w:pPr>
              <w:ind w:left="12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480" w:type="dxa"/>
            <w:vAlign w:val="bottom"/>
            <w:tcBorders>
              <w:bottom w:val="single" w:sz="8" w:color="auto"/>
            </w:tcBorders>
          </w:tcPr>
          <w:p>
            <w:pPr>
              <w:spacing w:after="0"/>
              <w:rPr>
                <w:sz w:val="24"/>
                <w:szCs w:val="24"/>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32</w:t>
            </w:r>
          </w:p>
        </w:tc>
        <w:tc>
          <w:tcPr>
            <w:tcW w:w="0" w:type="dxa"/>
            <w:vAlign w:val="bottom"/>
          </w:tcPr>
          <w:p>
            <w:pPr>
              <w:spacing w:after="0"/>
              <w:rPr>
                <w:sz w:val="1"/>
                <w:szCs w:val="1"/>
                <w:color w:val="auto"/>
              </w:rPr>
            </w:pPr>
          </w:p>
        </w:tc>
      </w:tr>
      <w:tr>
        <w:trPr>
          <w:trHeight w:val="82"/>
        </w:trPr>
        <w:tc>
          <w:tcPr>
            <w:tcW w:w="1580" w:type="dxa"/>
            <w:vAlign w:val="bottom"/>
            <w:gridSpan w:val="2"/>
            <w:vMerge w:val="continue"/>
          </w:tcPr>
          <w:p>
            <w:pPr>
              <w:spacing w:after="0"/>
              <w:rPr>
                <w:sz w:val="7"/>
                <w:szCs w:val="7"/>
                <w:color w:val="auto"/>
              </w:rPr>
            </w:pPr>
          </w:p>
        </w:tc>
        <w:tc>
          <w:tcPr>
            <w:tcW w:w="1800" w:type="dxa"/>
            <w:vAlign w:val="bottom"/>
          </w:tcPr>
          <w:p>
            <w:pPr>
              <w:spacing w:after="0"/>
              <w:rPr>
                <w:sz w:val="7"/>
                <w:szCs w:val="7"/>
                <w:color w:val="auto"/>
              </w:rPr>
            </w:pPr>
          </w:p>
        </w:tc>
        <w:tc>
          <w:tcPr>
            <w:tcW w:w="4940" w:type="dxa"/>
            <w:vAlign w:val="bottom"/>
            <w:gridSpan w:val="2"/>
            <w:vMerge w:val="continue"/>
          </w:tcPr>
          <w:p>
            <w:pPr>
              <w:spacing w:after="0"/>
              <w:rPr>
                <w:sz w:val="7"/>
                <w:szCs w:val="7"/>
                <w:color w:val="auto"/>
              </w:rPr>
            </w:pPr>
          </w:p>
        </w:tc>
        <w:tc>
          <w:tcPr>
            <w:tcW w:w="24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160" w:type="dxa"/>
            <w:vAlign w:val="bottom"/>
            <w:tcBorders>
              <w:bottom w:val="single" w:sz="8" w:color="C0C0C0"/>
            </w:tcBorders>
          </w:tcPr>
          <w:p>
            <w:pPr>
              <w:spacing w:after="0"/>
              <w:rPr>
                <w:sz w:val="24"/>
                <w:szCs w:val="24"/>
                <w:color w:val="auto"/>
              </w:rPr>
            </w:pPr>
          </w:p>
        </w:tc>
        <w:tc>
          <w:tcPr>
            <w:tcW w:w="1420" w:type="dxa"/>
            <w:vAlign w:val="bottom"/>
            <w:tcBorders>
              <w:bottom w:val="single" w:sz="8" w:color="C0C0C0"/>
            </w:tcBorders>
          </w:tcPr>
          <w:p>
            <w:pPr>
              <w:spacing w:after="0"/>
              <w:rPr>
                <w:sz w:val="24"/>
                <w:szCs w:val="24"/>
                <w:color w:val="auto"/>
              </w:rPr>
            </w:pPr>
          </w:p>
        </w:tc>
        <w:tc>
          <w:tcPr>
            <w:tcW w:w="1800" w:type="dxa"/>
            <w:vAlign w:val="bottom"/>
            <w:tcBorders>
              <w:bottom w:val="single" w:sz="8" w:color="C0C0C0"/>
            </w:tcBorders>
          </w:tcPr>
          <w:p>
            <w:pPr>
              <w:spacing w:after="0"/>
              <w:rPr>
                <w:sz w:val="24"/>
                <w:szCs w:val="24"/>
                <w:color w:val="auto"/>
              </w:rPr>
            </w:pPr>
          </w:p>
        </w:tc>
        <w:tc>
          <w:tcPr>
            <w:tcW w:w="2580" w:type="dxa"/>
            <w:vAlign w:val="bottom"/>
            <w:tcBorders>
              <w:bottom w:val="single" w:sz="8" w:color="C0C0C0"/>
            </w:tcBorders>
          </w:tcPr>
          <w:p>
            <w:pPr>
              <w:spacing w:after="0"/>
              <w:rPr>
                <w:sz w:val="24"/>
                <w:szCs w:val="24"/>
                <w:color w:val="auto"/>
              </w:rPr>
            </w:pPr>
          </w:p>
        </w:tc>
        <w:tc>
          <w:tcPr>
            <w:tcW w:w="2360" w:type="dxa"/>
            <w:vAlign w:val="bottom"/>
            <w:tcBorders>
              <w:bottom w:val="single" w:sz="8" w:color="C0C0C0"/>
            </w:tcBorders>
          </w:tcPr>
          <w:p>
            <w:pPr>
              <w:spacing w:after="0"/>
              <w:rPr>
                <w:sz w:val="24"/>
                <w:szCs w:val="24"/>
                <w:color w:val="auto"/>
              </w:rPr>
            </w:pPr>
          </w:p>
        </w:tc>
        <w:tc>
          <w:tcPr>
            <w:tcW w:w="24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33" w:name="page34"/>
    <w:bookmarkEnd w:id="33"/>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Components of Executive Compensation</w:t>
      </w:r>
    </w:p>
    <w:p>
      <w:pPr>
        <w:spacing w:after="0" w:line="237"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Consistent with its pay for performance philosophy, the Compensation Committee believes that it is important to place a greater percentage of executives’ and senior managers’ compensation at risk than that of non-executives and non-senior managers. This is done by tying executives’ and senior managers’ compensation directly to the performance of the Company. Accordingly, as set forth in the charts below, a significant portion of executive compensation consists of annual and long-term incentives linked to the Company’s financial performance and/or the performance of the Company’s stock.</w:t>
      </w:r>
    </w:p>
    <w:p>
      <w:pPr>
        <w:spacing w:after="0" w:line="251"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Base Salaries</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In August 2019, the Board appointed Chirag and Chintu Patel as Co-Chief Executive Officers and Chirag Patel as President at which time Messrs. Patel requested, and the Board approved for each of the Messrs. an annual salary of $1.00.</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In December 2020, given that the Co-CEOs were not receiving cash compensation, the Compensation Committee evaluated market practices and made a recommendation to the Board to align the Co-CEO compensation structure with market practice. Consideration was given to our Co-CEO structure including aggregating data for the market’s top two executives as a comparator. Effective January 1, 2021. the Board approved an annual base salary of $750,000 for each of Mr. Chirag Patel and Mr. Chintu Patel. Changes to base salaries for both Mr. Todisco and Ms. Shah are consistent with their employment agreements.</w:t>
      </w:r>
    </w:p>
    <w:p>
      <w:pPr>
        <w:spacing w:after="0" w:line="367"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For each of the other named executives, the Compensation Committee reviewed peer group as well as other compensation survey data as an independent measure to confirm that base salary levels remain fair, reasonable and competitive.</w:t>
      </w:r>
    </w:p>
    <w:p>
      <w:pPr>
        <w:spacing w:after="0" w:line="168" w:lineRule="exact"/>
        <w:rPr>
          <w:sz w:val="20"/>
          <w:szCs w:val="20"/>
          <w:color w:val="auto"/>
        </w:rPr>
      </w:pPr>
    </w:p>
    <w:p>
      <w:pPr>
        <w:spacing w:after="0"/>
        <w:rPr>
          <w:sz w:val="20"/>
          <w:szCs w:val="20"/>
          <w:color w:val="auto"/>
        </w:rPr>
      </w:pPr>
      <w:r>
        <w:rPr>
          <w:rFonts w:ascii="Arial" w:cs="Arial" w:eastAsia="Arial" w:hAnsi="Arial"/>
          <w:sz w:val="16"/>
          <w:szCs w:val="16"/>
          <w:color w:val="auto"/>
        </w:rPr>
        <w:t>The base salaries of our named executive officers as of December 31, 2020 and December 31, 2021, respectively, are set forth below.</w:t>
      </w:r>
    </w:p>
    <w:p>
      <w:pPr>
        <w:spacing w:after="0" w:line="17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482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Name</w:t>
            </w:r>
          </w:p>
        </w:tc>
        <w:tc>
          <w:tcPr>
            <w:tcW w:w="4780" w:type="dxa"/>
            <w:vAlign w:val="bottom"/>
            <w:tcBorders>
              <w:bottom w:val="single" w:sz="8" w:color="04568A"/>
            </w:tcBorders>
            <w:gridSpan w:val="2"/>
          </w:tcPr>
          <w:p>
            <w:pPr>
              <w:jc w:val="right"/>
              <w:ind w:right="139"/>
              <w:spacing w:after="0"/>
              <w:rPr>
                <w:sz w:val="20"/>
                <w:szCs w:val="20"/>
                <w:color w:val="auto"/>
              </w:rPr>
            </w:pPr>
            <w:r>
              <w:rPr>
                <w:rFonts w:ascii="Arial" w:cs="Arial" w:eastAsia="Arial" w:hAnsi="Arial"/>
                <w:sz w:val="16"/>
                <w:szCs w:val="16"/>
                <w:b w:val="1"/>
                <w:bCs w:val="1"/>
                <w:color w:val="04568A"/>
              </w:rPr>
              <w:t>2020 Base Salary</w:t>
            </w:r>
          </w:p>
        </w:tc>
        <w:tc>
          <w:tcPr>
            <w:tcW w:w="1640" w:type="dxa"/>
            <w:vAlign w:val="bottom"/>
            <w:tcBorders>
              <w:bottom w:val="single" w:sz="8" w:color="04568A"/>
            </w:tcBorders>
            <w:gridSpan w:val="2"/>
          </w:tcPr>
          <w:p>
            <w:pPr>
              <w:jc w:val="right"/>
              <w:ind w:right="19"/>
              <w:spacing w:after="0"/>
              <w:rPr>
                <w:sz w:val="20"/>
                <w:szCs w:val="20"/>
                <w:color w:val="auto"/>
              </w:rPr>
            </w:pPr>
            <w:r>
              <w:rPr>
                <w:rFonts w:ascii="Arial" w:cs="Arial" w:eastAsia="Arial" w:hAnsi="Arial"/>
                <w:sz w:val="16"/>
                <w:szCs w:val="16"/>
                <w:b w:val="1"/>
                <w:bCs w:val="1"/>
                <w:color w:val="04568A"/>
              </w:rPr>
              <w:t>2021 Base Salary</w:t>
            </w:r>
          </w:p>
        </w:tc>
      </w:tr>
      <w:tr>
        <w:trPr>
          <w:trHeight w:val="183"/>
        </w:trPr>
        <w:tc>
          <w:tcPr>
            <w:tcW w:w="4820" w:type="dxa"/>
            <w:vAlign w:val="bottom"/>
          </w:tcPr>
          <w:p>
            <w:pPr>
              <w:ind w:left="60"/>
              <w:spacing w:after="0" w:line="183" w:lineRule="exact"/>
              <w:rPr>
                <w:sz w:val="20"/>
                <w:szCs w:val="20"/>
                <w:color w:val="auto"/>
              </w:rPr>
            </w:pPr>
            <w:r>
              <w:rPr>
                <w:rFonts w:ascii="Arial" w:cs="Arial" w:eastAsia="Arial" w:hAnsi="Arial"/>
                <w:sz w:val="16"/>
                <w:szCs w:val="16"/>
                <w:color w:val="auto"/>
              </w:rPr>
              <w:t>Chirag Patel</w:t>
            </w:r>
          </w:p>
        </w:tc>
        <w:tc>
          <w:tcPr>
            <w:tcW w:w="3860" w:type="dxa"/>
            <w:vAlign w:val="bottom"/>
          </w:tcPr>
          <w:p>
            <w:pPr>
              <w:jc w:val="right"/>
              <w:ind w:right="19"/>
              <w:spacing w:after="0" w:line="183" w:lineRule="exact"/>
              <w:rPr>
                <w:sz w:val="20"/>
                <w:szCs w:val="20"/>
                <w:color w:val="auto"/>
              </w:rPr>
            </w:pPr>
            <w:r>
              <w:rPr>
                <w:rFonts w:ascii="Arial" w:cs="Arial" w:eastAsia="Arial" w:hAnsi="Arial"/>
                <w:sz w:val="16"/>
                <w:szCs w:val="16"/>
                <w:color w:val="auto"/>
              </w:rPr>
              <w:t>$</w:t>
            </w:r>
          </w:p>
        </w:tc>
        <w:tc>
          <w:tcPr>
            <w:tcW w:w="920" w:type="dxa"/>
            <w:vAlign w:val="bottom"/>
          </w:tcPr>
          <w:p>
            <w:pPr>
              <w:jc w:val="right"/>
              <w:ind w:right="139"/>
              <w:spacing w:after="0" w:line="183" w:lineRule="exact"/>
              <w:rPr>
                <w:sz w:val="20"/>
                <w:szCs w:val="20"/>
                <w:color w:val="auto"/>
              </w:rPr>
            </w:pPr>
            <w:r>
              <w:rPr>
                <w:rFonts w:ascii="Arial" w:cs="Arial" w:eastAsia="Arial" w:hAnsi="Arial"/>
                <w:sz w:val="16"/>
                <w:szCs w:val="16"/>
                <w:color w:val="auto"/>
              </w:rPr>
              <w:t>1.00</w:t>
            </w:r>
          </w:p>
        </w:tc>
        <w:tc>
          <w:tcPr>
            <w:tcW w:w="840" w:type="dxa"/>
            <w:vAlign w:val="bottom"/>
          </w:tcPr>
          <w:p>
            <w:pPr>
              <w:jc w:val="right"/>
              <w:ind w:right="19"/>
              <w:spacing w:after="0" w:line="183" w:lineRule="exact"/>
              <w:rPr>
                <w:sz w:val="20"/>
                <w:szCs w:val="20"/>
                <w:color w:val="auto"/>
              </w:rPr>
            </w:pPr>
            <w:r>
              <w:rPr>
                <w:rFonts w:ascii="Arial" w:cs="Arial" w:eastAsia="Arial" w:hAnsi="Arial"/>
                <w:sz w:val="16"/>
                <w:szCs w:val="16"/>
                <w:color w:val="auto"/>
              </w:rPr>
              <w:t>$</w:t>
            </w:r>
          </w:p>
        </w:tc>
        <w:tc>
          <w:tcPr>
            <w:tcW w:w="800" w:type="dxa"/>
            <w:vAlign w:val="bottom"/>
          </w:tcPr>
          <w:p>
            <w:pPr>
              <w:jc w:val="right"/>
              <w:ind w:right="19"/>
              <w:spacing w:after="0" w:line="183" w:lineRule="exact"/>
              <w:rPr>
                <w:sz w:val="20"/>
                <w:szCs w:val="20"/>
                <w:color w:val="auto"/>
              </w:rPr>
            </w:pPr>
            <w:r>
              <w:rPr>
                <w:rFonts w:ascii="Arial" w:cs="Arial" w:eastAsia="Arial" w:hAnsi="Arial"/>
                <w:sz w:val="16"/>
                <w:szCs w:val="16"/>
                <w:color w:val="auto"/>
              </w:rPr>
              <w:t>750,000</w:t>
            </w:r>
          </w:p>
        </w:tc>
      </w:tr>
      <w:tr>
        <w:trPr>
          <w:trHeight w:val="189"/>
        </w:trPr>
        <w:tc>
          <w:tcPr>
            <w:tcW w:w="4820" w:type="dxa"/>
            <w:vAlign w:val="bottom"/>
            <w:shd w:val="clear" w:color="auto" w:fill="E4E9F2"/>
          </w:tcPr>
          <w:p>
            <w:pPr>
              <w:ind w:left="60"/>
              <w:spacing w:after="0"/>
              <w:rPr>
                <w:sz w:val="20"/>
                <w:szCs w:val="20"/>
                <w:color w:val="auto"/>
              </w:rPr>
            </w:pPr>
            <w:r>
              <w:rPr>
                <w:rFonts w:ascii="Arial" w:cs="Arial" w:eastAsia="Arial" w:hAnsi="Arial"/>
                <w:sz w:val="16"/>
                <w:szCs w:val="16"/>
                <w:color w:val="auto"/>
              </w:rPr>
              <w:t>Chintu Patel</w:t>
            </w:r>
          </w:p>
        </w:tc>
        <w:tc>
          <w:tcPr>
            <w:tcW w:w="386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39"/>
              <w:spacing w:after="0"/>
              <w:rPr>
                <w:sz w:val="20"/>
                <w:szCs w:val="20"/>
                <w:color w:val="auto"/>
              </w:rPr>
            </w:pPr>
            <w:r>
              <w:rPr>
                <w:rFonts w:ascii="Arial" w:cs="Arial" w:eastAsia="Arial" w:hAnsi="Arial"/>
                <w:sz w:val="16"/>
                <w:szCs w:val="16"/>
                <w:color w:val="auto"/>
              </w:rPr>
              <w:t>1.00</w:t>
            </w:r>
          </w:p>
        </w:tc>
        <w:tc>
          <w:tcPr>
            <w:tcW w:w="84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8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750,000</w:t>
            </w:r>
          </w:p>
        </w:tc>
      </w:tr>
      <w:tr>
        <w:trPr>
          <w:trHeight w:val="189"/>
        </w:trPr>
        <w:tc>
          <w:tcPr>
            <w:tcW w:w="4820" w:type="dxa"/>
            <w:vAlign w:val="bottom"/>
          </w:tcPr>
          <w:p>
            <w:pPr>
              <w:ind w:left="60"/>
              <w:spacing w:after="0"/>
              <w:rPr>
                <w:sz w:val="20"/>
                <w:szCs w:val="20"/>
                <w:color w:val="auto"/>
              </w:rPr>
            </w:pPr>
            <w:r>
              <w:rPr>
                <w:rFonts w:ascii="Arial" w:cs="Arial" w:eastAsia="Arial" w:hAnsi="Arial"/>
                <w:sz w:val="16"/>
                <w:szCs w:val="16"/>
                <w:color w:val="auto"/>
              </w:rPr>
              <w:t>Anastasios Konidaris</w:t>
            </w:r>
          </w:p>
        </w:tc>
        <w:tc>
          <w:tcPr>
            <w:tcW w:w="3860" w:type="dxa"/>
            <w:vAlign w:val="bottom"/>
          </w:tcPr>
          <w:p>
            <w:pPr>
              <w:jc w:val="right"/>
              <w:ind w:right="19"/>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39"/>
              <w:spacing w:after="0"/>
              <w:rPr>
                <w:sz w:val="20"/>
                <w:szCs w:val="20"/>
                <w:color w:val="auto"/>
              </w:rPr>
            </w:pPr>
            <w:r>
              <w:rPr>
                <w:rFonts w:ascii="Arial" w:cs="Arial" w:eastAsia="Arial" w:hAnsi="Arial"/>
                <w:sz w:val="16"/>
                <w:szCs w:val="16"/>
                <w:color w:val="auto"/>
              </w:rPr>
              <w:t>550,000</w:t>
            </w:r>
          </w:p>
        </w:tc>
        <w:tc>
          <w:tcPr>
            <w:tcW w:w="840" w:type="dxa"/>
            <w:vAlign w:val="bottom"/>
          </w:tcPr>
          <w:p>
            <w:pPr>
              <w:jc w:val="right"/>
              <w:ind w:right="19"/>
              <w:spacing w:after="0"/>
              <w:rPr>
                <w:sz w:val="20"/>
                <w:szCs w:val="20"/>
                <w:color w:val="auto"/>
              </w:rPr>
            </w:pPr>
            <w:r>
              <w:rPr>
                <w:rFonts w:ascii="Arial" w:cs="Arial" w:eastAsia="Arial" w:hAnsi="Arial"/>
                <w:sz w:val="16"/>
                <w:szCs w:val="16"/>
                <w:color w:val="auto"/>
              </w:rPr>
              <w:t>$</w:t>
            </w:r>
          </w:p>
        </w:tc>
        <w:tc>
          <w:tcPr>
            <w:tcW w:w="800" w:type="dxa"/>
            <w:vAlign w:val="bottom"/>
          </w:tcPr>
          <w:p>
            <w:pPr>
              <w:jc w:val="right"/>
              <w:ind w:right="19"/>
              <w:spacing w:after="0"/>
              <w:rPr>
                <w:sz w:val="20"/>
                <w:szCs w:val="20"/>
                <w:color w:val="auto"/>
              </w:rPr>
            </w:pPr>
            <w:r>
              <w:rPr>
                <w:rFonts w:ascii="Arial" w:cs="Arial" w:eastAsia="Arial" w:hAnsi="Arial"/>
                <w:sz w:val="16"/>
                <w:szCs w:val="16"/>
                <w:color w:val="auto"/>
              </w:rPr>
              <w:t>550,000</w:t>
            </w:r>
          </w:p>
        </w:tc>
      </w:tr>
      <w:tr>
        <w:trPr>
          <w:trHeight w:val="189"/>
        </w:trPr>
        <w:tc>
          <w:tcPr>
            <w:tcW w:w="4820" w:type="dxa"/>
            <w:vAlign w:val="bottom"/>
            <w:shd w:val="clear" w:color="auto" w:fill="E4E9F2"/>
          </w:tcPr>
          <w:p>
            <w:pPr>
              <w:ind w:left="60"/>
              <w:spacing w:after="0"/>
              <w:rPr>
                <w:sz w:val="20"/>
                <w:szCs w:val="20"/>
                <w:color w:val="auto"/>
              </w:rPr>
            </w:pPr>
            <w:r>
              <w:rPr>
                <w:rFonts w:ascii="Arial" w:cs="Arial" w:eastAsia="Arial" w:hAnsi="Arial"/>
                <w:sz w:val="16"/>
                <w:szCs w:val="16"/>
                <w:color w:val="auto"/>
              </w:rPr>
              <w:t>Andrew Boyer</w:t>
            </w:r>
          </w:p>
        </w:tc>
        <w:tc>
          <w:tcPr>
            <w:tcW w:w="386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39"/>
              <w:spacing w:after="0"/>
              <w:rPr>
                <w:sz w:val="20"/>
                <w:szCs w:val="20"/>
                <w:color w:val="auto"/>
              </w:rPr>
            </w:pPr>
            <w:r>
              <w:rPr>
                <w:rFonts w:ascii="Arial" w:cs="Arial" w:eastAsia="Arial" w:hAnsi="Arial"/>
                <w:sz w:val="16"/>
                <w:szCs w:val="16"/>
                <w:color w:val="auto"/>
              </w:rPr>
              <w:t>600,000</w:t>
            </w:r>
          </w:p>
        </w:tc>
        <w:tc>
          <w:tcPr>
            <w:tcW w:w="84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8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600,000</w:t>
            </w:r>
          </w:p>
        </w:tc>
      </w:tr>
      <w:tr>
        <w:trPr>
          <w:trHeight w:val="189"/>
        </w:trPr>
        <w:tc>
          <w:tcPr>
            <w:tcW w:w="4820" w:type="dxa"/>
            <w:vAlign w:val="bottom"/>
          </w:tcPr>
          <w:p>
            <w:pPr>
              <w:ind w:left="60"/>
              <w:spacing w:after="0"/>
              <w:rPr>
                <w:sz w:val="20"/>
                <w:szCs w:val="20"/>
                <w:color w:val="auto"/>
              </w:rPr>
            </w:pPr>
            <w:r>
              <w:rPr>
                <w:rFonts w:ascii="Arial" w:cs="Arial" w:eastAsia="Arial" w:hAnsi="Arial"/>
                <w:sz w:val="16"/>
                <w:szCs w:val="16"/>
                <w:color w:val="auto"/>
              </w:rPr>
              <w:t>Joseph Todisco</w:t>
            </w:r>
          </w:p>
        </w:tc>
        <w:tc>
          <w:tcPr>
            <w:tcW w:w="3860" w:type="dxa"/>
            <w:vAlign w:val="bottom"/>
          </w:tcPr>
          <w:p>
            <w:pPr>
              <w:jc w:val="right"/>
              <w:ind w:right="19"/>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39"/>
              <w:spacing w:after="0"/>
              <w:rPr>
                <w:sz w:val="20"/>
                <w:szCs w:val="20"/>
                <w:color w:val="auto"/>
              </w:rPr>
            </w:pPr>
            <w:r>
              <w:rPr>
                <w:rFonts w:ascii="Arial" w:cs="Arial" w:eastAsia="Arial" w:hAnsi="Arial"/>
                <w:sz w:val="16"/>
                <w:szCs w:val="16"/>
                <w:color w:val="auto"/>
              </w:rPr>
              <w:t>485,000</w:t>
            </w:r>
          </w:p>
        </w:tc>
        <w:tc>
          <w:tcPr>
            <w:tcW w:w="840" w:type="dxa"/>
            <w:vAlign w:val="bottom"/>
          </w:tcPr>
          <w:p>
            <w:pPr>
              <w:jc w:val="right"/>
              <w:ind w:right="19"/>
              <w:spacing w:after="0"/>
              <w:rPr>
                <w:sz w:val="20"/>
                <w:szCs w:val="20"/>
                <w:color w:val="auto"/>
              </w:rPr>
            </w:pPr>
            <w:r>
              <w:rPr>
                <w:rFonts w:ascii="Arial" w:cs="Arial" w:eastAsia="Arial" w:hAnsi="Arial"/>
                <w:sz w:val="16"/>
                <w:szCs w:val="16"/>
                <w:color w:val="auto"/>
              </w:rPr>
              <w:t>$</w:t>
            </w:r>
          </w:p>
        </w:tc>
        <w:tc>
          <w:tcPr>
            <w:tcW w:w="800" w:type="dxa"/>
            <w:vAlign w:val="bottom"/>
          </w:tcPr>
          <w:p>
            <w:pPr>
              <w:jc w:val="right"/>
              <w:ind w:right="19"/>
              <w:spacing w:after="0"/>
              <w:rPr>
                <w:sz w:val="20"/>
                <w:szCs w:val="20"/>
                <w:color w:val="auto"/>
              </w:rPr>
            </w:pPr>
            <w:r>
              <w:rPr>
                <w:rFonts w:ascii="Arial" w:cs="Arial" w:eastAsia="Arial" w:hAnsi="Arial"/>
                <w:sz w:val="16"/>
                <w:szCs w:val="16"/>
                <w:color w:val="auto"/>
              </w:rPr>
              <w:t>525,000</w:t>
            </w:r>
          </w:p>
        </w:tc>
      </w:tr>
      <w:tr>
        <w:trPr>
          <w:trHeight w:val="189"/>
        </w:trPr>
        <w:tc>
          <w:tcPr>
            <w:tcW w:w="482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3860" w:type="dxa"/>
            <w:vAlign w:val="bottom"/>
            <w:tcBorders>
              <w:bottom w:val="single" w:sz="8" w:color="04568A"/>
            </w:tcBorders>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920" w:type="dxa"/>
            <w:vAlign w:val="bottom"/>
            <w:tcBorders>
              <w:bottom w:val="single" w:sz="8" w:color="04568A"/>
            </w:tcBorders>
            <w:shd w:val="clear" w:color="auto" w:fill="E4E9F2"/>
          </w:tcPr>
          <w:p>
            <w:pPr>
              <w:jc w:val="right"/>
              <w:ind w:right="139"/>
              <w:spacing w:after="0"/>
              <w:rPr>
                <w:sz w:val="20"/>
                <w:szCs w:val="20"/>
                <w:color w:val="auto"/>
              </w:rPr>
            </w:pPr>
            <w:r>
              <w:rPr>
                <w:rFonts w:ascii="Arial" w:cs="Arial" w:eastAsia="Arial" w:hAnsi="Arial"/>
                <w:sz w:val="16"/>
                <w:szCs w:val="16"/>
                <w:color w:val="auto"/>
              </w:rPr>
              <w:t>450,000</w:t>
            </w:r>
          </w:p>
        </w:tc>
        <w:tc>
          <w:tcPr>
            <w:tcW w:w="840" w:type="dxa"/>
            <w:vAlign w:val="bottom"/>
            <w:tcBorders>
              <w:bottom w:val="single" w:sz="8" w:color="04568A"/>
            </w:tcBorders>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800" w:type="dxa"/>
            <w:vAlign w:val="bottom"/>
            <w:tcBorders>
              <w:bottom w:val="single" w:sz="8" w:color="04568A"/>
            </w:tcBorders>
            <w:shd w:val="clear" w:color="auto" w:fill="E4E9F2"/>
          </w:tcPr>
          <w:p>
            <w:pPr>
              <w:jc w:val="right"/>
              <w:ind w:right="19"/>
              <w:spacing w:after="0"/>
              <w:rPr>
                <w:sz w:val="20"/>
                <w:szCs w:val="20"/>
                <w:color w:val="auto"/>
              </w:rPr>
            </w:pPr>
            <w:r>
              <w:rPr>
                <w:rFonts w:ascii="Arial" w:cs="Arial" w:eastAsia="Arial" w:hAnsi="Arial"/>
                <w:sz w:val="16"/>
                <w:szCs w:val="16"/>
                <w:color w:val="auto"/>
              </w:rPr>
              <w:t>485,000</w:t>
            </w:r>
          </w:p>
        </w:tc>
      </w:tr>
    </w:tbl>
    <w:p>
      <w:pPr>
        <w:spacing w:after="0" w:line="267"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Annual and Long-Term Incentive Awards</w:t>
      </w:r>
    </w:p>
    <w:p>
      <w:pPr>
        <w:spacing w:after="0" w:line="231"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In order to align the interests of our stockholders with our compensation plans, we tie significant portions of our named executive officers’ compensation to our annual and long-term financial, operating and stock price performance through annual cash and long-term equity incentives. The Compensation Committee’s philosophy is that named executive officers should expect the level of their compensation to vary with performance, with compensation increasing when performance exceeds our internal targets and budgets and compensation decreasing when performance falls below these expectations.</w:t>
      </w:r>
    </w:p>
    <w:p>
      <w:pPr>
        <w:spacing w:after="0" w:line="251"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Annual Performance-Based Cash Incentive Compensation</w:t>
      </w:r>
    </w:p>
    <w:p>
      <w:pPr>
        <w:spacing w:after="0" w:line="23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Compensation Committee believes that, to reward performance and overall Company success, a portion of an executive officer’s annual cash compensation should be tied to the achievement of the Company’s goals and that individual’s performance goals. The annual incentive program is designed as a pay-for performance plan and includes components for both Company and individual performance.</w:t>
      </w:r>
    </w:p>
    <w:p>
      <w:pPr>
        <w:spacing w:after="0" w:line="17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Company performance is based on achievement of adjusted EBITDA with minimum, target and maximum milestones from which a Company performance multiplier is derived. The minimum performance threshold is 85% and the maximum performance level is 125%; the associated company multiplier ranges from 50% to 150%.</w:t>
      </w:r>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33</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34" w:name="page35"/>
    <w:bookmarkEnd w:id="34"/>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Individual performance is also a component of the annual incentive program measured based on achievement of personal/team performance goals and assessment against the Company’s core values. The individual performance multiplier can range from 0-150%. This annual cash incentive payment is calculated as set forth below.</w:t>
      </w:r>
    </w:p>
    <w:p>
      <w:pPr>
        <w:spacing w:after="0" w:line="172" w:lineRule="exact"/>
        <w:rPr>
          <w:sz w:val="20"/>
          <w:szCs w:val="20"/>
          <w:color w:val="auto"/>
        </w:rPr>
      </w:pPr>
    </w:p>
    <w:tbl>
      <w:tblPr>
        <w:tblLayout w:type="fixed"/>
        <w:tblInd w:w="0" w:type="dxa"/>
        <w:tblCellMar>
          <w:top w:w="0" w:type="dxa"/>
          <w:left w:w="0" w:type="dxa"/>
          <w:bottom w:w="0" w:type="dxa"/>
          <w:right w:w="0" w:type="dxa"/>
        </w:tblCellMar>
      </w:tblPr>
      <w:tr>
        <w:trPr>
          <w:trHeight w:val="252"/>
        </w:trPr>
        <w:tc>
          <w:tcPr>
            <w:tcW w:w="2940" w:type="dxa"/>
            <w:vAlign w:val="bottom"/>
            <w:shd w:val="clear" w:color="auto" w:fill="E4E9F2"/>
          </w:tcPr>
          <w:p>
            <w:pPr>
              <w:jc w:val="center"/>
              <w:spacing w:after="0"/>
              <w:rPr>
                <w:sz w:val="20"/>
                <w:szCs w:val="20"/>
                <w:color w:val="auto"/>
              </w:rPr>
            </w:pPr>
            <w:r>
              <w:rPr>
                <w:rFonts w:ascii="Arial" w:cs="Arial" w:eastAsia="Arial" w:hAnsi="Arial"/>
                <w:sz w:val="16"/>
                <w:szCs w:val="16"/>
                <w:b w:val="1"/>
                <w:bCs w:val="1"/>
                <w:color w:val="04568A"/>
              </w:rPr>
              <w:t>Annual Incentive</w:t>
            </w:r>
          </w:p>
        </w:tc>
        <w:tc>
          <w:tcPr>
            <w:tcW w:w="340" w:type="dxa"/>
            <w:vAlign w:val="bottom"/>
            <w:vMerge w:val="restart"/>
          </w:tcPr>
          <w:p>
            <w:pPr>
              <w:ind w:left="120"/>
              <w:spacing w:after="0"/>
              <w:rPr>
                <w:sz w:val="20"/>
                <w:szCs w:val="20"/>
                <w:color w:val="auto"/>
              </w:rPr>
            </w:pPr>
            <w:r>
              <w:rPr>
                <w:rFonts w:ascii="Arial" w:cs="Arial" w:eastAsia="Arial" w:hAnsi="Arial"/>
                <w:sz w:val="16"/>
                <w:szCs w:val="16"/>
                <w:b w:val="1"/>
                <w:bCs w:val="1"/>
                <w:color w:val="04568A"/>
              </w:rPr>
              <w:t>x</w:t>
            </w:r>
          </w:p>
        </w:tc>
        <w:tc>
          <w:tcPr>
            <w:tcW w:w="2920" w:type="dxa"/>
            <w:vAlign w:val="bottom"/>
            <w:shd w:val="clear" w:color="auto" w:fill="E4E9F2"/>
          </w:tcPr>
          <w:p>
            <w:pPr>
              <w:jc w:val="center"/>
              <w:spacing w:after="0"/>
              <w:rPr>
                <w:sz w:val="20"/>
                <w:szCs w:val="20"/>
                <w:color w:val="auto"/>
              </w:rPr>
            </w:pPr>
            <w:r>
              <w:rPr>
                <w:rFonts w:ascii="Arial" w:cs="Arial" w:eastAsia="Arial" w:hAnsi="Arial"/>
                <w:sz w:val="16"/>
                <w:szCs w:val="16"/>
                <w:b w:val="1"/>
                <w:bCs w:val="1"/>
                <w:color w:val="04568A"/>
              </w:rPr>
              <w:t>Company Performance</w:t>
            </w:r>
          </w:p>
        </w:tc>
        <w:tc>
          <w:tcPr>
            <w:tcW w:w="340" w:type="dxa"/>
            <w:vAlign w:val="bottom"/>
            <w:vMerge w:val="restart"/>
          </w:tcPr>
          <w:p>
            <w:pPr>
              <w:ind w:left="120"/>
              <w:spacing w:after="0"/>
              <w:rPr>
                <w:sz w:val="20"/>
                <w:szCs w:val="20"/>
                <w:color w:val="auto"/>
              </w:rPr>
            </w:pPr>
            <w:r>
              <w:rPr>
                <w:rFonts w:ascii="Arial" w:cs="Arial" w:eastAsia="Arial" w:hAnsi="Arial"/>
                <w:sz w:val="16"/>
                <w:szCs w:val="16"/>
                <w:b w:val="1"/>
                <w:bCs w:val="1"/>
                <w:color w:val="04568A"/>
              </w:rPr>
              <w:t>x</w:t>
            </w:r>
          </w:p>
        </w:tc>
        <w:tc>
          <w:tcPr>
            <w:tcW w:w="2920" w:type="dxa"/>
            <w:vAlign w:val="bottom"/>
            <w:shd w:val="clear" w:color="auto" w:fill="E4E9F2"/>
          </w:tcPr>
          <w:p>
            <w:pPr>
              <w:jc w:val="center"/>
              <w:spacing w:after="0"/>
              <w:rPr>
                <w:sz w:val="20"/>
                <w:szCs w:val="20"/>
                <w:color w:val="auto"/>
              </w:rPr>
            </w:pPr>
            <w:r>
              <w:rPr>
                <w:rFonts w:ascii="Arial" w:cs="Arial" w:eastAsia="Arial" w:hAnsi="Arial"/>
                <w:sz w:val="16"/>
                <w:szCs w:val="16"/>
                <w:b w:val="1"/>
                <w:bCs w:val="1"/>
                <w:color w:val="04568A"/>
              </w:rPr>
              <w:t>Individual Performance</w:t>
            </w:r>
          </w:p>
        </w:tc>
        <w:tc>
          <w:tcPr>
            <w:tcW w:w="320" w:type="dxa"/>
            <w:vAlign w:val="bottom"/>
            <w:vMerge w:val="restart"/>
          </w:tcPr>
          <w:p>
            <w:pPr>
              <w:jc w:val="right"/>
              <w:ind w:right="39"/>
              <w:spacing w:after="0"/>
              <w:rPr>
                <w:sz w:val="20"/>
                <w:szCs w:val="20"/>
                <w:color w:val="auto"/>
              </w:rPr>
            </w:pPr>
            <w:r>
              <w:rPr>
                <w:rFonts w:ascii="Arial" w:cs="Arial" w:eastAsia="Arial" w:hAnsi="Arial"/>
                <w:sz w:val="16"/>
                <w:szCs w:val="16"/>
                <w:b w:val="1"/>
                <w:bCs w:val="1"/>
                <w:color w:val="04568A"/>
              </w:rPr>
              <w:t>=</w:t>
            </w:r>
          </w:p>
        </w:tc>
        <w:tc>
          <w:tcPr>
            <w:tcW w:w="1460" w:type="dxa"/>
            <w:vAlign w:val="bottom"/>
            <w:shd w:val="clear" w:color="auto" w:fill="E4E9F2"/>
          </w:tcPr>
          <w:p>
            <w:pPr>
              <w:ind w:left="380"/>
              <w:spacing w:after="0"/>
              <w:rPr>
                <w:sz w:val="20"/>
                <w:szCs w:val="20"/>
                <w:color w:val="auto"/>
              </w:rPr>
            </w:pPr>
            <w:r>
              <w:rPr>
                <w:rFonts w:ascii="Arial" w:cs="Arial" w:eastAsia="Arial" w:hAnsi="Arial"/>
                <w:sz w:val="16"/>
                <w:szCs w:val="16"/>
                <w:b w:val="1"/>
                <w:bCs w:val="1"/>
                <w:color w:val="04568A"/>
              </w:rPr>
              <w:t>Incentive</w:t>
            </w:r>
          </w:p>
        </w:tc>
        <w:tc>
          <w:tcPr>
            <w:tcW w:w="0" w:type="dxa"/>
            <w:vAlign w:val="bottom"/>
          </w:tcPr>
          <w:p>
            <w:pPr>
              <w:spacing w:after="0"/>
              <w:rPr>
                <w:sz w:val="1"/>
                <w:szCs w:val="1"/>
                <w:color w:val="auto"/>
              </w:rPr>
            </w:pPr>
          </w:p>
        </w:tc>
      </w:tr>
      <w:tr>
        <w:trPr>
          <w:trHeight w:val="120"/>
        </w:trPr>
        <w:tc>
          <w:tcPr>
            <w:tcW w:w="2940" w:type="dxa"/>
            <w:vAlign w:val="bottom"/>
            <w:vMerge w:val="restart"/>
            <w:shd w:val="clear" w:color="auto" w:fill="E4E9F2"/>
          </w:tcPr>
          <w:p>
            <w:pPr>
              <w:jc w:val="center"/>
              <w:spacing w:after="0"/>
              <w:rPr>
                <w:sz w:val="20"/>
                <w:szCs w:val="20"/>
                <w:color w:val="auto"/>
              </w:rPr>
            </w:pPr>
            <w:r>
              <w:rPr>
                <w:rFonts w:ascii="Arial" w:cs="Arial" w:eastAsia="Arial" w:hAnsi="Arial"/>
                <w:sz w:val="16"/>
                <w:szCs w:val="16"/>
                <w:b w:val="1"/>
                <w:bCs w:val="1"/>
                <w:color w:val="04568A"/>
              </w:rPr>
              <w:t>Target Amount</w:t>
            </w:r>
          </w:p>
        </w:tc>
        <w:tc>
          <w:tcPr>
            <w:tcW w:w="340" w:type="dxa"/>
            <w:vAlign w:val="bottom"/>
            <w:vMerge w:val="continue"/>
          </w:tcPr>
          <w:p>
            <w:pPr>
              <w:spacing w:after="0"/>
              <w:rPr>
                <w:sz w:val="10"/>
                <w:szCs w:val="10"/>
                <w:color w:val="auto"/>
              </w:rPr>
            </w:pPr>
          </w:p>
        </w:tc>
        <w:tc>
          <w:tcPr>
            <w:tcW w:w="2920" w:type="dxa"/>
            <w:vAlign w:val="bottom"/>
            <w:vMerge w:val="restart"/>
            <w:shd w:val="clear" w:color="auto" w:fill="E4E9F2"/>
          </w:tcPr>
          <w:p>
            <w:pPr>
              <w:jc w:val="center"/>
              <w:spacing w:after="0"/>
              <w:rPr>
                <w:sz w:val="20"/>
                <w:szCs w:val="20"/>
                <w:color w:val="auto"/>
              </w:rPr>
            </w:pPr>
            <w:r>
              <w:rPr>
                <w:rFonts w:ascii="Arial" w:cs="Arial" w:eastAsia="Arial" w:hAnsi="Arial"/>
                <w:sz w:val="16"/>
                <w:szCs w:val="16"/>
                <w:b w:val="1"/>
                <w:bCs w:val="1"/>
                <w:color w:val="04568A"/>
              </w:rPr>
              <w:t>Multiplier</w:t>
            </w:r>
          </w:p>
        </w:tc>
        <w:tc>
          <w:tcPr>
            <w:tcW w:w="340" w:type="dxa"/>
            <w:vAlign w:val="bottom"/>
            <w:vMerge w:val="continue"/>
          </w:tcPr>
          <w:p>
            <w:pPr>
              <w:spacing w:after="0"/>
              <w:rPr>
                <w:sz w:val="10"/>
                <w:szCs w:val="10"/>
                <w:color w:val="auto"/>
              </w:rPr>
            </w:pPr>
          </w:p>
        </w:tc>
        <w:tc>
          <w:tcPr>
            <w:tcW w:w="2920" w:type="dxa"/>
            <w:vAlign w:val="bottom"/>
            <w:vMerge w:val="restart"/>
            <w:shd w:val="clear" w:color="auto" w:fill="E4E9F2"/>
          </w:tcPr>
          <w:p>
            <w:pPr>
              <w:jc w:val="center"/>
              <w:spacing w:after="0"/>
              <w:rPr>
                <w:sz w:val="20"/>
                <w:szCs w:val="20"/>
                <w:color w:val="auto"/>
              </w:rPr>
            </w:pPr>
            <w:r>
              <w:rPr>
                <w:rFonts w:ascii="Arial" w:cs="Arial" w:eastAsia="Arial" w:hAnsi="Arial"/>
                <w:sz w:val="16"/>
                <w:szCs w:val="16"/>
                <w:b w:val="1"/>
                <w:bCs w:val="1"/>
                <w:color w:val="04568A"/>
              </w:rPr>
              <w:t>Multiplier</w:t>
            </w:r>
          </w:p>
        </w:tc>
        <w:tc>
          <w:tcPr>
            <w:tcW w:w="320" w:type="dxa"/>
            <w:vAlign w:val="bottom"/>
            <w:vMerge w:val="continue"/>
          </w:tcPr>
          <w:p>
            <w:pPr>
              <w:spacing w:after="0"/>
              <w:rPr>
                <w:sz w:val="10"/>
                <w:szCs w:val="10"/>
                <w:color w:val="auto"/>
              </w:rPr>
            </w:pPr>
          </w:p>
        </w:tc>
        <w:tc>
          <w:tcPr>
            <w:tcW w:w="1460" w:type="dxa"/>
            <w:vAlign w:val="bottom"/>
            <w:vMerge w:val="restart"/>
            <w:shd w:val="clear" w:color="auto" w:fill="E4E9F2"/>
          </w:tcPr>
          <w:p>
            <w:pPr>
              <w:ind w:left="400"/>
              <w:spacing w:after="0"/>
              <w:rPr>
                <w:sz w:val="20"/>
                <w:szCs w:val="20"/>
                <w:color w:val="auto"/>
              </w:rPr>
            </w:pPr>
            <w:r>
              <w:rPr>
                <w:rFonts w:ascii="Arial" w:cs="Arial" w:eastAsia="Arial" w:hAnsi="Arial"/>
                <w:sz w:val="16"/>
                <w:szCs w:val="16"/>
                <w:b w:val="1"/>
                <w:bCs w:val="1"/>
                <w:color w:val="04568A"/>
              </w:rPr>
              <w:t>Payment</w:t>
            </w:r>
          </w:p>
        </w:tc>
        <w:tc>
          <w:tcPr>
            <w:tcW w:w="0" w:type="dxa"/>
            <w:vAlign w:val="bottom"/>
          </w:tcPr>
          <w:p>
            <w:pPr>
              <w:spacing w:after="0"/>
              <w:rPr>
                <w:sz w:val="1"/>
                <w:szCs w:val="1"/>
                <w:color w:val="auto"/>
              </w:rPr>
            </w:pPr>
          </w:p>
        </w:tc>
      </w:tr>
      <w:tr>
        <w:trPr>
          <w:trHeight w:val="94"/>
        </w:trPr>
        <w:tc>
          <w:tcPr>
            <w:tcW w:w="2940" w:type="dxa"/>
            <w:vAlign w:val="bottom"/>
            <w:vMerge w:val="continue"/>
            <w:shd w:val="clear" w:color="auto" w:fill="E4E9F2"/>
          </w:tcPr>
          <w:p>
            <w:pPr>
              <w:spacing w:after="0"/>
              <w:rPr>
                <w:sz w:val="8"/>
                <w:szCs w:val="8"/>
                <w:color w:val="auto"/>
              </w:rPr>
            </w:pPr>
          </w:p>
        </w:tc>
        <w:tc>
          <w:tcPr>
            <w:tcW w:w="340" w:type="dxa"/>
            <w:vAlign w:val="bottom"/>
          </w:tcPr>
          <w:p>
            <w:pPr>
              <w:spacing w:after="0"/>
              <w:rPr>
                <w:sz w:val="8"/>
                <w:szCs w:val="8"/>
                <w:color w:val="auto"/>
              </w:rPr>
            </w:pPr>
          </w:p>
        </w:tc>
        <w:tc>
          <w:tcPr>
            <w:tcW w:w="2920" w:type="dxa"/>
            <w:vAlign w:val="bottom"/>
            <w:vMerge w:val="continue"/>
            <w:shd w:val="clear" w:color="auto" w:fill="E4E9F2"/>
          </w:tcPr>
          <w:p>
            <w:pPr>
              <w:spacing w:after="0"/>
              <w:rPr>
                <w:sz w:val="8"/>
                <w:szCs w:val="8"/>
                <w:color w:val="auto"/>
              </w:rPr>
            </w:pPr>
          </w:p>
        </w:tc>
        <w:tc>
          <w:tcPr>
            <w:tcW w:w="340" w:type="dxa"/>
            <w:vAlign w:val="bottom"/>
          </w:tcPr>
          <w:p>
            <w:pPr>
              <w:spacing w:after="0"/>
              <w:rPr>
                <w:sz w:val="8"/>
                <w:szCs w:val="8"/>
                <w:color w:val="auto"/>
              </w:rPr>
            </w:pPr>
          </w:p>
        </w:tc>
        <w:tc>
          <w:tcPr>
            <w:tcW w:w="2920" w:type="dxa"/>
            <w:vAlign w:val="bottom"/>
            <w:vMerge w:val="continue"/>
            <w:shd w:val="clear" w:color="auto" w:fill="E4E9F2"/>
          </w:tcPr>
          <w:p>
            <w:pPr>
              <w:spacing w:after="0"/>
              <w:rPr>
                <w:sz w:val="8"/>
                <w:szCs w:val="8"/>
                <w:color w:val="auto"/>
              </w:rPr>
            </w:pPr>
          </w:p>
        </w:tc>
        <w:tc>
          <w:tcPr>
            <w:tcW w:w="320" w:type="dxa"/>
            <w:vAlign w:val="bottom"/>
          </w:tcPr>
          <w:p>
            <w:pPr>
              <w:spacing w:after="0"/>
              <w:rPr>
                <w:sz w:val="8"/>
                <w:szCs w:val="8"/>
                <w:color w:val="auto"/>
              </w:rPr>
            </w:pPr>
          </w:p>
        </w:tc>
        <w:tc>
          <w:tcPr>
            <w:tcW w:w="1460" w:type="dxa"/>
            <w:vAlign w:val="bottom"/>
            <w:vMerge w:val="continue"/>
            <w:shd w:val="clear" w:color="auto" w:fill="E4E9F2"/>
          </w:tcPr>
          <w:p>
            <w:pPr>
              <w:spacing w:after="0"/>
              <w:rPr>
                <w:sz w:val="8"/>
                <w:szCs w:val="8"/>
                <w:color w:val="auto"/>
              </w:rPr>
            </w:pPr>
          </w:p>
        </w:tc>
        <w:tc>
          <w:tcPr>
            <w:tcW w:w="0" w:type="dxa"/>
            <w:vAlign w:val="bottom"/>
          </w:tcPr>
          <w:p>
            <w:pPr>
              <w:spacing w:after="0"/>
              <w:rPr>
                <w:sz w:val="1"/>
                <w:szCs w:val="1"/>
                <w:color w:val="auto"/>
              </w:rPr>
            </w:pPr>
          </w:p>
        </w:tc>
      </w:tr>
      <w:tr>
        <w:trPr>
          <w:trHeight w:val="73"/>
        </w:trPr>
        <w:tc>
          <w:tcPr>
            <w:tcW w:w="2940" w:type="dxa"/>
            <w:vAlign w:val="bottom"/>
            <w:shd w:val="clear" w:color="auto" w:fill="E4E9F2"/>
          </w:tcPr>
          <w:p>
            <w:pPr>
              <w:spacing w:after="0"/>
              <w:rPr>
                <w:sz w:val="6"/>
                <w:szCs w:val="6"/>
                <w:color w:val="auto"/>
              </w:rPr>
            </w:pPr>
          </w:p>
        </w:tc>
        <w:tc>
          <w:tcPr>
            <w:tcW w:w="340" w:type="dxa"/>
            <w:vAlign w:val="bottom"/>
          </w:tcPr>
          <w:p>
            <w:pPr>
              <w:spacing w:after="0"/>
              <w:rPr>
                <w:sz w:val="6"/>
                <w:szCs w:val="6"/>
                <w:color w:val="auto"/>
              </w:rPr>
            </w:pPr>
          </w:p>
        </w:tc>
        <w:tc>
          <w:tcPr>
            <w:tcW w:w="2920" w:type="dxa"/>
            <w:vAlign w:val="bottom"/>
            <w:shd w:val="clear" w:color="auto" w:fill="E4E9F2"/>
          </w:tcPr>
          <w:p>
            <w:pPr>
              <w:spacing w:after="0"/>
              <w:rPr>
                <w:sz w:val="6"/>
                <w:szCs w:val="6"/>
                <w:color w:val="auto"/>
              </w:rPr>
            </w:pPr>
          </w:p>
        </w:tc>
        <w:tc>
          <w:tcPr>
            <w:tcW w:w="340" w:type="dxa"/>
            <w:vAlign w:val="bottom"/>
          </w:tcPr>
          <w:p>
            <w:pPr>
              <w:spacing w:after="0"/>
              <w:rPr>
                <w:sz w:val="6"/>
                <w:szCs w:val="6"/>
                <w:color w:val="auto"/>
              </w:rPr>
            </w:pPr>
          </w:p>
        </w:tc>
        <w:tc>
          <w:tcPr>
            <w:tcW w:w="2920" w:type="dxa"/>
            <w:vAlign w:val="bottom"/>
            <w:shd w:val="clear" w:color="auto" w:fill="E4E9F2"/>
          </w:tcPr>
          <w:p>
            <w:pPr>
              <w:spacing w:after="0"/>
              <w:rPr>
                <w:sz w:val="6"/>
                <w:szCs w:val="6"/>
                <w:color w:val="auto"/>
              </w:rPr>
            </w:pPr>
          </w:p>
        </w:tc>
        <w:tc>
          <w:tcPr>
            <w:tcW w:w="320" w:type="dxa"/>
            <w:vAlign w:val="bottom"/>
          </w:tcPr>
          <w:p>
            <w:pPr>
              <w:spacing w:after="0"/>
              <w:rPr>
                <w:sz w:val="6"/>
                <w:szCs w:val="6"/>
                <w:color w:val="auto"/>
              </w:rPr>
            </w:pPr>
          </w:p>
        </w:tc>
        <w:tc>
          <w:tcPr>
            <w:tcW w:w="1460" w:type="dxa"/>
            <w:vAlign w:val="bottom"/>
            <w:shd w:val="clear" w:color="auto" w:fill="E4E9F2"/>
          </w:tcPr>
          <w:p>
            <w:pPr>
              <w:spacing w:after="0"/>
              <w:rPr>
                <w:sz w:val="6"/>
                <w:szCs w:val="6"/>
                <w:color w:val="auto"/>
              </w:rPr>
            </w:pPr>
          </w:p>
        </w:tc>
        <w:tc>
          <w:tcPr>
            <w:tcW w:w="0" w:type="dxa"/>
            <w:vAlign w:val="bottom"/>
          </w:tcPr>
          <w:p>
            <w:pPr>
              <w:spacing w:after="0"/>
              <w:rPr>
                <w:sz w:val="1"/>
                <w:szCs w:val="1"/>
                <w:color w:val="auto"/>
              </w:rPr>
            </w:pPr>
          </w:p>
        </w:tc>
      </w:tr>
      <w:tr>
        <w:trPr>
          <w:trHeight w:val="175"/>
        </w:trPr>
        <w:tc>
          <w:tcPr>
            <w:tcW w:w="2940" w:type="dxa"/>
            <w:vAlign w:val="bottom"/>
          </w:tcPr>
          <w:p>
            <w:pPr>
              <w:jc w:val="center"/>
              <w:spacing w:after="0" w:line="175" w:lineRule="exact"/>
              <w:rPr>
                <w:sz w:val="20"/>
                <w:szCs w:val="20"/>
                <w:color w:val="auto"/>
              </w:rPr>
            </w:pPr>
            <w:r>
              <w:rPr>
                <w:rFonts w:ascii="Arial" w:cs="Arial" w:eastAsia="Arial" w:hAnsi="Arial"/>
                <w:sz w:val="16"/>
                <w:szCs w:val="16"/>
                <w:i w:val="1"/>
                <w:iCs w:val="1"/>
                <w:color w:val="auto"/>
              </w:rPr>
              <w:t>Targets vary based on level and</w:t>
            </w:r>
          </w:p>
        </w:tc>
        <w:tc>
          <w:tcPr>
            <w:tcW w:w="340" w:type="dxa"/>
            <w:vAlign w:val="bottom"/>
          </w:tcPr>
          <w:p>
            <w:pPr>
              <w:spacing w:after="0"/>
              <w:rPr>
                <w:sz w:val="15"/>
                <w:szCs w:val="15"/>
                <w:color w:val="auto"/>
              </w:rPr>
            </w:pPr>
          </w:p>
        </w:tc>
        <w:tc>
          <w:tcPr>
            <w:tcW w:w="2920" w:type="dxa"/>
            <w:vAlign w:val="bottom"/>
          </w:tcPr>
          <w:p>
            <w:pPr>
              <w:jc w:val="center"/>
              <w:spacing w:after="0" w:line="175" w:lineRule="exact"/>
              <w:rPr>
                <w:sz w:val="20"/>
                <w:szCs w:val="20"/>
                <w:color w:val="auto"/>
              </w:rPr>
            </w:pPr>
            <w:r>
              <w:rPr>
                <w:rFonts w:ascii="Arial" w:cs="Arial" w:eastAsia="Arial" w:hAnsi="Arial"/>
                <w:sz w:val="16"/>
                <w:szCs w:val="16"/>
                <w:i w:val="1"/>
                <w:iCs w:val="1"/>
                <w:color w:val="auto"/>
              </w:rPr>
              <w:t>Full year 2021 Company</w:t>
            </w:r>
          </w:p>
        </w:tc>
        <w:tc>
          <w:tcPr>
            <w:tcW w:w="340" w:type="dxa"/>
            <w:vAlign w:val="bottom"/>
          </w:tcPr>
          <w:p>
            <w:pPr>
              <w:spacing w:after="0"/>
              <w:rPr>
                <w:sz w:val="15"/>
                <w:szCs w:val="15"/>
                <w:color w:val="auto"/>
              </w:rPr>
            </w:pPr>
          </w:p>
        </w:tc>
        <w:tc>
          <w:tcPr>
            <w:tcW w:w="2920" w:type="dxa"/>
            <w:vAlign w:val="bottom"/>
          </w:tcPr>
          <w:p>
            <w:pPr>
              <w:jc w:val="center"/>
              <w:spacing w:after="0" w:line="175" w:lineRule="exact"/>
              <w:rPr>
                <w:sz w:val="20"/>
                <w:szCs w:val="20"/>
                <w:color w:val="auto"/>
              </w:rPr>
            </w:pPr>
            <w:r>
              <w:rPr>
                <w:rFonts w:ascii="Arial" w:cs="Arial" w:eastAsia="Arial" w:hAnsi="Arial"/>
                <w:sz w:val="16"/>
                <w:szCs w:val="16"/>
                <w:i w:val="1"/>
                <w:iCs w:val="1"/>
                <w:color w:val="auto"/>
              </w:rPr>
              <w:t>Individual performance multiplier</w:t>
            </w:r>
          </w:p>
        </w:tc>
        <w:tc>
          <w:tcPr>
            <w:tcW w:w="320" w:type="dxa"/>
            <w:vAlign w:val="bottom"/>
          </w:tcPr>
          <w:p>
            <w:pPr>
              <w:spacing w:after="0"/>
              <w:rPr>
                <w:sz w:val="15"/>
                <w:szCs w:val="15"/>
                <w:color w:val="auto"/>
              </w:rPr>
            </w:pPr>
          </w:p>
        </w:tc>
        <w:tc>
          <w:tcPr>
            <w:tcW w:w="1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940" w:type="dxa"/>
            <w:vAlign w:val="bottom"/>
          </w:tcPr>
          <w:p>
            <w:pPr>
              <w:jc w:val="center"/>
              <w:spacing w:after="0"/>
              <w:rPr>
                <w:sz w:val="20"/>
                <w:szCs w:val="20"/>
                <w:color w:val="auto"/>
              </w:rPr>
            </w:pPr>
            <w:r>
              <w:rPr>
                <w:rFonts w:ascii="Arial" w:cs="Arial" w:eastAsia="Arial" w:hAnsi="Arial"/>
                <w:sz w:val="16"/>
                <w:szCs w:val="16"/>
                <w:i w:val="1"/>
                <w:iCs w:val="1"/>
                <w:color w:val="auto"/>
              </w:rPr>
              <w:t>are expressed as a percentage</w:t>
            </w:r>
          </w:p>
        </w:tc>
        <w:tc>
          <w:tcPr>
            <w:tcW w:w="340" w:type="dxa"/>
            <w:vAlign w:val="bottom"/>
          </w:tcPr>
          <w:p>
            <w:pPr>
              <w:spacing w:after="0"/>
              <w:rPr>
                <w:sz w:val="16"/>
                <w:szCs w:val="16"/>
                <w:color w:val="auto"/>
              </w:rPr>
            </w:pPr>
          </w:p>
        </w:tc>
        <w:tc>
          <w:tcPr>
            <w:tcW w:w="2920" w:type="dxa"/>
            <w:vAlign w:val="bottom"/>
          </w:tcPr>
          <w:p>
            <w:pPr>
              <w:jc w:val="center"/>
              <w:spacing w:after="0"/>
              <w:rPr>
                <w:sz w:val="20"/>
                <w:szCs w:val="20"/>
                <w:color w:val="auto"/>
              </w:rPr>
            </w:pPr>
            <w:r>
              <w:rPr>
                <w:rFonts w:ascii="Arial" w:cs="Arial" w:eastAsia="Arial" w:hAnsi="Arial"/>
                <w:sz w:val="16"/>
                <w:szCs w:val="16"/>
                <w:i w:val="1"/>
                <w:iCs w:val="1"/>
                <w:color w:val="auto"/>
              </w:rPr>
              <w:t>performance is measured based</w:t>
            </w:r>
          </w:p>
        </w:tc>
        <w:tc>
          <w:tcPr>
            <w:tcW w:w="340" w:type="dxa"/>
            <w:vAlign w:val="bottom"/>
          </w:tcPr>
          <w:p>
            <w:pPr>
              <w:spacing w:after="0"/>
              <w:rPr>
                <w:sz w:val="16"/>
                <w:szCs w:val="16"/>
                <w:color w:val="auto"/>
              </w:rPr>
            </w:pPr>
          </w:p>
        </w:tc>
        <w:tc>
          <w:tcPr>
            <w:tcW w:w="2920" w:type="dxa"/>
            <w:vAlign w:val="bottom"/>
          </w:tcPr>
          <w:p>
            <w:pPr>
              <w:jc w:val="center"/>
              <w:spacing w:after="0"/>
              <w:rPr>
                <w:sz w:val="20"/>
                <w:szCs w:val="20"/>
                <w:color w:val="auto"/>
              </w:rPr>
            </w:pPr>
            <w:r>
              <w:rPr>
                <w:rFonts w:ascii="Arial" w:cs="Arial" w:eastAsia="Arial" w:hAnsi="Arial"/>
                <w:sz w:val="16"/>
                <w:szCs w:val="16"/>
                <w:i w:val="1"/>
                <w:iCs w:val="1"/>
                <w:color w:val="auto"/>
              </w:rPr>
              <w:t>can range from 0%-150%</w:t>
            </w:r>
          </w:p>
        </w:tc>
        <w:tc>
          <w:tcPr>
            <w:tcW w:w="32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2940" w:type="dxa"/>
            <w:vAlign w:val="bottom"/>
          </w:tcPr>
          <w:p>
            <w:pPr>
              <w:jc w:val="center"/>
              <w:spacing w:after="0"/>
              <w:rPr>
                <w:sz w:val="20"/>
                <w:szCs w:val="20"/>
                <w:color w:val="auto"/>
              </w:rPr>
            </w:pPr>
            <w:r>
              <w:rPr>
                <w:rFonts w:ascii="Arial" w:cs="Arial" w:eastAsia="Arial" w:hAnsi="Arial"/>
                <w:sz w:val="16"/>
                <w:szCs w:val="16"/>
                <w:i w:val="1"/>
                <w:iCs w:val="1"/>
                <w:color w:val="auto"/>
              </w:rPr>
              <w:t>of base salary</w:t>
            </w:r>
          </w:p>
        </w:tc>
        <w:tc>
          <w:tcPr>
            <w:tcW w:w="340" w:type="dxa"/>
            <w:vAlign w:val="bottom"/>
          </w:tcPr>
          <w:p>
            <w:pPr>
              <w:spacing w:after="0"/>
              <w:rPr>
                <w:sz w:val="16"/>
                <w:szCs w:val="16"/>
                <w:color w:val="auto"/>
              </w:rPr>
            </w:pPr>
          </w:p>
        </w:tc>
        <w:tc>
          <w:tcPr>
            <w:tcW w:w="2920" w:type="dxa"/>
            <w:vAlign w:val="bottom"/>
          </w:tcPr>
          <w:p>
            <w:pPr>
              <w:jc w:val="center"/>
              <w:spacing w:after="0"/>
              <w:rPr>
                <w:sz w:val="20"/>
                <w:szCs w:val="20"/>
                <w:color w:val="auto"/>
              </w:rPr>
            </w:pPr>
            <w:r>
              <w:rPr>
                <w:rFonts w:ascii="Arial" w:cs="Arial" w:eastAsia="Arial" w:hAnsi="Arial"/>
                <w:sz w:val="16"/>
                <w:szCs w:val="16"/>
                <w:i w:val="1"/>
                <w:iCs w:val="1"/>
                <w:color w:val="auto"/>
              </w:rPr>
              <w:t>on achievement against adjusted</w:t>
            </w:r>
          </w:p>
        </w:tc>
        <w:tc>
          <w:tcPr>
            <w:tcW w:w="340" w:type="dxa"/>
            <w:vAlign w:val="bottom"/>
          </w:tcPr>
          <w:p>
            <w:pPr>
              <w:spacing w:after="0"/>
              <w:rPr>
                <w:sz w:val="16"/>
                <w:szCs w:val="16"/>
                <w:color w:val="auto"/>
              </w:rPr>
            </w:pPr>
          </w:p>
        </w:tc>
        <w:tc>
          <w:tcPr>
            <w:tcW w:w="29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1"/>
        </w:trPr>
        <w:tc>
          <w:tcPr>
            <w:tcW w:w="29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920" w:type="dxa"/>
            <w:vAlign w:val="bottom"/>
          </w:tcPr>
          <w:p>
            <w:pPr>
              <w:jc w:val="center"/>
              <w:spacing w:after="0"/>
              <w:rPr>
                <w:sz w:val="20"/>
                <w:szCs w:val="20"/>
                <w:color w:val="auto"/>
              </w:rPr>
            </w:pPr>
            <w:r>
              <w:rPr>
                <w:rFonts w:ascii="Arial" w:cs="Arial" w:eastAsia="Arial" w:hAnsi="Arial"/>
                <w:sz w:val="16"/>
                <w:szCs w:val="16"/>
                <w:i w:val="1"/>
                <w:iCs w:val="1"/>
                <w:color w:val="auto"/>
                <w:w w:val="99"/>
              </w:rPr>
              <w:t>EBITDA goal</w:t>
            </w:r>
          </w:p>
        </w:tc>
        <w:tc>
          <w:tcPr>
            <w:tcW w:w="340" w:type="dxa"/>
            <w:vAlign w:val="bottom"/>
          </w:tcPr>
          <w:p>
            <w:pPr>
              <w:spacing w:after="0"/>
              <w:rPr>
                <w:sz w:val="18"/>
                <w:szCs w:val="18"/>
                <w:color w:val="auto"/>
              </w:rPr>
            </w:pPr>
          </w:p>
        </w:tc>
        <w:tc>
          <w:tcPr>
            <w:tcW w:w="29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183"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The Compensation Committee historically has chosen adjusted EBITDA as the target performance objective for the payment of awards under our annual cash incentive plan. Adjusted EBITDA is not a term defined under U.S. GAAP. We define adjusted EBITDA as net income before net interest expense, income taxes, depreciation and amortization (“EBITDA”), as adjusted for certain other items described in our SEC filings, including stock-based compensation expense, acquisition, site closure and idle facility expenses, restructuring and other charges, inventory-related charges, charges related to legal matters, asset impairment charges, foreign exchange losses or gains, losses or gains on sale of international operations, and R&amp;D milestone payments.</w:t>
      </w:r>
    </w:p>
    <w:p>
      <w:pPr>
        <w:spacing w:after="0" w:line="369"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 Compensation Committee continued using adjusted EBITDA as the performance measure for the annual cash incentive plan for 2021 as the Compensation Committee believes that adjusted EBITDA growth most closely reflects our operating performance and is a key metric for driving the long-term strategic direction that the Board of Directors has set for our Company. Further, adjusted EBITDA growth is highly correlated to or reflective of our Company’s financial and operational improvements, ability to generate cash flow from operations, growth and return to stockholders. We believe that adjusted EBITDA is helpful in assessing the overall performance of our business and is helpful in highlighting trends in our overall business because the items excluded in calculating adjusted EBITDA have little or no bearing on our day-to-day operating performance. We also believe that adjusted EBITDA is an important non-GAAP valuation tool that potential investors use to measure our profitability against other companies in our industry.</w:t>
      </w:r>
    </w:p>
    <w:p>
      <w:pPr>
        <w:spacing w:after="0" w:line="18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Our adjusted EBITDA target for a given year is determined by the Compensation Committee based upon recommendations from and discussions with management, a review of current economic conditions and recent acquisition activity and aligns with our external targets. Factors used by the Compensation Committee in setting adjusted EBITDA targets include, among others, the following:</w:t>
      </w:r>
    </w:p>
    <w:p>
      <w:pPr>
        <w:spacing w:after="0" w:line="188" w:lineRule="exact"/>
        <w:rPr>
          <w:sz w:val="20"/>
          <w:szCs w:val="20"/>
          <w:color w:val="auto"/>
        </w:rPr>
      </w:pPr>
    </w:p>
    <w:p>
      <w:pPr>
        <w:ind w:left="180" w:hanging="172"/>
        <w:spacing w:after="0"/>
        <w:tabs>
          <w:tab w:leader="none" w:pos="180" w:val="left"/>
        </w:tabs>
        <w:numPr>
          <w:ilvl w:val="0"/>
          <w:numId w:val="29"/>
        </w:numPr>
        <w:rPr>
          <w:rFonts w:ascii="Arial" w:cs="Arial" w:eastAsia="Arial" w:hAnsi="Arial"/>
          <w:sz w:val="16"/>
          <w:szCs w:val="16"/>
          <w:color w:val="04568A"/>
        </w:rPr>
      </w:pPr>
      <w:r>
        <w:rPr>
          <w:rFonts w:ascii="Arial" w:cs="Arial" w:eastAsia="Arial" w:hAnsi="Arial"/>
          <w:sz w:val="16"/>
          <w:szCs w:val="16"/>
          <w:color w:val="auto"/>
        </w:rPr>
        <w:t>reasonable growth expectations taking into account a variety of circumstances faced by our Company;</w:t>
      </w:r>
    </w:p>
    <w:p>
      <w:pPr>
        <w:spacing w:after="0" w:line="86" w:lineRule="exact"/>
        <w:rPr>
          <w:rFonts w:ascii="Arial" w:cs="Arial" w:eastAsia="Arial" w:hAnsi="Arial"/>
          <w:sz w:val="16"/>
          <w:szCs w:val="16"/>
          <w:color w:val="04568A"/>
        </w:rPr>
      </w:pPr>
    </w:p>
    <w:p>
      <w:pPr>
        <w:ind w:left="180" w:hanging="172"/>
        <w:spacing w:after="0" w:line="260" w:lineRule="auto"/>
        <w:tabs>
          <w:tab w:leader="none" w:pos="180" w:val="left"/>
        </w:tabs>
        <w:numPr>
          <w:ilvl w:val="0"/>
          <w:numId w:val="29"/>
        </w:numPr>
        <w:rPr>
          <w:rFonts w:ascii="Arial" w:cs="Arial" w:eastAsia="Arial" w:hAnsi="Arial"/>
          <w:sz w:val="16"/>
          <w:szCs w:val="16"/>
          <w:color w:val="04568A"/>
        </w:rPr>
      </w:pPr>
      <w:r>
        <w:rPr>
          <w:rFonts w:ascii="Arial" w:cs="Arial" w:eastAsia="Arial" w:hAnsi="Arial"/>
          <w:sz w:val="16"/>
          <w:szCs w:val="16"/>
          <w:color w:val="auto"/>
        </w:rPr>
        <w:t>market conditions, including the related impact on cost and our ability to offset any cost increases with pricing increases or other cost savings measures; and</w:t>
      </w:r>
    </w:p>
    <w:p>
      <w:pPr>
        <w:spacing w:after="0" w:line="60" w:lineRule="exact"/>
        <w:rPr>
          <w:rFonts w:ascii="Arial" w:cs="Arial" w:eastAsia="Arial" w:hAnsi="Arial"/>
          <w:sz w:val="16"/>
          <w:szCs w:val="16"/>
          <w:color w:val="04568A"/>
        </w:rPr>
      </w:pPr>
    </w:p>
    <w:p>
      <w:pPr>
        <w:ind w:left="180" w:hanging="172"/>
        <w:spacing w:after="0"/>
        <w:tabs>
          <w:tab w:leader="none" w:pos="180" w:val="left"/>
        </w:tabs>
        <w:numPr>
          <w:ilvl w:val="0"/>
          <w:numId w:val="29"/>
        </w:numPr>
        <w:rPr>
          <w:rFonts w:ascii="Arial" w:cs="Arial" w:eastAsia="Arial" w:hAnsi="Arial"/>
          <w:sz w:val="16"/>
          <w:szCs w:val="16"/>
          <w:color w:val="04568A"/>
        </w:rPr>
      </w:pPr>
      <w:r>
        <w:rPr>
          <w:rFonts w:ascii="Arial" w:cs="Arial" w:eastAsia="Arial" w:hAnsi="Arial"/>
          <w:sz w:val="16"/>
          <w:szCs w:val="16"/>
          <w:color w:val="auto"/>
        </w:rPr>
        <w:t>prior fiscal year adjusted EBITDA.</w:t>
      </w:r>
    </w:p>
    <w:p>
      <w:pPr>
        <w:spacing w:after="0" w:line="194"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After the Compensation Committee reviews the final full year financial results of our Company, the Compensation Committee approves annual cash incentive payouts for the prior year. Annual cash incentive awards are generally paid in March.</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No annual cash incentive payments are made unless the threshold adjusted EBITDA target has been achieved. Adjusted EBITDA targets under the annual cash incentive plan may be reset periodically within a fiscal year by the Compensation Committee to take into account acquisitions, divestitures and other unplanned events. No such adjustments were made for 2021. Subject to the provisions of an applicable employment agreement, executives generally must be employed at the time of payout to receive an annual cash incentive award. The Compensation Committee may, however, at its discretion, prorate awards in the event of certain circumstances such as the executive’s promotion, demotion, death or retirement.</w:t>
      </w:r>
    </w:p>
    <w:p>
      <w:pPr>
        <w:spacing w:after="0" w:line="176"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Company performance component of the annual award each executive is eligible to receive is based upon a percentage of the executive’s annualized base salary, with such percentage varying depending upon the level of adjusted EBITDA as compared to threshold, target and maximum adjusted EBITDA performance objectives as set forth in the table below.</w:t>
      </w:r>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1580" w:type="dxa"/>
            <w:vAlign w:val="bottom"/>
          </w:tcPr>
          <w:p>
            <w:pPr>
              <w:spacing w:after="0"/>
              <w:rPr>
                <w:sz w:val="16"/>
                <w:szCs w:val="16"/>
                <w:color w:val="auto"/>
              </w:rPr>
            </w:pPr>
          </w:p>
        </w:tc>
        <w:tc>
          <w:tcPr>
            <w:tcW w:w="1800" w:type="dxa"/>
            <w:vAlign w:val="bottom"/>
          </w:tcPr>
          <w:p>
            <w:pPr>
              <w:spacing w:after="0"/>
              <w:rPr>
                <w:sz w:val="16"/>
                <w:szCs w:val="16"/>
                <w:color w:val="auto"/>
              </w:rPr>
            </w:pPr>
          </w:p>
        </w:tc>
        <w:tc>
          <w:tcPr>
            <w:tcW w:w="3140" w:type="dxa"/>
            <w:vAlign w:val="bottom"/>
          </w:tcPr>
          <w:p>
            <w:pPr>
              <w:spacing w:after="0"/>
              <w:rPr>
                <w:sz w:val="16"/>
                <w:szCs w:val="16"/>
                <w:color w:val="auto"/>
              </w:rPr>
            </w:pPr>
          </w:p>
        </w:tc>
        <w:tc>
          <w:tcPr>
            <w:tcW w:w="4740" w:type="dxa"/>
            <w:vAlign w:val="bottom"/>
            <w:gridSpan w:val="5"/>
          </w:tcPr>
          <w:p>
            <w:pPr>
              <w:ind w:left="600"/>
              <w:spacing w:after="0"/>
              <w:rPr>
                <w:sz w:val="20"/>
                <w:szCs w:val="20"/>
                <w:color w:val="auto"/>
              </w:rPr>
            </w:pPr>
            <w:r>
              <w:rPr>
                <w:rFonts w:ascii="Arial" w:cs="Arial" w:eastAsia="Arial" w:hAnsi="Arial"/>
                <w:sz w:val="16"/>
                <w:szCs w:val="16"/>
                <w:b w:val="1"/>
                <w:bCs w:val="1"/>
                <w:color w:val="04568A"/>
              </w:rPr>
              <w:t>Company Performance Component of Annual</w:t>
            </w:r>
          </w:p>
        </w:tc>
        <w:tc>
          <w:tcPr>
            <w:tcW w:w="0" w:type="dxa"/>
            <w:vAlign w:val="bottom"/>
          </w:tcPr>
          <w:p>
            <w:pPr>
              <w:spacing w:after="0"/>
              <w:rPr>
                <w:sz w:val="1"/>
                <w:szCs w:val="1"/>
                <w:color w:val="auto"/>
              </w:rPr>
            </w:pPr>
          </w:p>
        </w:tc>
      </w:tr>
      <w:tr>
        <w:trPr>
          <w:trHeight w:val="207"/>
        </w:trPr>
        <w:tc>
          <w:tcPr>
            <w:tcW w:w="1580" w:type="dxa"/>
            <w:vAlign w:val="bottom"/>
            <w:vMerge w:val="restart"/>
          </w:tcPr>
          <w:p>
            <w:pPr>
              <w:ind w:left="60"/>
              <w:spacing w:after="0"/>
              <w:rPr>
                <w:sz w:val="20"/>
                <w:szCs w:val="20"/>
                <w:color w:val="auto"/>
              </w:rPr>
            </w:pPr>
            <w:r>
              <w:rPr>
                <w:rFonts w:ascii="Arial" w:cs="Arial" w:eastAsia="Arial" w:hAnsi="Arial"/>
                <w:sz w:val="16"/>
                <w:szCs w:val="16"/>
                <w:b w:val="1"/>
                <w:bCs w:val="1"/>
                <w:color w:val="04568A"/>
              </w:rPr>
              <w:t>Name</w:t>
            </w:r>
          </w:p>
        </w:tc>
        <w:tc>
          <w:tcPr>
            <w:tcW w:w="1800" w:type="dxa"/>
            <w:vAlign w:val="bottom"/>
          </w:tcPr>
          <w:p>
            <w:pPr>
              <w:spacing w:after="0"/>
              <w:rPr>
                <w:sz w:val="18"/>
                <w:szCs w:val="18"/>
                <w:color w:val="auto"/>
              </w:rPr>
            </w:pPr>
          </w:p>
        </w:tc>
        <w:tc>
          <w:tcPr>
            <w:tcW w:w="3140" w:type="dxa"/>
            <w:vAlign w:val="bottom"/>
          </w:tcPr>
          <w:p>
            <w:pPr>
              <w:spacing w:after="0"/>
              <w:rPr>
                <w:sz w:val="18"/>
                <w:szCs w:val="18"/>
                <w:color w:val="auto"/>
              </w:rPr>
            </w:pPr>
          </w:p>
        </w:tc>
        <w:tc>
          <w:tcPr>
            <w:tcW w:w="4740" w:type="dxa"/>
            <w:vAlign w:val="bottom"/>
            <w:gridSpan w:val="5"/>
          </w:tcPr>
          <w:p>
            <w:pPr>
              <w:ind w:left="620"/>
              <w:spacing w:after="0"/>
              <w:rPr>
                <w:sz w:val="20"/>
                <w:szCs w:val="20"/>
                <w:color w:val="auto"/>
              </w:rPr>
            </w:pPr>
            <w:r>
              <w:rPr>
                <w:rFonts w:ascii="Arial" w:cs="Arial" w:eastAsia="Arial" w:hAnsi="Arial"/>
                <w:sz w:val="16"/>
                <w:szCs w:val="16"/>
                <w:b w:val="1"/>
                <w:bCs w:val="1"/>
                <w:color w:val="04568A"/>
              </w:rPr>
              <w:t>Bonus Award as a Percentage of Base Salary</w:t>
            </w:r>
          </w:p>
        </w:tc>
        <w:tc>
          <w:tcPr>
            <w:tcW w:w="0" w:type="dxa"/>
            <w:vAlign w:val="bottom"/>
          </w:tcPr>
          <w:p>
            <w:pPr>
              <w:spacing w:after="0"/>
              <w:rPr>
                <w:sz w:val="1"/>
                <w:szCs w:val="1"/>
                <w:color w:val="auto"/>
              </w:rPr>
            </w:pPr>
          </w:p>
        </w:tc>
      </w:tr>
      <w:tr>
        <w:trPr>
          <w:trHeight w:val="183"/>
        </w:trPr>
        <w:tc>
          <w:tcPr>
            <w:tcW w:w="1580" w:type="dxa"/>
            <w:vAlign w:val="bottom"/>
            <w:tcBorders>
              <w:bottom w:val="single" w:sz="8" w:color="04568A"/>
            </w:tcBorders>
            <w:vMerge w:val="continue"/>
          </w:tcPr>
          <w:p>
            <w:pPr>
              <w:spacing w:after="0"/>
              <w:rPr>
                <w:sz w:val="15"/>
                <w:szCs w:val="15"/>
                <w:color w:val="auto"/>
              </w:rPr>
            </w:pPr>
          </w:p>
        </w:tc>
        <w:tc>
          <w:tcPr>
            <w:tcW w:w="1800" w:type="dxa"/>
            <w:vAlign w:val="bottom"/>
            <w:tcBorders>
              <w:bottom w:val="single" w:sz="8" w:color="04568A"/>
            </w:tcBorders>
          </w:tcPr>
          <w:p>
            <w:pPr>
              <w:spacing w:after="0"/>
              <w:rPr>
                <w:sz w:val="15"/>
                <w:szCs w:val="15"/>
                <w:color w:val="auto"/>
              </w:rPr>
            </w:pPr>
          </w:p>
        </w:tc>
        <w:tc>
          <w:tcPr>
            <w:tcW w:w="3140" w:type="dxa"/>
            <w:vAlign w:val="bottom"/>
            <w:tcBorders>
              <w:bottom w:val="single" w:sz="8" w:color="04568A"/>
            </w:tcBorders>
          </w:tcPr>
          <w:p>
            <w:pPr>
              <w:spacing w:after="0"/>
              <w:rPr>
                <w:sz w:val="15"/>
                <w:szCs w:val="15"/>
                <w:color w:val="auto"/>
              </w:rPr>
            </w:pPr>
          </w:p>
        </w:tc>
        <w:tc>
          <w:tcPr>
            <w:tcW w:w="1800" w:type="dxa"/>
            <w:vAlign w:val="bottom"/>
            <w:tcBorders>
              <w:top w:val="single" w:sz="8" w:color="04568A"/>
              <w:bottom w:val="single" w:sz="8" w:color="04568A"/>
            </w:tcBorders>
          </w:tcPr>
          <w:p>
            <w:pPr>
              <w:jc w:val="right"/>
              <w:ind w:right="359"/>
              <w:spacing w:after="0" w:line="183" w:lineRule="exact"/>
              <w:rPr>
                <w:sz w:val="20"/>
                <w:szCs w:val="20"/>
                <w:color w:val="auto"/>
              </w:rPr>
            </w:pPr>
            <w:r>
              <w:rPr>
                <w:rFonts w:ascii="Arial" w:cs="Arial" w:eastAsia="Arial" w:hAnsi="Arial"/>
                <w:sz w:val="16"/>
                <w:szCs w:val="16"/>
                <w:b w:val="1"/>
                <w:bCs w:val="1"/>
                <w:color w:val="04568A"/>
              </w:rPr>
              <w:t>Threshold</w:t>
            </w:r>
          </w:p>
        </w:tc>
        <w:tc>
          <w:tcPr>
            <w:tcW w:w="1680" w:type="dxa"/>
            <w:vAlign w:val="bottom"/>
            <w:tcBorders>
              <w:top w:val="single" w:sz="8" w:color="04568A"/>
              <w:bottom w:val="single" w:sz="8" w:color="04568A"/>
            </w:tcBorders>
          </w:tcPr>
          <w:p>
            <w:pPr>
              <w:jc w:val="right"/>
              <w:ind w:right="359"/>
              <w:spacing w:after="0" w:line="183" w:lineRule="exact"/>
              <w:rPr>
                <w:sz w:val="20"/>
                <w:szCs w:val="20"/>
                <w:color w:val="auto"/>
              </w:rPr>
            </w:pPr>
            <w:r>
              <w:rPr>
                <w:rFonts w:ascii="Arial" w:cs="Arial" w:eastAsia="Arial" w:hAnsi="Arial"/>
                <w:sz w:val="16"/>
                <w:szCs w:val="16"/>
                <w:b w:val="1"/>
                <w:bCs w:val="1"/>
                <w:color w:val="04568A"/>
              </w:rPr>
              <w:t>Target</w:t>
            </w:r>
          </w:p>
        </w:tc>
        <w:tc>
          <w:tcPr>
            <w:tcW w:w="1240" w:type="dxa"/>
            <w:vAlign w:val="bottom"/>
            <w:tcBorders>
              <w:top w:val="single" w:sz="8" w:color="04568A"/>
              <w:bottom w:val="single" w:sz="8" w:color="04568A"/>
            </w:tcBorders>
            <w:gridSpan w:val="2"/>
          </w:tcPr>
          <w:p>
            <w:pPr>
              <w:jc w:val="right"/>
              <w:spacing w:after="0" w:line="183" w:lineRule="exact"/>
              <w:rPr>
                <w:sz w:val="20"/>
                <w:szCs w:val="20"/>
                <w:color w:val="auto"/>
              </w:rPr>
            </w:pPr>
            <w:r>
              <w:rPr>
                <w:rFonts w:ascii="Arial" w:cs="Arial" w:eastAsia="Arial" w:hAnsi="Arial"/>
                <w:sz w:val="16"/>
                <w:szCs w:val="16"/>
                <w:b w:val="1"/>
                <w:bCs w:val="1"/>
                <w:color w:val="04568A"/>
              </w:rPr>
              <w:t>Maximum</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1580" w:type="dxa"/>
            <w:vAlign w:val="bottom"/>
          </w:tcPr>
          <w:p>
            <w:pPr>
              <w:ind w:left="60"/>
              <w:spacing w:after="0" w:line="183" w:lineRule="exact"/>
              <w:rPr>
                <w:sz w:val="20"/>
                <w:szCs w:val="20"/>
                <w:color w:val="auto"/>
              </w:rPr>
            </w:pPr>
            <w:r>
              <w:rPr>
                <w:rFonts w:ascii="Arial" w:cs="Arial" w:eastAsia="Arial" w:hAnsi="Arial"/>
                <w:sz w:val="16"/>
                <w:szCs w:val="16"/>
                <w:color w:val="auto"/>
              </w:rPr>
              <w:t>Chirag Patel</w:t>
            </w:r>
          </w:p>
        </w:tc>
        <w:tc>
          <w:tcPr>
            <w:tcW w:w="6740" w:type="dxa"/>
            <w:vAlign w:val="bottom"/>
            <w:gridSpan w:val="3"/>
          </w:tcPr>
          <w:p>
            <w:pPr>
              <w:jc w:val="right"/>
              <w:ind w:right="359"/>
              <w:spacing w:after="0" w:line="183" w:lineRule="exact"/>
              <w:rPr>
                <w:sz w:val="20"/>
                <w:szCs w:val="20"/>
                <w:color w:val="auto"/>
              </w:rPr>
            </w:pPr>
            <w:r>
              <w:rPr>
                <w:rFonts w:ascii="Arial" w:cs="Arial" w:eastAsia="Arial" w:hAnsi="Arial"/>
                <w:sz w:val="16"/>
                <w:szCs w:val="16"/>
                <w:color w:val="auto"/>
              </w:rPr>
              <w:t>50%</w:t>
            </w:r>
          </w:p>
        </w:tc>
        <w:tc>
          <w:tcPr>
            <w:tcW w:w="1680" w:type="dxa"/>
            <w:vAlign w:val="bottom"/>
          </w:tcPr>
          <w:p>
            <w:pPr>
              <w:jc w:val="right"/>
              <w:ind w:right="359"/>
              <w:spacing w:after="0" w:line="183" w:lineRule="exact"/>
              <w:rPr>
                <w:sz w:val="20"/>
                <w:szCs w:val="20"/>
                <w:color w:val="auto"/>
              </w:rPr>
            </w:pPr>
            <w:r>
              <w:rPr>
                <w:rFonts w:ascii="Arial" w:cs="Arial" w:eastAsia="Arial" w:hAnsi="Arial"/>
                <w:sz w:val="16"/>
                <w:szCs w:val="16"/>
                <w:color w:val="auto"/>
              </w:rPr>
              <w:t>100%</w:t>
            </w:r>
          </w:p>
        </w:tc>
        <w:tc>
          <w:tcPr>
            <w:tcW w:w="1240" w:type="dxa"/>
            <w:vAlign w:val="bottom"/>
            <w:gridSpan w:val="2"/>
          </w:tcPr>
          <w:p>
            <w:pPr>
              <w:jc w:val="right"/>
              <w:spacing w:after="0" w:line="183" w:lineRule="exact"/>
              <w:rPr>
                <w:sz w:val="20"/>
                <w:szCs w:val="20"/>
                <w:color w:val="auto"/>
              </w:rPr>
            </w:pPr>
            <w:r>
              <w:rPr>
                <w:rFonts w:ascii="Arial" w:cs="Arial" w:eastAsia="Arial" w:hAnsi="Arial"/>
                <w:sz w:val="16"/>
                <w:szCs w:val="16"/>
                <w:color w:val="auto"/>
              </w:rPr>
              <w:t>150%</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1580" w:type="dxa"/>
            <w:vAlign w:val="bottom"/>
            <w:shd w:val="clear" w:color="auto" w:fill="E4E9F2"/>
          </w:tcPr>
          <w:p>
            <w:pPr>
              <w:ind w:left="60"/>
              <w:spacing w:after="0"/>
              <w:rPr>
                <w:sz w:val="20"/>
                <w:szCs w:val="20"/>
                <w:color w:val="auto"/>
              </w:rPr>
            </w:pPr>
            <w:r>
              <w:rPr>
                <w:rFonts w:ascii="Arial" w:cs="Arial" w:eastAsia="Arial" w:hAnsi="Arial"/>
                <w:sz w:val="16"/>
                <w:szCs w:val="16"/>
                <w:color w:val="auto"/>
              </w:rPr>
              <w:t>Chintu Patel</w:t>
            </w:r>
          </w:p>
        </w:tc>
        <w:tc>
          <w:tcPr>
            <w:tcW w:w="6740" w:type="dxa"/>
            <w:vAlign w:val="bottom"/>
            <w:gridSpan w:val="3"/>
            <w:shd w:val="clear" w:color="auto" w:fill="E4E9F2"/>
          </w:tcPr>
          <w:p>
            <w:pPr>
              <w:jc w:val="right"/>
              <w:ind w:right="359"/>
              <w:spacing w:after="0"/>
              <w:rPr>
                <w:sz w:val="20"/>
                <w:szCs w:val="20"/>
                <w:color w:val="auto"/>
              </w:rPr>
            </w:pPr>
            <w:r>
              <w:rPr>
                <w:rFonts w:ascii="Arial" w:cs="Arial" w:eastAsia="Arial" w:hAnsi="Arial"/>
                <w:sz w:val="16"/>
                <w:szCs w:val="16"/>
                <w:color w:val="auto"/>
              </w:rPr>
              <w:t>50%</w:t>
            </w:r>
          </w:p>
        </w:tc>
        <w:tc>
          <w:tcPr>
            <w:tcW w:w="1680" w:type="dxa"/>
            <w:vAlign w:val="bottom"/>
            <w:shd w:val="clear" w:color="auto" w:fill="E4E9F2"/>
          </w:tcPr>
          <w:p>
            <w:pPr>
              <w:jc w:val="right"/>
              <w:ind w:right="359"/>
              <w:spacing w:after="0"/>
              <w:rPr>
                <w:sz w:val="20"/>
                <w:szCs w:val="20"/>
                <w:color w:val="auto"/>
              </w:rPr>
            </w:pPr>
            <w:r>
              <w:rPr>
                <w:rFonts w:ascii="Arial" w:cs="Arial" w:eastAsia="Arial" w:hAnsi="Arial"/>
                <w:sz w:val="16"/>
                <w:szCs w:val="16"/>
                <w:color w:val="auto"/>
              </w:rPr>
              <w:t>100%</w:t>
            </w:r>
          </w:p>
        </w:tc>
        <w:tc>
          <w:tcPr>
            <w:tcW w:w="1240" w:type="dxa"/>
            <w:vAlign w:val="bottom"/>
            <w:gridSpan w:val="2"/>
            <w:shd w:val="clear" w:color="auto" w:fill="E4E9F2"/>
          </w:tcPr>
          <w:p>
            <w:pPr>
              <w:jc w:val="right"/>
              <w:spacing w:after="0"/>
              <w:rPr>
                <w:sz w:val="20"/>
                <w:szCs w:val="20"/>
                <w:color w:val="auto"/>
              </w:rPr>
            </w:pPr>
            <w:r>
              <w:rPr>
                <w:rFonts w:ascii="Arial" w:cs="Arial" w:eastAsia="Arial" w:hAnsi="Arial"/>
                <w:sz w:val="16"/>
                <w:szCs w:val="16"/>
                <w:color w:val="auto"/>
              </w:rPr>
              <w:t>150%</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1580" w:type="dxa"/>
            <w:vAlign w:val="bottom"/>
          </w:tcPr>
          <w:p>
            <w:pPr>
              <w:ind w:left="60"/>
              <w:spacing w:after="0"/>
              <w:rPr>
                <w:sz w:val="20"/>
                <w:szCs w:val="20"/>
                <w:color w:val="auto"/>
              </w:rPr>
            </w:pPr>
            <w:r>
              <w:rPr>
                <w:rFonts w:ascii="Arial" w:cs="Arial" w:eastAsia="Arial" w:hAnsi="Arial"/>
                <w:sz w:val="16"/>
                <w:szCs w:val="16"/>
                <w:color w:val="auto"/>
              </w:rPr>
              <w:t>Anastasios Konidaris</w:t>
            </w:r>
          </w:p>
        </w:tc>
        <w:tc>
          <w:tcPr>
            <w:tcW w:w="6740" w:type="dxa"/>
            <w:vAlign w:val="bottom"/>
            <w:gridSpan w:val="3"/>
          </w:tcPr>
          <w:p>
            <w:pPr>
              <w:jc w:val="right"/>
              <w:ind w:right="359"/>
              <w:spacing w:after="0"/>
              <w:rPr>
                <w:sz w:val="20"/>
                <w:szCs w:val="20"/>
                <w:color w:val="auto"/>
              </w:rPr>
            </w:pPr>
            <w:r>
              <w:rPr>
                <w:rFonts w:ascii="Arial" w:cs="Arial" w:eastAsia="Arial" w:hAnsi="Arial"/>
                <w:sz w:val="16"/>
                <w:szCs w:val="16"/>
                <w:color w:val="auto"/>
              </w:rPr>
              <w:t>27.5%</w:t>
            </w:r>
          </w:p>
        </w:tc>
        <w:tc>
          <w:tcPr>
            <w:tcW w:w="1680" w:type="dxa"/>
            <w:vAlign w:val="bottom"/>
          </w:tcPr>
          <w:p>
            <w:pPr>
              <w:jc w:val="right"/>
              <w:ind w:right="359"/>
              <w:spacing w:after="0"/>
              <w:rPr>
                <w:sz w:val="20"/>
                <w:szCs w:val="20"/>
                <w:color w:val="auto"/>
              </w:rPr>
            </w:pPr>
            <w:r>
              <w:rPr>
                <w:rFonts w:ascii="Arial" w:cs="Arial" w:eastAsia="Arial" w:hAnsi="Arial"/>
                <w:sz w:val="16"/>
                <w:szCs w:val="16"/>
                <w:color w:val="auto"/>
              </w:rPr>
              <w:t>55%</w:t>
            </w:r>
          </w:p>
        </w:tc>
        <w:tc>
          <w:tcPr>
            <w:tcW w:w="1240" w:type="dxa"/>
            <w:vAlign w:val="bottom"/>
            <w:gridSpan w:val="2"/>
          </w:tcPr>
          <w:p>
            <w:pPr>
              <w:jc w:val="right"/>
              <w:spacing w:after="0"/>
              <w:rPr>
                <w:sz w:val="20"/>
                <w:szCs w:val="20"/>
                <w:color w:val="auto"/>
              </w:rPr>
            </w:pPr>
            <w:r>
              <w:rPr>
                <w:rFonts w:ascii="Arial" w:cs="Arial" w:eastAsia="Arial" w:hAnsi="Arial"/>
                <w:sz w:val="16"/>
                <w:szCs w:val="16"/>
                <w:color w:val="auto"/>
              </w:rPr>
              <w:t>82.5%</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1580" w:type="dxa"/>
            <w:vAlign w:val="bottom"/>
            <w:shd w:val="clear" w:color="auto" w:fill="E4E9F2"/>
          </w:tcPr>
          <w:p>
            <w:pPr>
              <w:ind w:left="60"/>
              <w:spacing w:after="0"/>
              <w:rPr>
                <w:sz w:val="20"/>
                <w:szCs w:val="20"/>
                <w:color w:val="auto"/>
              </w:rPr>
            </w:pPr>
            <w:r>
              <w:rPr>
                <w:rFonts w:ascii="Arial" w:cs="Arial" w:eastAsia="Arial" w:hAnsi="Arial"/>
                <w:sz w:val="16"/>
                <w:szCs w:val="16"/>
                <w:color w:val="auto"/>
              </w:rPr>
              <w:t>Andrew Boyer</w:t>
            </w:r>
          </w:p>
        </w:tc>
        <w:tc>
          <w:tcPr>
            <w:tcW w:w="6740" w:type="dxa"/>
            <w:vAlign w:val="bottom"/>
            <w:gridSpan w:val="3"/>
            <w:shd w:val="clear" w:color="auto" w:fill="E4E9F2"/>
          </w:tcPr>
          <w:p>
            <w:pPr>
              <w:jc w:val="right"/>
              <w:ind w:right="359"/>
              <w:spacing w:after="0"/>
              <w:rPr>
                <w:sz w:val="20"/>
                <w:szCs w:val="20"/>
                <w:color w:val="auto"/>
              </w:rPr>
            </w:pPr>
            <w:r>
              <w:rPr>
                <w:rFonts w:ascii="Arial" w:cs="Arial" w:eastAsia="Arial" w:hAnsi="Arial"/>
                <w:sz w:val="16"/>
                <w:szCs w:val="16"/>
                <w:color w:val="auto"/>
              </w:rPr>
              <w:t>40%</w:t>
            </w:r>
          </w:p>
        </w:tc>
        <w:tc>
          <w:tcPr>
            <w:tcW w:w="1680" w:type="dxa"/>
            <w:vAlign w:val="bottom"/>
            <w:shd w:val="clear" w:color="auto" w:fill="E4E9F2"/>
          </w:tcPr>
          <w:p>
            <w:pPr>
              <w:jc w:val="right"/>
              <w:ind w:right="359"/>
              <w:spacing w:after="0"/>
              <w:rPr>
                <w:sz w:val="20"/>
                <w:szCs w:val="20"/>
                <w:color w:val="auto"/>
              </w:rPr>
            </w:pPr>
            <w:r>
              <w:rPr>
                <w:rFonts w:ascii="Arial" w:cs="Arial" w:eastAsia="Arial" w:hAnsi="Arial"/>
                <w:sz w:val="16"/>
                <w:szCs w:val="16"/>
                <w:color w:val="auto"/>
              </w:rPr>
              <w:t>80%</w:t>
            </w:r>
          </w:p>
        </w:tc>
        <w:tc>
          <w:tcPr>
            <w:tcW w:w="1240" w:type="dxa"/>
            <w:vAlign w:val="bottom"/>
            <w:gridSpan w:val="2"/>
            <w:shd w:val="clear" w:color="auto" w:fill="E4E9F2"/>
          </w:tcPr>
          <w:p>
            <w:pPr>
              <w:jc w:val="right"/>
              <w:spacing w:after="0"/>
              <w:rPr>
                <w:sz w:val="20"/>
                <w:szCs w:val="20"/>
                <w:color w:val="auto"/>
              </w:rPr>
            </w:pPr>
            <w:r>
              <w:rPr>
                <w:rFonts w:ascii="Arial" w:cs="Arial" w:eastAsia="Arial" w:hAnsi="Arial"/>
                <w:sz w:val="16"/>
                <w:szCs w:val="16"/>
                <w:color w:val="auto"/>
              </w:rPr>
              <w:t>120%</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1580" w:type="dxa"/>
            <w:vAlign w:val="bottom"/>
          </w:tcPr>
          <w:p>
            <w:pPr>
              <w:ind w:left="60"/>
              <w:spacing w:after="0"/>
              <w:rPr>
                <w:sz w:val="20"/>
                <w:szCs w:val="20"/>
                <w:color w:val="auto"/>
              </w:rPr>
            </w:pPr>
            <w:r>
              <w:rPr>
                <w:rFonts w:ascii="Arial" w:cs="Arial" w:eastAsia="Arial" w:hAnsi="Arial"/>
                <w:sz w:val="16"/>
                <w:szCs w:val="16"/>
                <w:color w:val="auto"/>
              </w:rPr>
              <w:t>Joseph Todisco</w:t>
            </w:r>
          </w:p>
        </w:tc>
        <w:tc>
          <w:tcPr>
            <w:tcW w:w="6740" w:type="dxa"/>
            <w:vAlign w:val="bottom"/>
            <w:gridSpan w:val="3"/>
          </w:tcPr>
          <w:p>
            <w:pPr>
              <w:jc w:val="right"/>
              <w:ind w:right="359"/>
              <w:spacing w:after="0"/>
              <w:rPr>
                <w:sz w:val="20"/>
                <w:szCs w:val="20"/>
                <w:color w:val="auto"/>
              </w:rPr>
            </w:pPr>
            <w:r>
              <w:rPr>
                <w:rFonts w:ascii="Arial" w:cs="Arial" w:eastAsia="Arial" w:hAnsi="Arial"/>
                <w:sz w:val="16"/>
                <w:szCs w:val="16"/>
                <w:color w:val="auto"/>
              </w:rPr>
              <w:t>30%</w:t>
            </w:r>
          </w:p>
        </w:tc>
        <w:tc>
          <w:tcPr>
            <w:tcW w:w="1680" w:type="dxa"/>
            <w:vAlign w:val="bottom"/>
          </w:tcPr>
          <w:p>
            <w:pPr>
              <w:jc w:val="right"/>
              <w:ind w:right="359"/>
              <w:spacing w:after="0"/>
              <w:rPr>
                <w:sz w:val="20"/>
                <w:szCs w:val="20"/>
                <w:color w:val="auto"/>
              </w:rPr>
            </w:pPr>
            <w:r>
              <w:rPr>
                <w:rFonts w:ascii="Arial" w:cs="Arial" w:eastAsia="Arial" w:hAnsi="Arial"/>
                <w:sz w:val="16"/>
                <w:szCs w:val="16"/>
                <w:color w:val="auto"/>
              </w:rPr>
              <w:t>60%</w:t>
            </w:r>
          </w:p>
        </w:tc>
        <w:tc>
          <w:tcPr>
            <w:tcW w:w="1240" w:type="dxa"/>
            <w:vAlign w:val="bottom"/>
            <w:gridSpan w:val="2"/>
          </w:tcPr>
          <w:p>
            <w:pPr>
              <w:jc w:val="right"/>
              <w:spacing w:after="0"/>
              <w:rPr>
                <w:sz w:val="20"/>
                <w:szCs w:val="20"/>
                <w:color w:val="auto"/>
              </w:rPr>
            </w:pPr>
            <w:r>
              <w:rPr>
                <w:rFonts w:ascii="Arial" w:cs="Arial" w:eastAsia="Arial" w:hAnsi="Arial"/>
                <w:sz w:val="16"/>
                <w:szCs w:val="16"/>
                <w:color w:val="auto"/>
              </w:rPr>
              <w:t>90%</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158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6740" w:type="dxa"/>
            <w:vAlign w:val="bottom"/>
            <w:tcBorders>
              <w:bottom w:val="single" w:sz="8" w:color="04568A"/>
            </w:tcBorders>
            <w:gridSpan w:val="3"/>
            <w:shd w:val="clear" w:color="auto" w:fill="E4E9F2"/>
          </w:tcPr>
          <w:p>
            <w:pPr>
              <w:jc w:val="right"/>
              <w:ind w:right="359"/>
              <w:spacing w:after="0"/>
              <w:rPr>
                <w:sz w:val="20"/>
                <w:szCs w:val="20"/>
                <w:color w:val="auto"/>
              </w:rPr>
            </w:pPr>
            <w:r>
              <w:rPr>
                <w:rFonts w:ascii="Arial" w:cs="Arial" w:eastAsia="Arial" w:hAnsi="Arial"/>
                <w:sz w:val="16"/>
                <w:szCs w:val="16"/>
                <w:color w:val="auto"/>
              </w:rPr>
              <w:t>27.5%</w:t>
            </w:r>
          </w:p>
        </w:tc>
        <w:tc>
          <w:tcPr>
            <w:tcW w:w="1680" w:type="dxa"/>
            <w:vAlign w:val="bottom"/>
            <w:tcBorders>
              <w:bottom w:val="single" w:sz="8" w:color="04568A"/>
            </w:tcBorders>
            <w:shd w:val="clear" w:color="auto" w:fill="E4E9F2"/>
          </w:tcPr>
          <w:p>
            <w:pPr>
              <w:jc w:val="right"/>
              <w:ind w:right="359"/>
              <w:spacing w:after="0"/>
              <w:rPr>
                <w:sz w:val="20"/>
                <w:szCs w:val="20"/>
                <w:color w:val="auto"/>
              </w:rPr>
            </w:pPr>
            <w:r>
              <w:rPr>
                <w:rFonts w:ascii="Arial" w:cs="Arial" w:eastAsia="Arial" w:hAnsi="Arial"/>
                <w:sz w:val="16"/>
                <w:szCs w:val="16"/>
                <w:color w:val="auto"/>
              </w:rPr>
              <w:t>55%</w:t>
            </w:r>
          </w:p>
        </w:tc>
        <w:tc>
          <w:tcPr>
            <w:tcW w:w="1240" w:type="dxa"/>
            <w:vAlign w:val="bottom"/>
            <w:tcBorders>
              <w:bottom w:val="single" w:sz="8" w:color="04568A"/>
            </w:tcBorders>
            <w:gridSpan w:val="2"/>
            <w:shd w:val="clear" w:color="auto" w:fill="E4E9F2"/>
          </w:tcPr>
          <w:p>
            <w:pPr>
              <w:jc w:val="right"/>
              <w:spacing w:after="0"/>
              <w:rPr>
                <w:sz w:val="20"/>
                <w:szCs w:val="20"/>
                <w:color w:val="auto"/>
              </w:rPr>
            </w:pPr>
            <w:r>
              <w:rPr>
                <w:rFonts w:ascii="Arial" w:cs="Arial" w:eastAsia="Arial" w:hAnsi="Arial"/>
                <w:sz w:val="16"/>
                <w:szCs w:val="16"/>
                <w:color w:val="auto"/>
              </w:rPr>
              <w:t>82.5%</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7"/>
        </w:trPr>
        <w:tc>
          <w:tcPr>
            <w:tcW w:w="1580" w:type="dxa"/>
            <w:vAlign w:val="bottom"/>
            <w:vMerge w:val="restart"/>
          </w:tcPr>
          <w:p>
            <w:pPr>
              <w:spacing w:after="0"/>
              <w:rPr>
                <w:sz w:val="20"/>
                <w:szCs w:val="20"/>
                <w:color w:val="auto"/>
              </w:rPr>
            </w:pPr>
            <w:r>
              <w:rPr>
                <w:rFonts w:ascii="Arial" w:cs="Arial" w:eastAsia="Arial" w:hAnsi="Arial"/>
                <w:sz w:val="16"/>
                <w:szCs w:val="16"/>
                <w:b w:val="1"/>
                <w:bCs w:val="1"/>
                <w:color w:val="04568A"/>
              </w:rPr>
              <w:t>www.amneal.com</w:t>
            </w:r>
          </w:p>
        </w:tc>
        <w:tc>
          <w:tcPr>
            <w:tcW w:w="1800" w:type="dxa"/>
            <w:vAlign w:val="bottom"/>
            <w:tcBorders>
              <w:bottom w:val="single" w:sz="8" w:color="auto"/>
            </w:tcBorders>
          </w:tcPr>
          <w:p>
            <w:pPr>
              <w:spacing w:after="0"/>
              <w:rPr>
                <w:sz w:val="24"/>
                <w:szCs w:val="24"/>
                <w:color w:val="auto"/>
              </w:rPr>
            </w:pPr>
          </w:p>
        </w:tc>
        <w:tc>
          <w:tcPr>
            <w:tcW w:w="4940" w:type="dxa"/>
            <w:vAlign w:val="bottom"/>
            <w:gridSpan w:val="2"/>
            <w:vMerge w:val="restart"/>
          </w:tcPr>
          <w:p>
            <w:pPr>
              <w:jc w:val="right"/>
              <w:ind w:right="39"/>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168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460" w:type="dxa"/>
            <w:vAlign w:val="bottom"/>
            <w:gridSpan w:val="2"/>
            <w:vMerge w:val="restart"/>
          </w:tcPr>
          <w:p>
            <w:pPr>
              <w:jc w:val="right"/>
              <w:ind w:right="20"/>
              <w:spacing w:after="0"/>
              <w:rPr>
                <w:sz w:val="20"/>
                <w:szCs w:val="20"/>
                <w:color w:val="auto"/>
              </w:rPr>
            </w:pPr>
            <w:r>
              <w:rPr>
                <w:rFonts w:ascii="Arial" w:cs="Arial" w:eastAsia="Arial" w:hAnsi="Arial"/>
                <w:sz w:val="16"/>
                <w:szCs w:val="16"/>
                <w:b w:val="1"/>
                <w:bCs w:val="1"/>
                <w:color w:val="auto"/>
              </w:rPr>
              <w:t>34</w:t>
            </w:r>
          </w:p>
        </w:tc>
        <w:tc>
          <w:tcPr>
            <w:tcW w:w="0" w:type="dxa"/>
            <w:vAlign w:val="bottom"/>
          </w:tcPr>
          <w:p>
            <w:pPr>
              <w:spacing w:after="0"/>
              <w:rPr>
                <w:sz w:val="1"/>
                <w:szCs w:val="1"/>
                <w:color w:val="auto"/>
              </w:rPr>
            </w:pPr>
          </w:p>
        </w:tc>
      </w:tr>
      <w:tr>
        <w:trPr>
          <w:trHeight w:val="82"/>
        </w:trPr>
        <w:tc>
          <w:tcPr>
            <w:tcW w:w="1580" w:type="dxa"/>
            <w:vAlign w:val="bottom"/>
            <w:vMerge w:val="continue"/>
          </w:tcPr>
          <w:p>
            <w:pPr>
              <w:spacing w:after="0"/>
              <w:rPr>
                <w:sz w:val="7"/>
                <w:szCs w:val="7"/>
                <w:color w:val="auto"/>
              </w:rPr>
            </w:pPr>
          </w:p>
        </w:tc>
        <w:tc>
          <w:tcPr>
            <w:tcW w:w="1800" w:type="dxa"/>
            <w:vAlign w:val="bottom"/>
          </w:tcPr>
          <w:p>
            <w:pPr>
              <w:spacing w:after="0"/>
              <w:rPr>
                <w:sz w:val="7"/>
                <w:szCs w:val="7"/>
                <w:color w:val="auto"/>
              </w:rPr>
            </w:pPr>
          </w:p>
        </w:tc>
        <w:tc>
          <w:tcPr>
            <w:tcW w:w="4940" w:type="dxa"/>
            <w:vAlign w:val="bottom"/>
            <w:gridSpan w:val="2"/>
            <w:vMerge w:val="continue"/>
          </w:tcPr>
          <w:p>
            <w:pPr>
              <w:spacing w:after="0"/>
              <w:rPr>
                <w:sz w:val="7"/>
                <w:szCs w:val="7"/>
                <w:color w:val="auto"/>
              </w:rPr>
            </w:pPr>
          </w:p>
        </w:tc>
        <w:tc>
          <w:tcPr>
            <w:tcW w:w="1680" w:type="dxa"/>
            <w:vAlign w:val="bottom"/>
          </w:tcPr>
          <w:p>
            <w:pPr>
              <w:spacing w:after="0"/>
              <w:rPr>
                <w:sz w:val="7"/>
                <w:szCs w:val="7"/>
                <w:color w:val="auto"/>
              </w:rPr>
            </w:pPr>
          </w:p>
        </w:tc>
        <w:tc>
          <w:tcPr>
            <w:tcW w:w="800" w:type="dxa"/>
            <w:vAlign w:val="bottom"/>
          </w:tcPr>
          <w:p>
            <w:pPr>
              <w:spacing w:after="0"/>
              <w:rPr>
                <w:sz w:val="7"/>
                <w:szCs w:val="7"/>
                <w:color w:val="auto"/>
              </w:rPr>
            </w:pPr>
          </w:p>
        </w:tc>
        <w:tc>
          <w:tcPr>
            <w:tcW w:w="460" w:type="dxa"/>
            <w:vAlign w:val="bottom"/>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1580" w:type="dxa"/>
            <w:vAlign w:val="bottom"/>
            <w:tcBorders>
              <w:bottom w:val="single" w:sz="8" w:color="C0C0C0"/>
            </w:tcBorders>
          </w:tcPr>
          <w:p>
            <w:pPr>
              <w:spacing w:after="0"/>
              <w:rPr>
                <w:sz w:val="24"/>
                <w:szCs w:val="24"/>
                <w:color w:val="auto"/>
              </w:rPr>
            </w:pPr>
          </w:p>
        </w:tc>
        <w:tc>
          <w:tcPr>
            <w:tcW w:w="1800" w:type="dxa"/>
            <w:vAlign w:val="bottom"/>
            <w:tcBorders>
              <w:bottom w:val="single" w:sz="8" w:color="C0C0C0"/>
            </w:tcBorders>
          </w:tcPr>
          <w:p>
            <w:pPr>
              <w:spacing w:after="0"/>
              <w:rPr>
                <w:sz w:val="24"/>
                <w:szCs w:val="24"/>
                <w:color w:val="auto"/>
              </w:rPr>
            </w:pPr>
          </w:p>
        </w:tc>
        <w:tc>
          <w:tcPr>
            <w:tcW w:w="3140" w:type="dxa"/>
            <w:vAlign w:val="bottom"/>
            <w:tcBorders>
              <w:bottom w:val="single" w:sz="8" w:color="C0C0C0"/>
            </w:tcBorders>
          </w:tcPr>
          <w:p>
            <w:pPr>
              <w:spacing w:after="0"/>
              <w:rPr>
                <w:sz w:val="24"/>
                <w:szCs w:val="24"/>
                <w:color w:val="auto"/>
              </w:rPr>
            </w:pPr>
          </w:p>
        </w:tc>
        <w:tc>
          <w:tcPr>
            <w:tcW w:w="1800" w:type="dxa"/>
            <w:vAlign w:val="bottom"/>
            <w:tcBorders>
              <w:bottom w:val="single" w:sz="8" w:color="C0C0C0"/>
            </w:tcBorders>
          </w:tcPr>
          <w:p>
            <w:pPr>
              <w:spacing w:after="0"/>
              <w:rPr>
                <w:sz w:val="24"/>
                <w:szCs w:val="24"/>
                <w:color w:val="auto"/>
              </w:rPr>
            </w:pPr>
          </w:p>
        </w:tc>
        <w:tc>
          <w:tcPr>
            <w:tcW w:w="1680" w:type="dxa"/>
            <w:vAlign w:val="bottom"/>
            <w:tcBorders>
              <w:bottom w:val="single" w:sz="8" w:color="C0C0C0"/>
            </w:tcBorders>
          </w:tcPr>
          <w:p>
            <w:pPr>
              <w:spacing w:after="0"/>
              <w:rPr>
                <w:sz w:val="24"/>
                <w:szCs w:val="24"/>
                <w:color w:val="auto"/>
              </w:rPr>
            </w:pPr>
          </w:p>
        </w:tc>
        <w:tc>
          <w:tcPr>
            <w:tcW w:w="80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35" w:name="page36"/>
    <w:bookmarkEnd w:id="35"/>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ind w:right="120"/>
        <w:spacing w:after="0" w:line="253" w:lineRule="auto"/>
        <w:rPr>
          <w:sz w:val="20"/>
          <w:szCs w:val="20"/>
          <w:color w:val="auto"/>
        </w:rPr>
      </w:pPr>
      <w:r>
        <w:rPr>
          <w:rFonts w:ascii="Arial" w:cs="Arial" w:eastAsia="Arial" w:hAnsi="Arial"/>
          <w:sz w:val="16"/>
          <w:szCs w:val="16"/>
          <w:color w:val="auto"/>
        </w:rPr>
        <w:t>The fiscal 2021 combined adjusted EBITDA threshold, target and maximum performance objectives were $454.75 million, $535 million and $668.75 million, respectively. Our Company’s fiscal 2021 combined adjusted EBITDA was $538 million, or 100.5% of target which resulted in 101% funding for the Annual Incentive Program.</w:t>
      </w:r>
    </w:p>
    <w:p>
      <w:pPr>
        <w:spacing w:after="0" w:line="174" w:lineRule="exact"/>
        <w:rPr>
          <w:sz w:val="20"/>
          <w:szCs w:val="20"/>
          <w:color w:val="auto"/>
        </w:rPr>
      </w:pPr>
    </w:p>
    <w:p>
      <w:pPr>
        <w:ind w:right="220"/>
        <w:spacing w:after="0" w:line="260" w:lineRule="auto"/>
        <w:rPr>
          <w:sz w:val="20"/>
          <w:szCs w:val="20"/>
          <w:color w:val="auto"/>
        </w:rPr>
      </w:pPr>
      <w:r>
        <w:rPr>
          <w:rFonts w:ascii="Arial" w:cs="Arial" w:eastAsia="Arial" w:hAnsi="Arial"/>
          <w:sz w:val="16"/>
          <w:szCs w:val="16"/>
          <w:color w:val="auto"/>
        </w:rPr>
        <w:t>The 2021 annual performance-based cash incentive program also provides for an individual performance multiplier, which ranges from 0% to 150% based on an individual’s performance during the year.</w:t>
      </w:r>
    </w:p>
    <w:p>
      <w:pPr>
        <w:spacing w:after="0" w:line="121"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2900" w:type="dxa"/>
            <w:vAlign w:val="bottom"/>
          </w:tcPr>
          <w:p>
            <w:pPr>
              <w:spacing w:after="0"/>
              <w:rPr>
                <w:sz w:val="16"/>
                <w:szCs w:val="16"/>
                <w:color w:val="auto"/>
              </w:rPr>
            </w:pPr>
          </w:p>
        </w:tc>
        <w:tc>
          <w:tcPr>
            <w:tcW w:w="148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200" w:type="dxa"/>
            <w:vAlign w:val="bottom"/>
          </w:tcPr>
          <w:p>
            <w:pPr>
              <w:jc w:val="right"/>
              <w:ind w:right="179"/>
              <w:spacing w:after="0"/>
              <w:rPr>
                <w:sz w:val="20"/>
                <w:szCs w:val="20"/>
                <w:color w:val="auto"/>
              </w:rPr>
            </w:pPr>
            <w:r>
              <w:rPr>
                <w:rFonts w:ascii="Arial" w:cs="Arial" w:eastAsia="Arial" w:hAnsi="Arial"/>
                <w:sz w:val="16"/>
                <w:szCs w:val="16"/>
                <w:b w:val="1"/>
                <w:bCs w:val="1"/>
                <w:color w:val="04568A"/>
              </w:rPr>
              <w:t>Final</w:t>
            </w:r>
          </w:p>
        </w:tc>
        <w:tc>
          <w:tcPr>
            <w:tcW w:w="1380" w:type="dxa"/>
            <w:vAlign w:val="bottom"/>
          </w:tcPr>
          <w:p>
            <w:pPr>
              <w:spacing w:after="0"/>
              <w:rPr>
                <w:sz w:val="16"/>
                <w:szCs w:val="16"/>
                <w:color w:val="auto"/>
              </w:rPr>
            </w:pPr>
          </w:p>
        </w:tc>
      </w:tr>
      <w:tr>
        <w:trPr>
          <w:trHeight w:val="189"/>
        </w:trPr>
        <w:tc>
          <w:tcPr>
            <w:tcW w:w="2900" w:type="dxa"/>
            <w:vAlign w:val="bottom"/>
          </w:tcPr>
          <w:p>
            <w:pPr>
              <w:spacing w:after="0"/>
              <w:rPr>
                <w:sz w:val="16"/>
                <w:szCs w:val="16"/>
                <w:color w:val="auto"/>
              </w:rPr>
            </w:pPr>
          </w:p>
        </w:tc>
        <w:tc>
          <w:tcPr>
            <w:tcW w:w="1480" w:type="dxa"/>
            <w:vAlign w:val="bottom"/>
          </w:tcPr>
          <w:p>
            <w:pPr>
              <w:spacing w:after="0"/>
              <w:rPr>
                <w:sz w:val="16"/>
                <w:szCs w:val="16"/>
                <w:color w:val="auto"/>
              </w:rPr>
            </w:pPr>
          </w:p>
        </w:tc>
        <w:tc>
          <w:tcPr>
            <w:tcW w:w="1140" w:type="dxa"/>
            <w:vAlign w:val="bottom"/>
          </w:tcPr>
          <w:p>
            <w:pPr>
              <w:jc w:val="right"/>
              <w:ind w:right="199"/>
              <w:spacing w:after="0"/>
              <w:rPr>
                <w:sz w:val="20"/>
                <w:szCs w:val="20"/>
                <w:color w:val="auto"/>
              </w:rPr>
            </w:pPr>
            <w:r>
              <w:rPr>
                <w:rFonts w:ascii="Arial" w:cs="Arial" w:eastAsia="Arial" w:hAnsi="Arial"/>
                <w:sz w:val="16"/>
                <w:szCs w:val="16"/>
                <w:b w:val="1"/>
                <w:bCs w:val="1"/>
                <w:color w:val="04568A"/>
              </w:rPr>
              <w:t>2021 Base</w:t>
            </w:r>
          </w:p>
        </w:tc>
        <w:tc>
          <w:tcPr>
            <w:tcW w:w="1200" w:type="dxa"/>
            <w:vAlign w:val="bottom"/>
          </w:tcPr>
          <w:p>
            <w:pPr>
              <w:jc w:val="right"/>
              <w:ind w:right="159"/>
              <w:spacing w:after="0"/>
              <w:rPr>
                <w:sz w:val="20"/>
                <w:szCs w:val="20"/>
                <w:color w:val="auto"/>
              </w:rPr>
            </w:pPr>
            <w:r>
              <w:rPr>
                <w:rFonts w:ascii="Arial" w:cs="Arial" w:eastAsia="Arial" w:hAnsi="Arial"/>
                <w:sz w:val="16"/>
                <w:szCs w:val="16"/>
                <w:b w:val="1"/>
                <w:bCs w:val="1"/>
                <w:color w:val="04568A"/>
              </w:rPr>
              <w:t>AIP</w:t>
            </w:r>
          </w:p>
        </w:tc>
        <w:tc>
          <w:tcPr>
            <w:tcW w:w="420" w:type="dxa"/>
            <w:vAlign w:val="bottom"/>
          </w:tcPr>
          <w:p>
            <w:pPr>
              <w:spacing w:after="0"/>
              <w:rPr>
                <w:sz w:val="16"/>
                <w:szCs w:val="16"/>
                <w:color w:val="auto"/>
              </w:rPr>
            </w:pPr>
          </w:p>
        </w:tc>
        <w:tc>
          <w:tcPr>
            <w:tcW w:w="1120" w:type="dxa"/>
            <w:vAlign w:val="bottom"/>
          </w:tcPr>
          <w:p>
            <w:pPr>
              <w:jc w:val="right"/>
              <w:ind w:right="139"/>
              <w:spacing w:after="0"/>
              <w:rPr>
                <w:sz w:val="20"/>
                <w:szCs w:val="20"/>
                <w:color w:val="auto"/>
              </w:rPr>
            </w:pPr>
            <w:r>
              <w:rPr>
                <w:rFonts w:ascii="Arial" w:cs="Arial" w:eastAsia="Arial" w:hAnsi="Arial"/>
                <w:sz w:val="16"/>
                <w:szCs w:val="16"/>
                <w:b w:val="1"/>
                <w:bCs w:val="1"/>
                <w:color w:val="04568A"/>
              </w:rPr>
              <w:t>AIP Target</w:t>
            </w:r>
          </w:p>
        </w:tc>
        <w:tc>
          <w:tcPr>
            <w:tcW w:w="400" w:type="dxa"/>
            <w:vAlign w:val="bottom"/>
          </w:tcPr>
          <w:p>
            <w:pPr>
              <w:spacing w:after="0"/>
              <w:rPr>
                <w:sz w:val="16"/>
                <w:szCs w:val="16"/>
                <w:color w:val="auto"/>
              </w:rPr>
            </w:pPr>
          </w:p>
        </w:tc>
        <w:tc>
          <w:tcPr>
            <w:tcW w:w="1200" w:type="dxa"/>
            <w:vAlign w:val="bottom"/>
          </w:tcPr>
          <w:p>
            <w:pPr>
              <w:jc w:val="right"/>
              <w:ind w:right="179"/>
              <w:spacing w:after="0"/>
              <w:rPr>
                <w:sz w:val="20"/>
                <w:szCs w:val="20"/>
                <w:color w:val="auto"/>
              </w:rPr>
            </w:pPr>
            <w:r>
              <w:rPr>
                <w:rFonts w:ascii="Arial" w:cs="Arial" w:eastAsia="Arial" w:hAnsi="Arial"/>
                <w:sz w:val="16"/>
                <w:szCs w:val="16"/>
                <w:b w:val="1"/>
                <w:bCs w:val="1"/>
                <w:color w:val="04568A"/>
              </w:rPr>
              <w:t>AIP Payout</w:t>
            </w:r>
          </w:p>
        </w:tc>
        <w:tc>
          <w:tcPr>
            <w:tcW w:w="1380" w:type="dxa"/>
            <w:vAlign w:val="bottom"/>
          </w:tcPr>
          <w:p>
            <w:pPr>
              <w:jc w:val="right"/>
              <w:spacing w:after="0"/>
              <w:rPr>
                <w:sz w:val="20"/>
                <w:szCs w:val="20"/>
                <w:color w:val="auto"/>
              </w:rPr>
            </w:pPr>
            <w:r>
              <w:rPr>
                <w:rFonts w:ascii="Arial" w:cs="Arial" w:eastAsia="Arial" w:hAnsi="Arial"/>
                <w:sz w:val="16"/>
                <w:szCs w:val="16"/>
                <w:b w:val="1"/>
                <w:bCs w:val="1"/>
                <w:color w:val="04568A"/>
              </w:rPr>
              <w:t>AIP Payout %</w:t>
            </w:r>
          </w:p>
        </w:tc>
      </w:tr>
      <w:tr>
        <w:trPr>
          <w:trHeight w:val="207"/>
        </w:trPr>
        <w:tc>
          <w:tcPr>
            <w:tcW w:w="290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Name</w:t>
            </w:r>
          </w:p>
        </w:tc>
        <w:tc>
          <w:tcPr>
            <w:tcW w:w="1480" w:type="dxa"/>
            <w:vAlign w:val="bottom"/>
            <w:tcBorders>
              <w:bottom w:val="single" w:sz="8" w:color="04568A"/>
            </w:tcBorders>
          </w:tcPr>
          <w:p>
            <w:pPr>
              <w:spacing w:after="0"/>
              <w:rPr>
                <w:sz w:val="18"/>
                <w:szCs w:val="18"/>
                <w:color w:val="auto"/>
              </w:rPr>
            </w:pPr>
          </w:p>
        </w:tc>
        <w:tc>
          <w:tcPr>
            <w:tcW w:w="1140" w:type="dxa"/>
            <w:vAlign w:val="bottom"/>
            <w:tcBorders>
              <w:bottom w:val="single" w:sz="8" w:color="04568A"/>
            </w:tcBorders>
          </w:tcPr>
          <w:p>
            <w:pPr>
              <w:jc w:val="right"/>
              <w:ind w:right="199"/>
              <w:spacing w:after="0"/>
              <w:rPr>
                <w:sz w:val="20"/>
                <w:szCs w:val="20"/>
                <w:color w:val="auto"/>
              </w:rPr>
            </w:pPr>
            <w:r>
              <w:rPr>
                <w:rFonts w:ascii="Arial" w:cs="Arial" w:eastAsia="Arial" w:hAnsi="Arial"/>
                <w:sz w:val="16"/>
                <w:szCs w:val="16"/>
                <w:b w:val="1"/>
                <w:bCs w:val="1"/>
                <w:color w:val="04568A"/>
              </w:rPr>
              <w:t>Salary</w:t>
            </w:r>
          </w:p>
        </w:tc>
        <w:tc>
          <w:tcPr>
            <w:tcW w:w="1200" w:type="dxa"/>
            <w:vAlign w:val="bottom"/>
            <w:tcBorders>
              <w:bottom w:val="single" w:sz="8" w:color="04568A"/>
            </w:tcBorders>
          </w:tcPr>
          <w:p>
            <w:pPr>
              <w:jc w:val="right"/>
              <w:ind w:right="159"/>
              <w:spacing w:after="0"/>
              <w:rPr>
                <w:sz w:val="20"/>
                <w:szCs w:val="20"/>
                <w:color w:val="auto"/>
              </w:rPr>
            </w:pPr>
            <w:r>
              <w:rPr>
                <w:rFonts w:ascii="Arial" w:cs="Arial" w:eastAsia="Arial" w:hAnsi="Arial"/>
                <w:sz w:val="16"/>
                <w:szCs w:val="16"/>
                <w:b w:val="1"/>
                <w:bCs w:val="1"/>
                <w:color w:val="04568A"/>
              </w:rPr>
              <w:t>Target %</w:t>
            </w:r>
          </w:p>
        </w:tc>
        <w:tc>
          <w:tcPr>
            <w:tcW w:w="420" w:type="dxa"/>
            <w:vAlign w:val="bottom"/>
            <w:tcBorders>
              <w:bottom w:val="single" w:sz="8" w:color="04568A"/>
            </w:tcBorders>
          </w:tcPr>
          <w:p>
            <w:pPr>
              <w:spacing w:after="0"/>
              <w:rPr>
                <w:sz w:val="18"/>
                <w:szCs w:val="18"/>
                <w:color w:val="auto"/>
              </w:rPr>
            </w:pPr>
          </w:p>
        </w:tc>
        <w:tc>
          <w:tcPr>
            <w:tcW w:w="1120" w:type="dxa"/>
            <w:vAlign w:val="bottom"/>
            <w:tcBorders>
              <w:bottom w:val="single" w:sz="8" w:color="04568A"/>
            </w:tcBorders>
          </w:tcPr>
          <w:p>
            <w:pPr>
              <w:jc w:val="right"/>
              <w:ind w:right="139"/>
              <w:spacing w:after="0"/>
              <w:rPr>
                <w:sz w:val="20"/>
                <w:szCs w:val="20"/>
                <w:color w:val="auto"/>
              </w:rPr>
            </w:pPr>
            <w:r>
              <w:rPr>
                <w:rFonts w:ascii="Arial" w:cs="Arial" w:eastAsia="Arial" w:hAnsi="Arial"/>
                <w:sz w:val="16"/>
                <w:szCs w:val="16"/>
                <w:b w:val="1"/>
                <w:bCs w:val="1"/>
                <w:color w:val="04568A"/>
              </w:rPr>
              <w:t>$</w:t>
            </w:r>
          </w:p>
        </w:tc>
        <w:tc>
          <w:tcPr>
            <w:tcW w:w="400" w:type="dxa"/>
            <w:vAlign w:val="bottom"/>
            <w:tcBorders>
              <w:bottom w:val="single" w:sz="8" w:color="04568A"/>
            </w:tcBorders>
          </w:tcPr>
          <w:p>
            <w:pPr>
              <w:spacing w:after="0"/>
              <w:rPr>
                <w:sz w:val="18"/>
                <w:szCs w:val="18"/>
                <w:color w:val="auto"/>
              </w:rPr>
            </w:pPr>
          </w:p>
        </w:tc>
        <w:tc>
          <w:tcPr>
            <w:tcW w:w="1200" w:type="dxa"/>
            <w:vAlign w:val="bottom"/>
            <w:tcBorders>
              <w:bottom w:val="single" w:sz="8" w:color="04568A"/>
            </w:tcBorders>
          </w:tcPr>
          <w:p>
            <w:pPr>
              <w:jc w:val="right"/>
              <w:ind w:right="179"/>
              <w:spacing w:after="0"/>
              <w:rPr>
                <w:sz w:val="20"/>
                <w:szCs w:val="20"/>
                <w:color w:val="auto"/>
              </w:rPr>
            </w:pPr>
            <w:r>
              <w:rPr>
                <w:rFonts w:ascii="Arial" w:cs="Arial" w:eastAsia="Arial" w:hAnsi="Arial"/>
                <w:sz w:val="16"/>
                <w:szCs w:val="16"/>
                <w:b w:val="1"/>
                <w:bCs w:val="1"/>
                <w:color w:val="04568A"/>
              </w:rPr>
              <w:t>$</w:t>
            </w:r>
          </w:p>
        </w:tc>
        <w:tc>
          <w:tcPr>
            <w:tcW w:w="1380" w:type="dxa"/>
            <w:vAlign w:val="bottom"/>
            <w:tcBorders>
              <w:bottom w:val="single" w:sz="8" w:color="04568A"/>
            </w:tcBorders>
          </w:tcPr>
          <w:p>
            <w:pPr>
              <w:jc w:val="right"/>
              <w:spacing w:after="0"/>
              <w:rPr>
                <w:sz w:val="20"/>
                <w:szCs w:val="20"/>
                <w:color w:val="auto"/>
              </w:rPr>
            </w:pPr>
            <w:r>
              <w:rPr>
                <w:rFonts w:ascii="Arial" w:cs="Arial" w:eastAsia="Arial" w:hAnsi="Arial"/>
                <w:sz w:val="16"/>
                <w:szCs w:val="16"/>
                <w:b w:val="1"/>
                <w:bCs w:val="1"/>
                <w:color w:val="04568A"/>
              </w:rPr>
              <w:t>of Target</w:t>
            </w:r>
          </w:p>
        </w:tc>
      </w:tr>
      <w:tr>
        <w:trPr>
          <w:trHeight w:val="183"/>
        </w:trPr>
        <w:tc>
          <w:tcPr>
            <w:tcW w:w="2900" w:type="dxa"/>
            <w:vAlign w:val="bottom"/>
          </w:tcPr>
          <w:p>
            <w:pPr>
              <w:ind w:left="60"/>
              <w:spacing w:after="0" w:line="183" w:lineRule="exact"/>
              <w:rPr>
                <w:sz w:val="20"/>
                <w:szCs w:val="20"/>
                <w:color w:val="auto"/>
              </w:rPr>
            </w:pPr>
            <w:r>
              <w:rPr>
                <w:rFonts w:ascii="Arial" w:cs="Arial" w:eastAsia="Arial" w:hAnsi="Arial"/>
                <w:sz w:val="16"/>
                <w:szCs w:val="16"/>
                <w:color w:val="auto"/>
              </w:rPr>
              <w:t>Chirag K. Patel</w:t>
            </w:r>
          </w:p>
        </w:tc>
        <w:tc>
          <w:tcPr>
            <w:tcW w:w="1480" w:type="dxa"/>
            <w:vAlign w:val="bottom"/>
          </w:tcPr>
          <w:p>
            <w:pPr>
              <w:jc w:val="right"/>
              <w:spacing w:after="0" w:line="183" w:lineRule="exact"/>
              <w:rPr>
                <w:sz w:val="20"/>
                <w:szCs w:val="20"/>
                <w:color w:val="auto"/>
              </w:rPr>
            </w:pPr>
            <w:r>
              <w:rPr>
                <w:rFonts w:ascii="Arial" w:cs="Arial" w:eastAsia="Arial" w:hAnsi="Arial"/>
                <w:sz w:val="16"/>
                <w:szCs w:val="16"/>
                <w:color w:val="auto"/>
              </w:rPr>
              <w:t>$</w:t>
            </w:r>
          </w:p>
        </w:tc>
        <w:tc>
          <w:tcPr>
            <w:tcW w:w="1140" w:type="dxa"/>
            <w:vAlign w:val="bottom"/>
          </w:tcPr>
          <w:p>
            <w:pPr>
              <w:jc w:val="right"/>
              <w:ind w:right="199"/>
              <w:spacing w:after="0" w:line="183" w:lineRule="exact"/>
              <w:rPr>
                <w:sz w:val="20"/>
                <w:szCs w:val="20"/>
                <w:color w:val="auto"/>
              </w:rPr>
            </w:pPr>
            <w:r>
              <w:rPr>
                <w:rFonts w:ascii="Arial" w:cs="Arial" w:eastAsia="Arial" w:hAnsi="Arial"/>
                <w:sz w:val="16"/>
                <w:szCs w:val="16"/>
                <w:color w:val="auto"/>
              </w:rPr>
              <w:t>750,000</w:t>
            </w:r>
          </w:p>
        </w:tc>
        <w:tc>
          <w:tcPr>
            <w:tcW w:w="1200" w:type="dxa"/>
            <w:vAlign w:val="bottom"/>
          </w:tcPr>
          <w:p>
            <w:pPr>
              <w:jc w:val="right"/>
              <w:ind w:right="159"/>
              <w:spacing w:after="0" w:line="183" w:lineRule="exact"/>
              <w:rPr>
                <w:sz w:val="20"/>
                <w:szCs w:val="20"/>
                <w:color w:val="auto"/>
              </w:rPr>
            </w:pPr>
            <w:r>
              <w:rPr>
                <w:rFonts w:ascii="Arial" w:cs="Arial" w:eastAsia="Arial" w:hAnsi="Arial"/>
                <w:sz w:val="16"/>
                <w:szCs w:val="16"/>
                <w:color w:val="auto"/>
              </w:rPr>
              <w:t>100%</w:t>
            </w:r>
          </w:p>
        </w:tc>
        <w:tc>
          <w:tcPr>
            <w:tcW w:w="420" w:type="dxa"/>
            <w:vAlign w:val="bottom"/>
          </w:tcPr>
          <w:p>
            <w:pPr>
              <w:jc w:val="right"/>
              <w:ind w:right="39"/>
              <w:spacing w:after="0" w:line="183" w:lineRule="exact"/>
              <w:rPr>
                <w:sz w:val="20"/>
                <w:szCs w:val="20"/>
                <w:color w:val="auto"/>
              </w:rPr>
            </w:pPr>
            <w:r>
              <w:rPr>
                <w:rFonts w:ascii="Arial" w:cs="Arial" w:eastAsia="Arial" w:hAnsi="Arial"/>
                <w:sz w:val="16"/>
                <w:szCs w:val="16"/>
                <w:color w:val="auto"/>
              </w:rPr>
              <w:t>$</w:t>
            </w:r>
          </w:p>
        </w:tc>
        <w:tc>
          <w:tcPr>
            <w:tcW w:w="1120" w:type="dxa"/>
            <w:vAlign w:val="bottom"/>
          </w:tcPr>
          <w:p>
            <w:pPr>
              <w:jc w:val="right"/>
              <w:ind w:right="139"/>
              <w:spacing w:after="0" w:line="183" w:lineRule="exact"/>
              <w:rPr>
                <w:sz w:val="20"/>
                <w:szCs w:val="20"/>
                <w:color w:val="auto"/>
              </w:rPr>
            </w:pPr>
            <w:r>
              <w:rPr>
                <w:rFonts w:ascii="Arial" w:cs="Arial" w:eastAsia="Arial" w:hAnsi="Arial"/>
                <w:sz w:val="16"/>
                <w:szCs w:val="16"/>
                <w:color w:val="auto"/>
              </w:rPr>
              <w:t>750,000</w:t>
            </w:r>
          </w:p>
        </w:tc>
        <w:tc>
          <w:tcPr>
            <w:tcW w:w="400" w:type="dxa"/>
            <w:vAlign w:val="bottom"/>
          </w:tcPr>
          <w:p>
            <w:pPr>
              <w:jc w:val="right"/>
              <w:spacing w:after="0" w:line="183" w:lineRule="exact"/>
              <w:rPr>
                <w:sz w:val="20"/>
                <w:szCs w:val="20"/>
                <w:color w:val="auto"/>
              </w:rPr>
            </w:pPr>
            <w:r>
              <w:rPr>
                <w:rFonts w:ascii="Arial" w:cs="Arial" w:eastAsia="Arial" w:hAnsi="Arial"/>
                <w:sz w:val="16"/>
                <w:szCs w:val="16"/>
                <w:color w:val="auto"/>
              </w:rPr>
              <w:t>$</w:t>
            </w:r>
          </w:p>
        </w:tc>
        <w:tc>
          <w:tcPr>
            <w:tcW w:w="1200" w:type="dxa"/>
            <w:vAlign w:val="bottom"/>
          </w:tcPr>
          <w:p>
            <w:pPr>
              <w:jc w:val="right"/>
              <w:ind w:right="179"/>
              <w:spacing w:after="0" w:line="183" w:lineRule="exact"/>
              <w:rPr>
                <w:sz w:val="20"/>
                <w:szCs w:val="20"/>
                <w:color w:val="auto"/>
              </w:rPr>
            </w:pPr>
            <w:r>
              <w:rPr>
                <w:rFonts w:ascii="Arial" w:cs="Arial" w:eastAsia="Arial" w:hAnsi="Arial"/>
                <w:sz w:val="16"/>
                <w:szCs w:val="16"/>
                <w:color w:val="auto"/>
              </w:rPr>
              <w:t>757,500</w:t>
            </w:r>
          </w:p>
        </w:tc>
        <w:tc>
          <w:tcPr>
            <w:tcW w:w="1380" w:type="dxa"/>
            <w:vAlign w:val="bottom"/>
          </w:tcPr>
          <w:p>
            <w:pPr>
              <w:jc w:val="right"/>
              <w:spacing w:after="0" w:line="183" w:lineRule="exact"/>
              <w:rPr>
                <w:sz w:val="20"/>
                <w:szCs w:val="20"/>
                <w:color w:val="auto"/>
              </w:rPr>
            </w:pPr>
            <w:r>
              <w:rPr>
                <w:rFonts w:ascii="Arial" w:cs="Arial" w:eastAsia="Arial" w:hAnsi="Arial"/>
                <w:sz w:val="16"/>
                <w:szCs w:val="16"/>
                <w:color w:val="auto"/>
              </w:rPr>
              <w:t>101%</w:t>
            </w:r>
          </w:p>
        </w:tc>
      </w:tr>
      <w:tr>
        <w:trPr>
          <w:trHeight w:val="189"/>
        </w:trPr>
        <w:tc>
          <w:tcPr>
            <w:tcW w:w="2900" w:type="dxa"/>
            <w:vAlign w:val="bottom"/>
            <w:shd w:val="clear" w:color="auto" w:fill="E4E9F2"/>
          </w:tcPr>
          <w:p>
            <w:pPr>
              <w:ind w:left="60"/>
              <w:spacing w:after="0"/>
              <w:rPr>
                <w:sz w:val="20"/>
                <w:szCs w:val="20"/>
                <w:color w:val="auto"/>
              </w:rPr>
            </w:pPr>
            <w:r>
              <w:rPr>
                <w:rFonts w:ascii="Arial" w:cs="Arial" w:eastAsia="Arial" w:hAnsi="Arial"/>
                <w:sz w:val="16"/>
                <w:szCs w:val="16"/>
                <w:color w:val="auto"/>
              </w:rPr>
              <w:t>Chintu Patel</w:t>
            </w:r>
          </w:p>
        </w:tc>
        <w:tc>
          <w:tcPr>
            <w:tcW w:w="14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140" w:type="dxa"/>
            <w:vAlign w:val="bottom"/>
            <w:shd w:val="clear" w:color="auto" w:fill="E4E9F2"/>
          </w:tcPr>
          <w:p>
            <w:pPr>
              <w:jc w:val="right"/>
              <w:ind w:right="199"/>
              <w:spacing w:after="0"/>
              <w:rPr>
                <w:sz w:val="20"/>
                <w:szCs w:val="20"/>
                <w:color w:val="auto"/>
              </w:rPr>
            </w:pPr>
            <w:r>
              <w:rPr>
                <w:rFonts w:ascii="Arial" w:cs="Arial" w:eastAsia="Arial" w:hAnsi="Arial"/>
                <w:sz w:val="16"/>
                <w:szCs w:val="16"/>
                <w:color w:val="auto"/>
              </w:rPr>
              <w:t>750,000</w:t>
            </w:r>
          </w:p>
        </w:tc>
        <w:tc>
          <w:tcPr>
            <w:tcW w:w="1200" w:type="dxa"/>
            <w:vAlign w:val="bottom"/>
            <w:shd w:val="clear" w:color="auto" w:fill="E4E9F2"/>
          </w:tcPr>
          <w:p>
            <w:pPr>
              <w:jc w:val="right"/>
              <w:ind w:right="159"/>
              <w:spacing w:after="0"/>
              <w:rPr>
                <w:sz w:val="20"/>
                <w:szCs w:val="20"/>
                <w:color w:val="auto"/>
              </w:rPr>
            </w:pPr>
            <w:r>
              <w:rPr>
                <w:rFonts w:ascii="Arial" w:cs="Arial" w:eastAsia="Arial" w:hAnsi="Arial"/>
                <w:sz w:val="16"/>
                <w:szCs w:val="16"/>
                <w:color w:val="auto"/>
              </w:rPr>
              <w:t>100%</w:t>
            </w:r>
          </w:p>
        </w:tc>
        <w:tc>
          <w:tcPr>
            <w:tcW w:w="420" w:type="dxa"/>
            <w:vAlign w:val="bottom"/>
            <w:shd w:val="clear" w:color="auto" w:fill="E4E9F2"/>
          </w:tcPr>
          <w:p>
            <w:pPr>
              <w:jc w:val="right"/>
              <w:ind w:right="39"/>
              <w:spacing w:after="0"/>
              <w:rPr>
                <w:sz w:val="20"/>
                <w:szCs w:val="20"/>
                <w:color w:val="auto"/>
              </w:rPr>
            </w:pPr>
            <w:r>
              <w:rPr>
                <w:rFonts w:ascii="Arial" w:cs="Arial" w:eastAsia="Arial" w:hAnsi="Arial"/>
                <w:sz w:val="16"/>
                <w:szCs w:val="16"/>
                <w:color w:val="auto"/>
              </w:rPr>
              <w:t>$</w:t>
            </w:r>
          </w:p>
        </w:tc>
        <w:tc>
          <w:tcPr>
            <w:tcW w:w="1120" w:type="dxa"/>
            <w:vAlign w:val="bottom"/>
            <w:shd w:val="clear" w:color="auto" w:fill="E4E9F2"/>
          </w:tcPr>
          <w:p>
            <w:pPr>
              <w:jc w:val="right"/>
              <w:ind w:right="139"/>
              <w:spacing w:after="0"/>
              <w:rPr>
                <w:sz w:val="20"/>
                <w:szCs w:val="20"/>
                <w:color w:val="auto"/>
              </w:rPr>
            </w:pPr>
            <w:r>
              <w:rPr>
                <w:rFonts w:ascii="Arial" w:cs="Arial" w:eastAsia="Arial" w:hAnsi="Arial"/>
                <w:sz w:val="16"/>
                <w:szCs w:val="16"/>
                <w:color w:val="auto"/>
              </w:rPr>
              <w:t>750,000</w:t>
            </w:r>
          </w:p>
        </w:tc>
        <w:tc>
          <w:tcPr>
            <w:tcW w:w="4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179"/>
              <w:spacing w:after="0"/>
              <w:rPr>
                <w:sz w:val="20"/>
                <w:szCs w:val="20"/>
                <w:color w:val="auto"/>
              </w:rPr>
            </w:pPr>
            <w:r>
              <w:rPr>
                <w:rFonts w:ascii="Arial" w:cs="Arial" w:eastAsia="Arial" w:hAnsi="Arial"/>
                <w:sz w:val="16"/>
                <w:szCs w:val="16"/>
                <w:color w:val="auto"/>
              </w:rPr>
              <w:t>757,500</w:t>
            </w:r>
          </w:p>
        </w:tc>
        <w:tc>
          <w:tcPr>
            <w:tcW w:w="13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101%</w:t>
            </w:r>
          </w:p>
        </w:tc>
      </w:tr>
      <w:tr>
        <w:trPr>
          <w:trHeight w:val="189"/>
        </w:trPr>
        <w:tc>
          <w:tcPr>
            <w:tcW w:w="2900" w:type="dxa"/>
            <w:vAlign w:val="bottom"/>
          </w:tcPr>
          <w:p>
            <w:pPr>
              <w:ind w:left="60"/>
              <w:spacing w:after="0"/>
              <w:rPr>
                <w:sz w:val="20"/>
                <w:szCs w:val="20"/>
                <w:color w:val="auto"/>
              </w:rPr>
            </w:pPr>
            <w:r>
              <w:rPr>
                <w:rFonts w:ascii="Arial" w:cs="Arial" w:eastAsia="Arial" w:hAnsi="Arial"/>
                <w:sz w:val="16"/>
                <w:szCs w:val="16"/>
                <w:color w:val="auto"/>
              </w:rPr>
              <w:t>Anastasios Konidaris</w:t>
            </w:r>
          </w:p>
        </w:tc>
        <w:tc>
          <w:tcPr>
            <w:tcW w:w="1480" w:type="dxa"/>
            <w:vAlign w:val="bottom"/>
          </w:tcPr>
          <w:p>
            <w:pPr>
              <w:jc w:val="right"/>
              <w:spacing w:after="0"/>
              <w:rPr>
                <w:sz w:val="20"/>
                <w:szCs w:val="20"/>
                <w:color w:val="auto"/>
              </w:rPr>
            </w:pPr>
            <w:r>
              <w:rPr>
                <w:rFonts w:ascii="Arial" w:cs="Arial" w:eastAsia="Arial" w:hAnsi="Arial"/>
                <w:sz w:val="16"/>
                <w:szCs w:val="16"/>
                <w:color w:val="auto"/>
              </w:rPr>
              <w:t>$</w:t>
            </w:r>
          </w:p>
        </w:tc>
        <w:tc>
          <w:tcPr>
            <w:tcW w:w="1140" w:type="dxa"/>
            <w:vAlign w:val="bottom"/>
          </w:tcPr>
          <w:p>
            <w:pPr>
              <w:jc w:val="right"/>
              <w:ind w:right="199"/>
              <w:spacing w:after="0"/>
              <w:rPr>
                <w:sz w:val="20"/>
                <w:szCs w:val="20"/>
                <w:color w:val="auto"/>
              </w:rPr>
            </w:pPr>
            <w:r>
              <w:rPr>
                <w:rFonts w:ascii="Arial" w:cs="Arial" w:eastAsia="Arial" w:hAnsi="Arial"/>
                <w:sz w:val="16"/>
                <w:szCs w:val="16"/>
                <w:color w:val="auto"/>
              </w:rPr>
              <w:t>550,000</w:t>
            </w:r>
          </w:p>
        </w:tc>
        <w:tc>
          <w:tcPr>
            <w:tcW w:w="1200" w:type="dxa"/>
            <w:vAlign w:val="bottom"/>
          </w:tcPr>
          <w:p>
            <w:pPr>
              <w:jc w:val="right"/>
              <w:ind w:right="159"/>
              <w:spacing w:after="0"/>
              <w:rPr>
                <w:sz w:val="20"/>
                <w:szCs w:val="20"/>
                <w:color w:val="auto"/>
              </w:rPr>
            </w:pPr>
            <w:r>
              <w:rPr>
                <w:rFonts w:ascii="Arial" w:cs="Arial" w:eastAsia="Arial" w:hAnsi="Arial"/>
                <w:sz w:val="16"/>
                <w:szCs w:val="16"/>
                <w:color w:val="auto"/>
              </w:rPr>
              <w:t>55%</w:t>
            </w:r>
          </w:p>
        </w:tc>
        <w:tc>
          <w:tcPr>
            <w:tcW w:w="420" w:type="dxa"/>
            <w:vAlign w:val="bottom"/>
          </w:tcPr>
          <w:p>
            <w:pPr>
              <w:jc w:val="right"/>
              <w:ind w:right="39"/>
              <w:spacing w:after="0"/>
              <w:rPr>
                <w:sz w:val="20"/>
                <w:szCs w:val="20"/>
                <w:color w:val="auto"/>
              </w:rPr>
            </w:pPr>
            <w:r>
              <w:rPr>
                <w:rFonts w:ascii="Arial" w:cs="Arial" w:eastAsia="Arial" w:hAnsi="Arial"/>
                <w:sz w:val="16"/>
                <w:szCs w:val="16"/>
                <w:color w:val="auto"/>
              </w:rPr>
              <w:t>$</w:t>
            </w:r>
          </w:p>
        </w:tc>
        <w:tc>
          <w:tcPr>
            <w:tcW w:w="1120" w:type="dxa"/>
            <w:vAlign w:val="bottom"/>
          </w:tcPr>
          <w:p>
            <w:pPr>
              <w:jc w:val="right"/>
              <w:ind w:right="139"/>
              <w:spacing w:after="0"/>
              <w:rPr>
                <w:sz w:val="20"/>
                <w:szCs w:val="20"/>
                <w:color w:val="auto"/>
              </w:rPr>
            </w:pPr>
            <w:r>
              <w:rPr>
                <w:rFonts w:ascii="Arial" w:cs="Arial" w:eastAsia="Arial" w:hAnsi="Arial"/>
                <w:sz w:val="16"/>
                <w:szCs w:val="16"/>
                <w:color w:val="auto"/>
              </w:rPr>
              <w:t>302,500</w:t>
            </w:r>
          </w:p>
        </w:tc>
        <w:tc>
          <w:tcPr>
            <w:tcW w:w="400" w:type="dxa"/>
            <w:vAlign w:val="bottom"/>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179"/>
              <w:spacing w:after="0"/>
              <w:rPr>
                <w:sz w:val="20"/>
                <w:szCs w:val="20"/>
                <w:color w:val="auto"/>
              </w:rPr>
            </w:pPr>
            <w:r>
              <w:rPr>
                <w:rFonts w:ascii="Arial" w:cs="Arial" w:eastAsia="Arial" w:hAnsi="Arial"/>
                <w:sz w:val="16"/>
                <w:szCs w:val="16"/>
                <w:color w:val="auto"/>
              </w:rPr>
              <w:t>326,912</w:t>
            </w:r>
          </w:p>
        </w:tc>
        <w:tc>
          <w:tcPr>
            <w:tcW w:w="1380" w:type="dxa"/>
            <w:vAlign w:val="bottom"/>
          </w:tcPr>
          <w:p>
            <w:pPr>
              <w:jc w:val="right"/>
              <w:spacing w:after="0"/>
              <w:rPr>
                <w:sz w:val="20"/>
                <w:szCs w:val="20"/>
                <w:color w:val="auto"/>
              </w:rPr>
            </w:pPr>
            <w:r>
              <w:rPr>
                <w:rFonts w:ascii="Arial" w:cs="Arial" w:eastAsia="Arial" w:hAnsi="Arial"/>
                <w:sz w:val="16"/>
                <w:szCs w:val="16"/>
                <w:color w:val="auto"/>
              </w:rPr>
              <w:t>108%</w:t>
            </w:r>
          </w:p>
        </w:tc>
      </w:tr>
      <w:tr>
        <w:trPr>
          <w:trHeight w:val="189"/>
        </w:trPr>
        <w:tc>
          <w:tcPr>
            <w:tcW w:w="2900" w:type="dxa"/>
            <w:vAlign w:val="bottom"/>
            <w:shd w:val="clear" w:color="auto" w:fill="E4E9F2"/>
          </w:tcPr>
          <w:p>
            <w:pPr>
              <w:ind w:left="60"/>
              <w:spacing w:after="0"/>
              <w:rPr>
                <w:sz w:val="20"/>
                <w:szCs w:val="20"/>
                <w:color w:val="auto"/>
              </w:rPr>
            </w:pPr>
            <w:r>
              <w:rPr>
                <w:rFonts w:ascii="Arial" w:cs="Arial" w:eastAsia="Arial" w:hAnsi="Arial"/>
                <w:sz w:val="16"/>
                <w:szCs w:val="16"/>
                <w:color w:val="auto"/>
              </w:rPr>
              <w:t>Andrew Boyer</w:t>
            </w:r>
          </w:p>
        </w:tc>
        <w:tc>
          <w:tcPr>
            <w:tcW w:w="14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140" w:type="dxa"/>
            <w:vAlign w:val="bottom"/>
            <w:shd w:val="clear" w:color="auto" w:fill="E4E9F2"/>
          </w:tcPr>
          <w:p>
            <w:pPr>
              <w:jc w:val="right"/>
              <w:ind w:right="199"/>
              <w:spacing w:after="0"/>
              <w:rPr>
                <w:sz w:val="20"/>
                <w:szCs w:val="20"/>
                <w:color w:val="auto"/>
              </w:rPr>
            </w:pPr>
            <w:r>
              <w:rPr>
                <w:rFonts w:ascii="Arial" w:cs="Arial" w:eastAsia="Arial" w:hAnsi="Arial"/>
                <w:sz w:val="16"/>
                <w:szCs w:val="16"/>
                <w:color w:val="auto"/>
              </w:rPr>
              <w:t>600,000</w:t>
            </w:r>
          </w:p>
        </w:tc>
        <w:tc>
          <w:tcPr>
            <w:tcW w:w="1200" w:type="dxa"/>
            <w:vAlign w:val="bottom"/>
            <w:shd w:val="clear" w:color="auto" w:fill="E4E9F2"/>
          </w:tcPr>
          <w:p>
            <w:pPr>
              <w:jc w:val="right"/>
              <w:ind w:right="159"/>
              <w:spacing w:after="0"/>
              <w:rPr>
                <w:sz w:val="20"/>
                <w:szCs w:val="20"/>
                <w:color w:val="auto"/>
              </w:rPr>
            </w:pPr>
            <w:r>
              <w:rPr>
                <w:rFonts w:ascii="Arial" w:cs="Arial" w:eastAsia="Arial" w:hAnsi="Arial"/>
                <w:sz w:val="16"/>
                <w:szCs w:val="16"/>
                <w:color w:val="auto"/>
              </w:rPr>
              <w:t>80%</w:t>
            </w:r>
          </w:p>
        </w:tc>
        <w:tc>
          <w:tcPr>
            <w:tcW w:w="420" w:type="dxa"/>
            <w:vAlign w:val="bottom"/>
            <w:shd w:val="clear" w:color="auto" w:fill="E4E9F2"/>
          </w:tcPr>
          <w:p>
            <w:pPr>
              <w:jc w:val="right"/>
              <w:ind w:right="39"/>
              <w:spacing w:after="0"/>
              <w:rPr>
                <w:sz w:val="20"/>
                <w:szCs w:val="20"/>
                <w:color w:val="auto"/>
              </w:rPr>
            </w:pPr>
            <w:r>
              <w:rPr>
                <w:rFonts w:ascii="Arial" w:cs="Arial" w:eastAsia="Arial" w:hAnsi="Arial"/>
                <w:sz w:val="16"/>
                <w:szCs w:val="16"/>
                <w:color w:val="auto"/>
              </w:rPr>
              <w:t>$</w:t>
            </w:r>
          </w:p>
        </w:tc>
        <w:tc>
          <w:tcPr>
            <w:tcW w:w="1120" w:type="dxa"/>
            <w:vAlign w:val="bottom"/>
            <w:shd w:val="clear" w:color="auto" w:fill="E4E9F2"/>
          </w:tcPr>
          <w:p>
            <w:pPr>
              <w:jc w:val="right"/>
              <w:ind w:right="139"/>
              <w:spacing w:after="0"/>
              <w:rPr>
                <w:sz w:val="20"/>
                <w:szCs w:val="20"/>
                <w:color w:val="auto"/>
              </w:rPr>
            </w:pPr>
            <w:r>
              <w:rPr>
                <w:rFonts w:ascii="Arial" w:cs="Arial" w:eastAsia="Arial" w:hAnsi="Arial"/>
                <w:sz w:val="16"/>
                <w:szCs w:val="16"/>
                <w:color w:val="auto"/>
              </w:rPr>
              <w:t>480,000</w:t>
            </w:r>
          </w:p>
        </w:tc>
        <w:tc>
          <w:tcPr>
            <w:tcW w:w="4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179"/>
              <w:spacing w:after="0"/>
              <w:rPr>
                <w:sz w:val="20"/>
                <w:szCs w:val="20"/>
                <w:color w:val="auto"/>
              </w:rPr>
            </w:pPr>
            <w:r>
              <w:rPr>
                <w:rFonts w:ascii="Arial" w:cs="Arial" w:eastAsia="Arial" w:hAnsi="Arial"/>
                <w:sz w:val="16"/>
                <w:szCs w:val="16"/>
                <w:color w:val="auto"/>
              </w:rPr>
              <w:t>484,800</w:t>
            </w:r>
          </w:p>
        </w:tc>
        <w:tc>
          <w:tcPr>
            <w:tcW w:w="13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101%</w:t>
            </w:r>
          </w:p>
        </w:tc>
      </w:tr>
      <w:tr>
        <w:trPr>
          <w:trHeight w:val="189"/>
        </w:trPr>
        <w:tc>
          <w:tcPr>
            <w:tcW w:w="2900" w:type="dxa"/>
            <w:vAlign w:val="bottom"/>
          </w:tcPr>
          <w:p>
            <w:pPr>
              <w:ind w:left="60"/>
              <w:spacing w:after="0"/>
              <w:rPr>
                <w:sz w:val="20"/>
                <w:szCs w:val="20"/>
                <w:color w:val="auto"/>
              </w:rPr>
            </w:pPr>
            <w:r>
              <w:rPr>
                <w:rFonts w:ascii="Arial" w:cs="Arial" w:eastAsia="Arial" w:hAnsi="Arial"/>
                <w:sz w:val="16"/>
                <w:szCs w:val="16"/>
                <w:color w:val="auto"/>
              </w:rPr>
              <w:t>Joseph Todisco</w:t>
            </w:r>
          </w:p>
        </w:tc>
        <w:tc>
          <w:tcPr>
            <w:tcW w:w="1480" w:type="dxa"/>
            <w:vAlign w:val="bottom"/>
          </w:tcPr>
          <w:p>
            <w:pPr>
              <w:jc w:val="right"/>
              <w:spacing w:after="0"/>
              <w:rPr>
                <w:sz w:val="20"/>
                <w:szCs w:val="20"/>
                <w:color w:val="auto"/>
              </w:rPr>
            </w:pPr>
            <w:r>
              <w:rPr>
                <w:rFonts w:ascii="Arial" w:cs="Arial" w:eastAsia="Arial" w:hAnsi="Arial"/>
                <w:sz w:val="16"/>
                <w:szCs w:val="16"/>
                <w:color w:val="auto"/>
              </w:rPr>
              <w:t>$</w:t>
            </w:r>
          </w:p>
        </w:tc>
        <w:tc>
          <w:tcPr>
            <w:tcW w:w="1140" w:type="dxa"/>
            <w:vAlign w:val="bottom"/>
          </w:tcPr>
          <w:p>
            <w:pPr>
              <w:jc w:val="right"/>
              <w:ind w:right="199"/>
              <w:spacing w:after="0"/>
              <w:rPr>
                <w:sz w:val="20"/>
                <w:szCs w:val="20"/>
                <w:color w:val="auto"/>
              </w:rPr>
            </w:pPr>
            <w:r>
              <w:rPr>
                <w:rFonts w:ascii="Arial" w:cs="Arial" w:eastAsia="Arial" w:hAnsi="Arial"/>
                <w:sz w:val="16"/>
                <w:szCs w:val="16"/>
                <w:color w:val="auto"/>
              </w:rPr>
              <w:t>525,000</w:t>
            </w:r>
          </w:p>
        </w:tc>
        <w:tc>
          <w:tcPr>
            <w:tcW w:w="1200" w:type="dxa"/>
            <w:vAlign w:val="bottom"/>
          </w:tcPr>
          <w:p>
            <w:pPr>
              <w:jc w:val="right"/>
              <w:ind w:right="159"/>
              <w:spacing w:after="0"/>
              <w:rPr>
                <w:sz w:val="20"/>
                <w:szCs w:val="20"/>
                <w:color w:val="auto"/>
              </w:rPr>
            </w:pPr>
            <w:r>
              <w:rPr>
                <w:rFonts w:ascii="Arial" w:cs="Arial" w:eastAsia="Arial" w:hAnsi="Arial"/>
                <w:sz w:val="16"/>
                <w:szCs w:val="16"/>
                <w:color w:val="auto"/>
              </w:rPr>
              <w:t>60%</w:t>
            </w:r>
          </w:p>
        </w:tc>
        <w:tc>
          <w:tcPr>
            <w:tcW w:w="420" w:type="dxa"/>
            <w:vAlign w:val="bottom"/>
          </w:tcPr>
          <w:p>
            <w:pPr>
              <w:jc w:val="right"/>
              <w:ind w:right="39"/>
              <w:spacing w:after="0"/>
              <w:rPr>
                <w:sz w:val="20"/>
                <w:szCs w:val="20"/>
                <w:color w:val="auto"/>
              </w:rPr>
            </w:pPr>
            <w:r>
              <w:rPr>
                <w:rFonts w:ascii="Arial" w:cs="Arial" w:eastAsia="Arial" w:hAnsi="Arial"/>
                <w:sz w:val="16"/>
                <w:szCs w:val="16"/>
                <w:color w:val="auto"/>
              </w:rPr>
              <w:t>$</w:t>
            </w:r>
          </w:p>
        </w:tc>
        <w:tc>
          <w:tcPr>
            <w:tcW w:w="1120" w:type="dxa"/>
            <w:vAlign w:val="bottom"/>
          </w:tcPr>
          <w:p>
            <w:pPr>
              <w:jc w:val="right"/>
              <w:ind w:right="139"/>
              <w:spacing w:after="0"/>
              <w:rPr>
                <w:sz w:val="20"/>
                <w:szCs w:val="20"/>
                <w:color w:val="auto"/>
              </w:rPr>
            </w:pPr>
            <w:r>
              <w:rPr>
                <w:rFonts w:ascii="Arial" w:cs="Arial" w:eastAsia="Arial" w:hAnsi="Arial"/>
                <w:sz w:val="16"/>
                <w:szCs w:val="16"/>
                <w:color w:val="auto"/>
              </w:rPr>
              <w:t>315,000</w:t>
            </w:r>
          </w:p>
        </w:tc>
        <w:tc>
          <w:tcPr>
            <w:tcW w:w="400" w:type="dxa"/>
            <w:vAlign w:val="bottom"/>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179"/>
              <w:spacing w:after="0"/>
              <w:rPr>
                <w:sz w:val="20"/>
                <w:szCs w:val="20"/>
                <w:color w:val="auto"/>
              </w:rPr>
            </w:pPr>
            <w:r>
              <w:rPr>
                <w:rFonts w:ascii="Arial" w:cs="Arial" w:eastAsia="Arial" w:hAnsi="Arial"/>
                <w:sz w:val="16"/>
                <w:szCs w:val="16"/>
                <w:color w:val="auto"/>
              </w:rPr>
              <w:t>318,150</w:t>
            </w:r>
          </w:p>
        </w:tc>
        <w:tc>
          <w:tcPr>
            <w:tcW w:w="1380" w:type="dxa"/>
            <w:vAlign w:val="bottom"/>
          </w:tcPr>
          <w:p>
            <w:pPr>
              <w:jc w:val="right"/>
              <w:spacing w:after="0"/>
              <w:rPr>
                <w:sz w:val="20"/>
                <w:szCs w:val="20"/>
                <w:color w:val="auto"/>
              </w:rPr>
            </w:pPr>
            <w:r>
              <w:rPr>
                <w:rFonts w:ascii="Arial" w:cs="Arial" w:eastAsia="Arial" w:hAnsi="Arial"/>
                <w:sz w:val="16"/>
                <w:szCs w:val="16"/>
                <w:color w:val="auto"/>
              </w:rPr>
              <w:t>101%</w:t>
            </w:r>
          </w:p>
        </w:tc>
      </w:tr>
      <w:tr>
        <w:trPr>
          <w:trHeight w:val="189"/>
        </w:trPr>
        <w:tc>
          <w:tcPr>
            <w:tcW w:w="290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148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140" w:type="dxa"/>
            <w:vAlign w:val="bottom"/>
            <w:tcBorders>
              <w:bottom w:val="single" w:sz="8" w:color="04568A"/>
            </w:tcBorders>
            <w:shd w:val="clear" w:color="auto" w:fill="E4E9F2"/>
          </w:tcPr>
          <w:p>
            <w:pPr>
              <w:jc w:val="right"/>
              <w:ind w:right="199"/>
              <w:spacing w:after="0"/>
              <w:rPr>
                <w:sz w:val="20"/>
                <w:szCs w:val="20"/>
                <w:color w:val="auto"/>
              </w:rPr>
            </w:pPr>
            <w:r>
              <w:rPr>
                <w:rFonts w:ascii="Arial" w:cs="Arial" w:eastAsia="Arial" w:hAnsi="Arial"/>
                <w:sz w:val="16"/>
                <w:szCs w:val="16"/>
                <w:color w:val="auto"/>
              </w:rPr>
              <w:t>485,000</w:t>
            </w:r>
          </w:p>
        </w:tc>
        <w:tc>
          <w:tcPr>
            <w:tcW w:w="1200" w:type="dxa"/>
            <w:vAlign w:val="bottom"/>
            <w:tcBorders>
              <w:bottom w:val="single" w:sz="8" w:color="04568A"/>
            </w:tcBorders>
            <w:shd w:val="clear" w:color="auto" w:fill="E4E9F2"/>
          </w:tcPr>
          <w:p>
            <w:pPr>
              <w:jc w:val="right"/>
              <w:ind w:right="159"/>
              <w:spacing w:after="0"/>
              <w:rPr>
                <w:sz w:val="20"/>
                <w:szCs w:val="20"/>
                <w:color w:val="auto"/>
              </w:rPr>
            </w:pPr>
            <w:r>
              <w:rPr>
                <w:rFonts w:ascii="Arial" w:cs="Arial" w:eastAsia="Arial" w:hAnsi="Arial"/>
                <w:sz w:val="16"/>
                <w:szCs w:val="16"/>
                <w:color w:val="auto"/>
              </w:rPr>
              <w:t>55%</w:t>
            </w:r>
          </w:p>
        </w:tc>
        <w:tc>
          <w:tcPr>
            <w:tcW w:w="420" w:type="dxa"/>
            <w:vAlign w:val="bottom"/>
            <w:tcBorders>
              <w:bottom w:val="single" w:sz="8" w:color="04568A"/>
            </w:tcBorders>
            <w:shd w:val="clear" w:color="auto" w:fill="E4E9F2"/>
          </w:tcPr>
          <w:p>
            <w:pPr>
              <w:jc w:val="right"/>
              <w:ind w:right="39"/>
              <w:spacing w:after="0"/>
              <w:rPr>
                <w:sz w:val="20"/>
                <w:szCs w:val="20"/>
                <w:color w:val="auto"/>
              </w:rPr>
            </w:pPr>
            <w:r>
              <w:rPr>
                <w:rFonts w:ascii="Arial" w:cs="Arial" w:eastAsia="Arial" w:hAnsi="Arial"/>
                <w:sz w:val="16"/>
                <w:szCs w:val="16"/>
                <w:color w:val="auto"/>
              </w:rPr>
              <w:t>$</w:t>
            </w:r>
          </w:p>
        </w:tc>
        <w:tc>
          <w:tcPr>
            <w:tcW w:w="1120" w:type="dxa"/>
            <w:vAlign w:val="bottom"/>
            <w:tcBorders>
              <w:bottom w:val="single" w:sz="8" w:color="04568A"/>
            </w:tcBorders>
            <w:shd w:val="clear" w:color="auto" w:fill="E4E9F2"/>
          </w:tcPr>
          <w:p>
            <w:pPr>
              <w:jc w:val="right"/>
              <w:ind w:right="139"/>
              <w:spacing w:after="0"/>
              <w:rPr>
                <w:sz w:val="20"/>
                <w:szCs w:val="20"/>
                <w:color w:val="auto"/>
              </w:rPr>
            </w:pPr>
            <w:r>
              <w:rPr>
                <w:rFonts w:ascii="Arial" w:cs="Arial" w:eastAsia="Arial" w:hAnsi="Arial"/>
                <w:sz w:val="16"/>
                <w:szCs w:val="16"/>
                <w:color w:val="auto"/>
              </w:rPr>
              <w:t>266,750</w:t>
            </w:r>
          </w:p>
        </w:tc>
        <w:tc>
          <w:tcPr>
            <w:tcW w:w="40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tcBorders>
              <w:bottom w:val="single" w:sz="8" w:color="04568A"/>
            </w:tcBorders>
            <w:shd w:val="clear" w:color="auto" w:fill="E4E9F2"/>
          </w:tcPr>
          <w:p>
            <w:pPr>
              <w:jc w:val="right"/>
              <w:ind w:right="179"/>
              <w:spacing w:after="0"/>
              <w:rPr>
                <w:sz w:val="20"/>
                <w:szCs w:val="20"/>
                <w:color w:val="auto"/>
              </w:rPr>
            </w:pPr>
            <w:r>
              <w:rPr>
                <w:rFonts w:ascii="Arial" w:cs="Arial" w:eastAsia="Arial" w:hAnsi="Arial"/>
                <w:sz w:val="16"/>
                <w:szCs w:val="16"/>
                <w:color w:val="auto"/>
              </w:rPr>
              <w:t>307,136</w:t>
            </w:r>
          </w:p>
        </w:tc>
        <w:tc>
          <w:tcPr>
            <w:tcW w:w="138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115%</w:t>
            </w:r>
          </w:p>
        </w:tc>
      </w:tr>
    </w:tbl>
    <w:p>
      <w:pPr>
        <w:spacing w:after="0" w:line="267"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Long-Term Incentive Compensation</w:t>
      </w:r>
    </w:p>
    <w:p>
      <w:pPr>
        <w:spacing w:after="0" w:line="231"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Our long-term incentive compensation program is designed to promote a balanced focus on driving performance, retaining talent and aligning the interests of our executives with those of our other stockholders. The Amneal Pharmaceuticals, Inc. 2018 Incentive Award Plan authorizes the grant of stock options, stock appreciation rights, restricted stock awards, restricted stock unit awards, other stock or cash-based awards and dividend equivalent awards to employees, non-employee directors and consultants.</w:t>
      </w:r>
    </w:p>
    <w:p>
      <w:pPr>
        <w:spacing w:after="0" w:line="175"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Our long-term incentive compensation program for 2021 for the named executive officers was comprised of two components: performance-based restricted stock units (“PSUs”) and restricted stock units.</w:t>
      </w:r>
    </w:p>
    <w:p>
      <w:pPr>
        <w:spacing w:after="0" w:line="148" w:lineRule="exact"/>
        <w:rPr>
          <w:sz w:val="20"/>
          <w:szCs w:val="20"/>
          <w:color w:val="auto"/>
        </w:rPr>
      </w:pPr>
    </w:p>
    <w:p>
      <w:pPr>
        <w:ind w:left="180" w:right="20" w:hanging="172"/>
        <w:spacing w:after="0" w:line="286" w:lineRule="auto"/>
        <w:tabs>
          <w:tab w:leader="none" w:pos="180" w:val="left"/>
        </w:tabs>
        <w:numPr>
          <w:ilvl w:val="0"/>
          <w:numId w:val="30"/>
        </w:numPr>
        <w:rPr>
          <w:rFonts w:ascii="Arial" w:cs="Arial" w:eastAsia="Arial" w:hAnsi="Arial"/>
          <w:sz w:val="16"/>
          <w:szCs w:val="16"/>
          <w:color w:val="04568A"/>
        </w:rPr>
      </w:pPr>
      <w:r>
        <w:rPr>
          <w:rFonts w:ascii="Arial" w:cs="Arial" w:eastAsia="Arial" w:hAnsi="Arial"/>
          <w:sz w:val="16"/>
          <w:szCs w:val="16"/>
          <w:b w:val="1"/>
          <w:bCs w:val="1"/>
          <w:color w:val="04568A"/>
        </w:rPr>
        <w:t xml:space="preserve">Performance-based restricted stock units. </w:t>
      </w:r>
      <w:r>
        <w:rPr>
          <w:rFonts w:ascii="Arial" w:cs="Arial" w:eastAsia="Arial" w:hAnsi="Arial"/>
          <w:sz w:val="16"/>
          <w:szCs w:val="16"/>
          <w:color w:val="000000"/>
        </w:rPr>
        <w:t>We grant PSUs, which vest upon the attainment of certain performance metrics, in order to further</w:t>
      </w:r>
      <w:r>
        <w:rPr>
          <w:rFonts w:ascii="Arial" w:cs="Arial" w:eastAsia="Arial" w:hAnsi="Arial"/>
          <w:sz w:val="16"/>
          <w:szCs w:val="16"/>
          <w:b w:val="1"/>
          <w:bCs w:val="1"/>
          <w:color w:val="04568A"/>
        </w:rPr>
        <w:t xml:space="preserve"> </w:t>
      </w:r>
      <w:r>
        <w:rPr>
          <w:rFonts w:ascii="Arial" w:cs="Arial" w:eastAsia="Arial" w:hAnsi="Arial"/>
          <w:sz w:val="16"/>
          <w:szCs w:val="16"/>
          <w:color w:val="000000"/>
        </w:rPr>
        <w:t>incentivize our executive officers to deliver superior long-term results.</w:t>
      </w:r>
    </w:p>
    <w:p>
      <w:pPr>
        <w:spacing w:after="0" w:line="20" w:lineRule="exact"/>
        <w:rPr>
          <w:rFonts w:ascii="Arial" w:cs="Arial" w:eastAsia="Arial" w:hAnsi="Arial"/>
          <w:sz w:val="16"/>
          <w:szCs w:val="16"/>
          <w:color w:val="04568A"/>
        </w:rPr>
      </w:pPr>
    </w:p>
    <w:p>
      <w:pPr>
        <w:ind w:left="180" w:right="20" w:hanging="172"/>
        <w:spacing w:after="0" w:line="286" w:lineRule="auto"/>
        <w:tabs>
          <w:tab w:leader="none" w:pos="180" w:val="left"/>
        </w:tabs>
        <w:numPr>
          <w:ilvl w:val="0"/>
          <w:numId w:val="30"/>
        </w:numPr>
        <w:rPr>
          <w:rFonts w:ascii="Arial" w:cs="Arial" w:eastAsia="Arial" w:hAnsi="Arial"/>
          <w:sz w:val="16"/>
          <w:szCs w:val="16"/>
          <w:color w:val="04568A"/>
        </w:rPr>
      </w:pPr>
      <w:r>
        <w:rPr>
          <w:rFonts w:ascii="Arial" w:cs="Arial" w:eastAsia="Arial" w:hAnsi="Arial"/>
          <w:sz w:val="16"/>
          <w:szCs w:val="16"/>
          <w:b w:val="1"/>
          <w:bCs w:val="1"/>
          <w:color w:val="04568A"/>
        </w:rPr>
        <w:t xml:space="preserve">Restricted stock units. </w:t>
      </w:r>
      <w:r>
        <w:rPr>
          <w:rFonts w:ascii="Arial" w:cs="Arial" w:eastAsia="Arial" w:hAnsi="Arial"/>
          <w:sz w:val="16"/>
          <w:szCs w:val="16"/>
          <w:color w:val="000000"/>
        </w:rPr>
        <w:t>We grant restricted stock unit awards as a retention tool as they provide the opportunity to receive stock only if the recipient is still</w:t>
      </w:r>
      <w:r>
        <w:rPr>
          <w:rFonts w:ascii="Arial" w:cs="Arial" w:eastAsia="Arial" w:hAnsi="Arial"/>
          <w:sz w:val="16"/>
          <w:szCs w:val="16"/>
          <w:b w:val="1"/>
          <w:bCs w:val="1"/>
          <w:color w:val="04568A"/>
        </w:rPr>
        <w:t xml:space="preserve"> </w:t>
      </w:r>
      <w:r>
        <w:rPr>
          <w:rFonts w:ascii="Arial" w:cs="Arial" w:eastAsia="Arial" w:hAnsi="Arial"/>
          <w:sz w:val="16"/>
          <w:szCs w:val="16"/>
          <w:color w:val="000000"/>
        </w:rPr>
        <w:t>employed by us on the date the restrictions lapse.</w:t>
      </w:r>
    </w:p>
    <w:p>
      <w:pPr>
        <w:spacing w:after="0" w:line="149"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In 2021, the total value of each named executive officer’s equity grants was divided between restricted stock units and PSUs, other than the Co-Chief Executive Officers who received all their long-term incentive compensation in PSUs. The mix of different types of awards is intended to combine the retention and downside risk benefits inherent in restricted stock units with the incentive and stockholder-value-creation benefits inherent in performance-based restricted stock units, while mitigating the perceived excessive risk that potentially manifests itself through a single type of award approach.</w:t>
      </w:r>
    </w:p>
    <w:p>
      <w:pPr>
        <w:spacing w:after="0" w:line="175" w:lineRule="exact"/>
        <w:rPr>
          <w:sz w:val="20"/>
          <w:szCs w:val="20"/>
          <w:color w:val="auto"/>
        </w:rPr>
      </w:pPr>
    </w:p>
    <w:p>
      <w:pPr>
        <w:spacing w:after="0"/>
        <w:rPr>
          <w:sz w:val="20"/>
          <w:szCs w:val="20"/>
          <w:color w:val="auto"/>
        </w:rPr>
      </w:pPr>
      <w:r>
        <w:rPr>
          <w:rFonts w:ascii="Arial" w:cs="Arial" w:eastAsia="Arial" w:hAnsi="Arial"/>
          <w:sz w:val="16"/>
          <w:szCs w:val="16"/>
          <w:color w:val="auto"/>
        </w:rPr>
        <w:t>The following table sets forth the total grant value and components mix determined for issuance to our named executive officers in 2021:</w:t>
      </w:r>
    </w:p>
    <w:p>
      <w:pPr>
        <w:spacing w:after="0" w:line="174" w:lineRule="exact"/>
        <w:rPr>
          <w:sz w:val="20"/>
          <w:szCs w:val="20"/>
          <w:color w:val="auto"/>
        </w:rPr>
      </w:pPr>
    </w:p>
    <w:tbl>
      <w:tblPr>
        <w:tblLayout w:type="fixed"/>
        <w:tblInd w:w="0" w:type="dxa"/>
        <w:tblCellMar>
          <w:top w:w="0" w:type="dxa"/>
          <w:left w:w="0" w:type="dxa"/>
          <w:bottom w:w="0" w:type="dxa"/>
          <w:right w:w="0" w:type="dxa"/>
        </w:tblCellMar>
      </w:tblPr>
      <w:tr>
        <w:trPr>
          <w:trHeight w:val="190"/>
        </w:trPr>
        <w:tc>
          <w:tcPr>
            <w:tcW w:w="4300" w:type="dxa"/>
            <w:vAlign w:val="bottom"/>
          </w:tcPr>
          <w:p>
            <w:pPr>
              <w:spacing w:after="0"/>
              <w:rPr>
                <w:sz w:val="16"/>
                <w:szCs w:val="16"/>
                <w:color w:val="auto"/>
              </w:rPr>
            </w:pPr>
          </w:p>
        </w:tc>
        <w:tc>
          <w:tcPr>
            <w:tcW w:w="2860" w:type="dxa"/>
            <w:vAlign w:val="bottom"/>
          </w:tcPr>
          <w:p>
            <w:pPr>
              <w:spacing w:after="0"/>
              <w:rPr>
                <w:sz w:val="16"/>
                <w:szCs w:val="16"/>
                <w:color w:val="auto"/>
              </w:rPr>
            </w:pPr>
          </w:p>
        </w:tc>
        <w:tc>
          <w:tcPr>
            <w:tcW w:w="1520" w:type="dxa"/>
            <w:vAlign w:val="bottom"/>
          </w:tcPr>
          <w:p>
            <w:pPr>
              <w:jc w:val="right"/>
              <w:ind w:right="359"/>
              <w:spacing w:after="0"/>
              <w:rPr>
                <w:sz w:val="20"/>
                <w:szCs w:val="20"/>
                <w:color w:val="auto"/>
              </w:rPr>
            </w:pPr>
            <w:r>
              <w:rPr>
                <w:rFonts w:ascii="Arial" w:cs="Arial" w:eastAsia="Arial" w:hAnsi="Arial"/>
                <w:sz w:val="16"/>
                <w:szCs w:val="16"/>
                <w:b w:val="1"/>
                <w:bCs w:val="1"/>
                <w:color w:val="04568A"/>
              </w:rPr>
              <w:t>Value of 2021</w:t>
            </w:r>
          </w:p>
        </w:tc>
        <w:tc>
          <w:tcPr>
            <w:tcW w:w="1460" w:type="dxa"/>
            <w:vAlign w:val="bottom"/>
          </w:tcPr>
          <w:p>
            <w:pPr>
              <w:spacing w:after="0"/>
              <w:rPr>
                <w:sz w:val="16"/>
                <w:szCs w:val="16"/>
                <w:color w:val="auto"/>
              </w:rPr>
            </w:pPr>
          </w:p>
        </w:tc>
        <w:tc>
          <w:tcPr>
            <w:tcW w:w="1100" w:type="dxa"/>
            <w:vAlign w:val="bottom"/>
          </w:tcPr>
          <w:p>
            <w:pPr>
              <w:spacing w:after="0"/>
              <w:rPr>
                <w:sz w:val="16"/>
                <w:szCs w:val="16"/>
                <w:color w:val="auto"/>
              </w:rPr>
            </w:pPr>
          </w:p>
        </w:tc>
      </w:tr>
      <w:tr>
        <w:trPr>
          <w:trHeight w:val="246"/>
        </w:trPr>
        <w:tc>
          <w:tcPr>
            <w:tcW w:w="430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Name</w:t>
            </w:r>
          </w:p>
        </w:tc>
        <w:tc>
          <w:tcPr>
            <w:tcW w:w="2860" w:type="dxa"/>
            <w:vAlign w:val="bottom"/>
            <w:tcBorders>
              <w:bottom w:val="single" w:sz="8" w:color="04568A"/>
            </w:tcBorders>
          </w:tcPr>
          <w:p>
            <w:pPr>
              <w:spacing w:after="0"/>
              <w:rPr>
                <w:sz w:val="21"/>
                <w:szCs w:val="21"/>
                <w:color w:val="auto"/>
              </w:rPr>
            </w:pPr>
          </w:p>
        </w:tc>
        <w:tc>
          <w:tcPr>
            <w:tcW w:w="1520" w:type="dxa"/>
            <w:vAlign w:val="bottom"/>
            <w:tcBorders>
              <w:bottom w:val="single" w:sz="8" w:color="04568A"/>
            </w:tcBorders>
          </w:tcPr>
          <w:p>
            <w:pPr>
              <w:jc w:val="right"/>
              <w:ind w:right="359"/>
              <w:spacing w:after="0" w:line="246" w:lineRule="exact"/>
              <w:rPr>
                <w:sz w:val="20"/>
                <w:szCs w:val="20"/>
                <w:color w:val="auto"/>
              </w:rPr>
            </w:pPr>
            <w:r>
              <w:rPr>
                <w:rFonts w:ascii="Arial" w:cs="Arial" w:eastAsia="Arial" w:hAnsi="Arial"/>
                <w:sz w:val="16"/>
                <w:szCs w:val="16"/>
                <w:b w:val="1"/>
                <w:bCs w:val="1"/>
                <w:color w:val="04568A"/>
              </w:rPr>
              <w:t>Awards</w:t>
            </w:r>
            <w:r>
              <w:rPr>
                <w:rFonts w:ascii="Arial" w:cs="Arial" w:eastAsia="Arial" w:hAnsi="Arial"/>
                <w:sz w:val="26"/>
                <w:szCs w:val="26"/>
                <w:b w:val="1"/>
                <w:bCs w:val="1"/>
                <w:color w:val="04568A"/>
                <w:vertAlign w:val="superscript"/>
              </w:rPr>
              <w:t>(1)</w:t>
            </w:r>
          </w:p>
        </w:tc>
        <w:tc>
          <w:tcPr>
            <w:tcW w:w="1460" w:type="dxa"/>
            <w:vAlign w:val="bottom"/>
            <w:tcBorders>
              <w:bottom w:val="single" w:sz="8" w:color="04568A"/>
            </w:tcBorders>
          </w:tcPr>
          <w:p>
            <w:pPr>
              <w:jc w:val="right"/>
              <w:ind w:right="339"/>
              <w:spacing w:after="0"/>
              <w:rPr>
                <w:sz w:val="20"/>
                <w:szCs w:val="20"/>
                <w:color w:val="auto"/>
              </w:rPr>
            </w:pPr>
            <w:r>
              <w:rPr>
                <w:rFonts w:ascii="Arial" w:cs="Arial" w:eastAsia="Arial" w:hAnsi="Arial"/>
                <w:sz w:val="16"/>
                <w:szCs w:val="16"/>
                <w:b w:val="1"/>
                <w:bCs w:val="1"/>
                <w:color w:val="04568A"/>
              </w:rPr>
              <w:t>% PSUs</w:t>
            </w:r>
          </w:p>
        </w:tc>
        <w:tc>
          <w:tcPr>
            <w:tcW w:w="1100" w:type="dxa"/>
            <w:vAlign w:val="bottom"/>
            <w:tcBorders>
              <w:bottom w:val="single" w:sz="8" w:color="04568A"/>
            </w:tcBorders>
          </w:tcPr>
          <w:p>
            <w:pPr>
              <w:jc w:val="right"/>
              <w:spacing w:after="0"/>
              <w:rPr>
                <w:sz w:val="20"/>
                <w:szCs w:val="20"/>
                <w:color w:val="auto"/>
              </w:rPr>
            </w:pPr>
            <w:r>
              <w:rPr>
                <w:rFonts w:ascii="Arial" w:cs="Arial" w:eastAsia="Arial" w:hAnsi="Arial"/>
                <w:sz w:val="16"/>
                <w:szCs w:val="16"/>
                <w:b w:val="1"/>
                <w:bCs w:val="1"/>
                <w:color w:val="04568A"/>
              </w:rPr>
              <w:t>% RSUs</w:t>
            </w:r>
          </w:p>
        </w:tc>
      </w:tr>
      <w:tr>
        <w:trPr>
          <w:trHeight w:val="183"/>
        </w:trPr>
        <w:tc>
          <w:tcPr>
            <w:tcW w:w="4300" w:type="dxa"/>
            <w:vAlign w:val="bottom"/>
          </w:tcPr>
          <w:p>
            <w:pPr>
              <w:ind w:left="60"/>
              <w:spacing w:after="0" w:line="183" w:lineRule="exact"/>
              <w:rPr>
                <w:sz w:val="20"/>
                <w:szCs w:val="20"/>
                <w:color w:val="auto"/>
              </w:rPr>
            </w:pPr>
            <w:r>
              <w:rPr>
                <w:rFonts w:ascii="Arial" w:cs="Arial" w:eastAsia="Arial" w:hAnsi="Arial"/>
                <w:sz w:val="16"/>
                <w:szCs w:val="16"/>
                <w:color w:val="auto"/>
              </w:rPr>
              <w:t>Chirag Patel</w:t>
            </w:r>
          </w:p>
        </w:tc>
        <w:tc>
          <w:tcPr>
            <w:tcW w:w="2860" w:type="dxa"/>
            <w:vAlign w:val="bottom"/>
          </w:tcPr>
          <w:p>
            <w:pPr>
              <w:jc w:val="right"/>
              <w:spacing w:after="0" w:line="183" w:lineRule="exact"/>
              <w:rPr>
                <w:sz w:val="20"/>
                <w:szCs w:val="20"/>
                <w:color w:val="auto"/>
              </w:rPr>
            </w:pPr>
            <w:r>
              <w:rPr>
                <w:rFonts w:ascii="Arial" w:cs="Arial" w:eastAsia="Arial" w:hAnsi="Arial"/>
                <w:sz w:val="16"/>
                <w:szCs w:val="16"/>
                <w:color w:val="auto"/>
              </w:rPr>
              <w:t>$</w:t>
            </w:r>
          </w:p>
        </w:tc>
        <w:tc>
          <w:tcPr>
            <w:tcW w:w="1520" w:type="dxa"/>
            <w:vAlign w:val="bottom"/>
          </w:tcPr>
          <w:p>
            <w:pPr>
              <w:jc w:val="right"/>
              <w:ind w:right="359"/>
              <w:spacing w:after="0" w:line="183" w:lineRule="exact"/>
              <w:rPr>
                <w:sz w:val="20"/>
                <w:szCs w:val="20"/>
                <w:color w:val="auto"/>
              </w:rPr>
            </w:pPr>
            <w:r>
              <w:rPr>
                <w:rFonts w:ascii="Arial" w:cs="Arial" w:eastAsia="Arial" w:hAnsi="Arial"/>
                <w:sz w:val="16"/>
                <w:szCs w:val="16"/>
                <w:color w:val="auto"/>
              </w:rPr>
              <w:t>2,400,000</w:t>
            </w:r>
          </w:p>
        </w:tc>
        <w:tc>
          <w:tcPr>
            <w:tcW w:w="1460" w:type="dxa"/>
            <w:vAlign w:val="bottom"/>
          </w:tcPr>
          <w:p>
            <w:pPr>
              <w:jc w:val="right"/>
              <w:ind w:right="339"/>
              <w:spacing w:after="0" w:line="183" w:lineRule="exact"/>
              <w:rPr>
                <w:sz w:val="20"/>
                <w:szCs w:val="20"/>
                <w:color w:val="auto"/>
              </w:rPr>
            </w:pPr>
            <w:r>
              <w:rPr>
                <w:rFonts w:ascii="Arial" w:cs="Arial" w:eastAsia="Arial" w:hAnsi="Arial"/>
                <w:sz w:val="16"/>
                <w:szCs w:val="16"/>
                <w:color w:val="auto"/>
              </w:rPr>
              <w:t>100%</w:t>
            </w:r>
          </w:p>
        </w:tc>
        <w:tc>
          <w:tcPr>
            <w:tcW w:w="1100" w:type="dxa"/>
            <w:vAlign w:val="bottom"/>
          </w:tcPr>
          <w:p>
            <w:pPr>
              <w:spacing w:after="0"/>
              <w:rPr>
                <w:sz w:val="15"/>
                <w:szCs w:val="15"/>
                <w:color w:val="auto"/>
              </w:rPr>
            </w:pPr>
          </w:p>
        </w:tc>
      </w:tr>
      <w:tr>
        <w:trPr>
          <w:trHeight w:val="189"/>
        </w:trPr>
        <w:tc>
          <w:tcPr>
            <w:tcW w:w="4300" w:type="dxa"/>
            <w:vAlign w:val="bottom"/>
            <w:shd w:val="clear" w:color="auto" w:fill="E4E9F2"/>
          </w:tcPr>
          <w:p>
            <w:pPr>
              <w:ind w:left="60"/>
              <w:spacing w:after="0"/>
              <w:rPr>
                <w:sz w:val="20"/>
                <w:szCs w:val="20"/>
                <w:color w:val="auto"/>
              </w:rPr>
            </w:pPr>
            <w:r>
              <w:rPr>
                <w:rFonts w:ascii="Arial" w:cs="Arial" w:eastAsia="Arial" w:hAnsi="Arial"/>
                <w:sz w:val="16"/>
                <w:szCs w:val="16"/>
                <w:color w:val="auto"/>
              </w:rPr>
              <w:t>Chintu Patel</w:t>
            </w:r>
          </w:p>
        </w:tc>
        <w:tc>
          <w:tcPr>
            <w:tcW w:w="28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520" w:type="dxa"/>
            <w:vAlign w:val="bottom"/>
            <w:shd w:val="clear" w:color="auto" w:fill="E4E9F2"/>
          </w:tcPr>
          <w:p>
            <w:pPr>
              <w:jc w:val="right"/>
              <w:ind w:right="359"/>
              <w:spacing w:after="0"/>
              <w:rPr>
                <w:sz w:val="20"/>
                <w:szCs w:val="20"/>
                <w:color w:val="auto"/>
              </w:rPr>
            </w:pPr>
            <w:r>
              <w:rPr>
                <w:rFonts w:ascii="Arial" w:cs="Arial" w:eastAsia="Arial" w:hAnsi="Arial"/>
                <w:sz w:val="16"/>
                <w:szCs w:val="16"/>
                <w:color w:val="auto"/>
              </w:rPr>
              <w:t>2,400,000</w:t>
            </w:r>
          </w:p>
        </w:tc>
        <w:tc>
          <w:tcPr>
            <w:tcW w:w="1460" w:type="dxa"/>
            <w:vAlign w:val="bottom"/>
            <w:shd w:val="clear" w:color="auto" w:fill="E4E9F2"/>
          </w:tcPr>
          <w:p>
            <w:pPr>
              <w:jc w:val="right"/>
              <w:ind w:right="339"/>
              <w:spacing w:after="0"/>
              <w:rPr>
                <w:sz w:val="20"/>
                <w:szCs w:val="20"/>
                <w:color w:val="auto"/>
              </w:rPr>
            </w:pPr>
            <w:r>
              <w:rPr>
                <w:rFonts w:ascii="Arial" w:cs="Arial" w:eastAsia="Arial" w:hAnsi="Arial"/>
                <w:sz w:val="16"/>
                <w:szCs w:val="16"/>
                <w:color w:val="auto"/>
              </w:rPr>
              <w:t>100%</w:t>
            </w:r>
          </w:p>
        </w:tc>
        <w:tc>
          <w:tcPr>
            <w:tcW w:w="1100" w:type="dxa"/>
            <w:vAlign w:val="bottom"/>
            <w:shd w:val="clear" w:color="auto" w:fill="E4E9F2"/>
          </w:tcPr>
          <w:p>
            <w:pPr>
              <w:spacing w:after="0"/>
              <w:rPr>
                <w:sz w:val="16"/>
                <w:szCs w:val="16"/>
                <w:color w:val="auto"/>
              </w:rPr>
            </w:pPr>
          </w:p>
        </w:tc>
      </w:tr>
      <w:tr>
        <w:trPr>
          <w:trHeight w:val="189"/>
        </w:trPr>
        <w:tc>
          <w:tcPr>
            <w:tcW w:w="4300" w:type="dxa"/>
            <w:vAlign w:val="bottom"/>
          </w:tcPr>
          <w:p>
            <w:pPr>
              <w:ind w:left="60"/>
              <w:spacing w:after="0"/>
              <w:rPr>
                <w:sz w:val="20"/>
                <w:szCs w:val="20"/>
                <w:color w:val="auto"/>
              </w:rPr>
            </w:pPr>
            <w:r>
              <w:rPr>
                <w:rFonts w:ascii="Arial" w:cs="Arial" w:eastAsia="Arial" w:hAnsi="Arial"/>
                <w:sz w:val="16"/>
                <w:szCs w:val="16"/>
                <w:color w:val="auto"/>
              </w:rPr>
              <w:t>Anastasios Konidaris</w:t>
            </w:r>
          </w:p>
        </w:tc>
        <w:tc>
          <w:tcPr>
            <w:tcW w:w="2860" w:type="dxa"/>
            <w:vAlign w:val="bottom"/>
          </w:tcPr>
          <w:p>
            <w:pPr>
              <w:jc w:val="right"/>
              <w:spacing w:after="0"/>
              <w:rPr>
                <w:sz w:val="20"/>
                <w:szCs w:val="20"/>
                <w:color w:val="auto"/>
              </w:rPr>
            </w:pPr>
            <w:r>
              <w:rPr>
                <w:rFonts w:ascii="Arial" w:cs="Arial" w:eastAsia="Arial" w:hAnsi="Arial"/>
                <w:sz w:val="16"/>
                <w:szCs w:val="16"/>
                <w:color w:val="auto"/>
              </w:rPr>
              <w:t>$</w:t>
            </w:r>
          </w:p>
        </w:tc>
        <w:tc>
          <w:tcPr>
            <w:tcW w:w="1520" w:type="dxa"/>
            <w:vAlign w:val="bottom"/>
          </w:tcPr>
          <w:p>
            <w:pPr>
              <w:jc w:val="right"/>
              <w:ind w:right="359"/>
              <w:spacing w:after="0"/>
              <w:rPr>
                <w:sz w:val="20"/>
                <w:szCs w:val="20"/>
                <w:color w:val="auto"/>
              </w:rPr>
            </w:pPr>
            <w:r>
              <w:rPr>
                <w:rFonts w:ascii="Arial" w:cs="Arial" w:eastAsia="Arial" w:hAnsi="Arial"/>
                <w:sz w:val="16"/>
                <w:szCs w:val="16"/>
                <w:color w:val="auto"/>
              </w:rPr>
              <w:t>1,500,000</w:t>
            </w:r>
          </w:p>
        </w:tc>
        <w:tc>
          <w:tcPr>
            <w:tcW w:w="1460" w:type="dxa"/>
            <w:vAlign w:val="bottom"/>
          </w:tcPr>
          <w:p>
            <w:pPr>
              <w:jc w:val="right"/>
              <w:ind w:right="339"/>
              <w:spacing w:after="0"/>
              <w:rPr>
                <w:sz w:val="20"/>
                <w:szCs w:val="20"/>
                <w:color w:val="auto"/>
              </w:rPr>
            </w:pPr>
            <w:r>
              <w:rPr>
                <w:rFonts w:ascii="Arial" w:cs="Arial" w:eastAsia="Arial" w:hAnsi="Arial"/>
                <w:sz w:val="16"/>
                <w:szCs w:val="16"/>
                <w:color w:val="auto"/>
              </w:rPr>
              <w:t>50%</w:t>
            </w:r>
          </w:p>
        </w:tc>
        <w:tc>
          <w:tcPr>
            <w:tcW w:w="1100" w:type="dxa"/>
            <w:vAlign w:val="bottom"/>
          </w:tcPr>
          <w:p>
            <w:pPr>
              <w:jc w:val="right"/>
              <w:spacing w:after="0"/>
              <w:rPr>
                <w:sz w:val="20"/>
                <w:szCs w:val="20"/>
                <w:color w:val="auto"/>
              </w:rPr>
            </w:pPr>
            <w:r>
              <w:rPr>
                <w:rFonts w:ascii="Arial" w:cs="Arial" w:eastAsia="Arial" w:hAnsi="Arial"/>
                <w:sz w:val="16"/>
                <w:szCs w:val="16"/>
                <w:color w:val="auto"/>
              </w:rPr>
              <w:t>50%</w:t>
            </w:r>
          </w:p>
        </w:tc>
      </w:tr>
      <w:tr>
        <w:trPr>
          <w:trHeight w:val="189"/>
        </w:trPr>
        <w:tc>
          <w:tcPr>
            <w:tcW w:w="4300" w:type="dxa"/>
            <w:vAlign w:val="bottom"/>
            <w:shd w:val="clear" w:color="auto" w:fill="E4E9F2"/>
          </w:tcPr>
          <w:p>
            <w:pPr>
              <w:ind w:left="60"/>
              <w:spacing w:after="0"/>
              <w:rPr>
                <w:sz w:val="20"/>
                <w:szCs w:val="20"/>
                <w:color w:val="auto"/>
              </w:rPr>
            </w:pPr>
            <w:r>
              <w:rPr>
                <w:rFonts w:ascii="Arial" w:cs="Arial" w:eastAsia="Arial" w:hAnsi="Arial"/>
                <w:sz w:val="16"/>
                <w:szCs w:val="16"/>
                <w:color w:val="auto"/>
              </w:rPr>
              <w:t>Andrew Boyer</w:t>
            </w:r>
          </w:p>
        </w:tc>
        <w:tc>
          <w:tcPr>
            <w:tcW w:w="28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520" w:type="dxa"/>
            <w:vAlign w:val="bottom"/>
            <w:shd w:val="clear" w:color="auto" w:fill="E4E9F2"/>
          </w:tcPr>
          <w:p>
            <w:pPr>
              <w:jc w:val="right"/>
              <w:ind w:right="359"/>
              <w:spacing w:after="0"/>
              <w:rPr>
                <w:sz w:val="20"/>
                <w:szCs w:val="20"/>
                <w:color w:val="auto"/>
              </w:rPr>
            </w:pPr>
            <w:r>
              <w:rPr>
                <w:rFonts w:ascii="Arial" w:cs="Arial" w:eastAsia="Arial" w:hAnsi="Arial"/>
                <w:sz w:val="16"/>
                <w:szCs w:val="16"/>
                <w:color w:val="auto"/>
              </w:rPr>
              <w:t>1,300,000</w:t>
            </w:r>
          </w:p>
        </w:tc>
        <w:tc>
          <w:tcPr>
            <w:tcW w:w="1460" w:type="dxa"/>
            <w:vAlign w:val="bottom"/>
            <w:shd w:val="clear" w:color="auto" w:fill="E4E9F2"/>
          </w:tcPr>
          <w:p>
            <w:pPr>
              <w:jc w:val="right"/>
              <w:ind w:right="339"/>
              <w:spacing w:after="0"/>
              <w:rPr>
                <w:sz w:val="20"/>
                <w:szCs w:val="20"/>
                <w:color w:val="auto"/>
              </w:rPr>
            </w:pPr>
            <w:r>
              <w:rPr>
                <w:rFonts w:ascii="Arial" w:cs="Arial" w:eastAsia="Arial" w:hAnsi="Arial"/>
                <w:sz w:val="16"/>
                <w:szCs w:val="16"/>
                <w:color w:val="auto"/>
              </w:rPr>
              <w:t>50%</w:t>
            </w:r>
          </w:p>
        </w:tc>
        <w:tc>
          <w:tcPr>
            <w:tcW w:w="11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50%</w:t>
            </w:r>
          </w:p>
        </w:tc>
      </w:tr>
      <w:tr>
        <w:trPr>
          <w:trHeight w:val="189"/>
        </w:trPr>
        <w:tc>
          <w:tcPr>
            <w:tcW w:w="4300" w:type="dxa"/>
            <w:vAlign w:val="bottom"/>
          </w:tcPr>
          <w:p>
            <w:pPr>
              <w:ind w:left="60"/>
              <w:spacing w:after="0"/>
              <w:rPr>
                <w:sz w:val="20"/>
                <w:szCs w:val="20"/>
                <w:color w:val="auto"/>
              </w:rPr>
            </w:pPr>
            <w:r>
              <w:rPr>
                <w:rFonts w:ascii="Arial" w:cs="Arial" w:eastAsia="Arial" w:hAnsi="Arial"/>
                <w:sz w:val="16"/>
                <w:szCs w:val="16"/>
                <w:color w:val="auto"/>
              </w:rPr>
              <w:t>Joseph Todisco</w:t>
            </w:r>
          </w:p>
        </w:tc>
        <w:tc>
          <w:tcPr>
            <w:tcW w:w="2860" w:type="dxa"/>
            <w:vAlign w:val="bottom"/>
          </w:tcPr>
          <w:p>
            <w:pPr>
              <w:jc w:val="right"/>
              <w:spacing w:after="0"/>
              <w:rPr>
                <w:sz w:val="20"/>
                <w:szCs w:val="20"/>
                <w:color w:val="auto"/>
              </w:rPr>
            </w:pPr>
            <w:r>
              <w:rPr>
                <w:rFonts w:ascii="Arial" w:cs="Arial" w:eastAsia="Arial" w:hAnsi="Arial"/>
                <w:sz w:val="16"/>
                <w:szCs w:val="16"/>
                <w:color w:val="auto"/>
              </w:rPr>
              <w:t>$</w:t>
            </w:r>
          </w:p>
        </w:tc>
        <w:tc>
          <w:tcPr>
            <w:tcW w:w="1520" w:type="dxa"/>
            <w:vAlign w:val="bottom"/>
          </w:tcPr>
          <w:p>
            <w:pPr>
              <w:jc w:val="right"/>
              <w:ind w:right="359"/>
              <w:spacing w:after="0"/>
              <w:rPr>
                <w:sz w:val="20"/>
                <w:szCs w:val="20"/>
                <w:color w:val="auto"/>
              </w:rPr>
            </w:pPr>
            <w:r>
              <w:rPr>
                <w:rFonts w:ascii="Arial" w:cs="Arial" w:eastAsia="Arial" w:hAnsi="Arial"/>
                <w:sz w:val="16"/>
                <w:szCs w:val="16"/>
                <w:color w:val="auto"/>
              </w:rPr>
              <w:t>1,100,000</w:t>
            </w:r>
          </w:p>
        </w:tc>
        <w:tc>
          <w:tcPr>
            <w:tcW w:w="1460" w:type="dxa"/>
            <w:vAlign w:val="bottom"/>
          </w:tcPr>
          <w:p>
            <w:pPr>
              <w:jc w:val="right"/>
              <w:ind w:right="339"/>
              <w:spacing w:after="0"/>
              <w:rPr>
                <w:sz w:val="20"/>
                <w:szCs w:val="20"/>
                <w:color w:val="auto"/>
              </w:rPr>
            </w:pPr>
            <w:r>
              <w:rPr>
                <w:rFonts w:ascii="Arial" w:cs="Arial" w:eastAsia="Arial" w:hAnsi="Arial"/>
                <w:sz w:val="16"/>
                <w:szCs w:val="16"/>
                <w:color w:val="auto"/>
              </w:rPr>
              <w:t>50%</w:t>
            </w:r>
          </w:p>
        </w:tc>
        <w:tc>
          <w:tcPr>
            <w:tcW w:w="1100" w:type="dxa"/>
            <w:vAlign w:val="bottom"/>
          </w:tcPr>
          <w:p>
            <w:pPr>
              <w:jc w:val="right"/>
              <w:spacing w:after="0"/>
              <w:rPr>
                <w:sz w:val="20"/>
                <w:szCs w:val="20"/>
                <w:color w:val="auto"/>
              </w:rPr>
            </w:pPr>
            <w:r>
              <w:rPr>
                <w:rFonts w:ascii="Arial" w:cs="Arial" w:eastAsia="Arial" w:hAnsi="Arial"/>
                <w:sz w:val="16"/>
                <w:szCs w:val="16"/>
                <w:color w:val="auto"/>
              </w:rPr>
              <w:t>50%</w:t>
            </w:r>
          </w:p>
        </w:tc>
      </w:tr>
      <w:tr>
        <w:trPr>
          <w:trHeight w:val="189"/>
        </w:trPr>
        <w:tc>
          <w:tcPr>
            <w:tcW w:w="430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286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520" w:type="dxa"/>
            <w:vAlign w:val="bottom"/>
            <w:tcBorders>
              <w:bottom w:val="single" w:sz="8" w:color="04568A"/>
            </w:tcBorders>
            <w:shd w:val="clear" w:color="auto" w:fill="E4E9F2"/>
          </w:tcPr>
          <w:p>
            <w:pPr>
              <w:jc w:val="right"/>
              <w:ind w:right="359"/>
              <w:spacing w:after="0"/>
              <w:rPr>
                <w:sz w:val="20"/>
                <w:szCs w:val="20"/>
                <w:color w:val="auto"/>
              </w:rPr>
            </w:pPr>
            <w:r>
              <w:rPr>
                <w:rFonts w:ascii="Arial" w:cs="Arial" w:eastAsia="Arial" w:hAnsi="Arial"/>
                <w:sz w:val="16"/>
                <w:szCs w:val="16"/>
                <w:color w:val="auto"/>
              </w:rPr>
              <w:t>1,200,000</w:t>
            </w:r>
          </w:p>
        </w:tc>
        <w:tc>
          <w:tcPr>
            <w:tcW w:w="1460" w:type="dxa"/>
            <w:vAlign w:val="bottom"/>
            <w:tcBorders>
              <w:bottom w:val="single" w:sz="8" w:color="04568A"/>
            </w:tcBorders>
            <w:shd w:val="clear" w:color="auto" w:fill="E4E9F2"/>
          </w:tcPr>
          <w:p>
            <w:pPr>
              <w:jc w:val="right"/>
              <w:ind w:right="339"/>
              <w:spacing w:after="0"/>
              <w:rPr>
                <w:sz w:val="20"/>
                <w:szCs w:val="20"/>
                <w:color w:val="auto"/>
              </w:rPr>
            </w:pPr>
            <w:r>
              <w:rPr>
                <w:rFonts w:ascii="Arial" w:cs="Arial" w:eastAsia="Arial" w:hAnsi="Arial"/>
                <w:sz w:val="16"/>
                <w:szCs w:val="16"/>
                <w:color w:val="auto"/>
              </w:rPr>
              <w:t>50%</w:t>
            </w:r>
          </w:p>
        </w:tc>
        <w:tc>
          <w:tcPr>
            <w:tcW w:w="110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50%</w:t>
            </w:r>
          </w:p>
        </w:tc>
      </w:tr>
    </w:tbl>
    <w:p>
      <w:pPr>
        <w:spacing w:after="0" w:line="58" w:lineRule="exact"/>
        <w:rPr>
          <w:sz w:val="20"/>
          <w:szCs w:val="20"/>
          <w:color w:val="auto"/>
        </w:rPr>
      </w:pPr>
    </w:p>
    <w:p>
      <w:pPr>
        <w:ind w:left="280" w:hanging="272"/>
        <w:spacing w:after="0" w:line="259" w:lineRule="auto"/>
        <w:tabs>
          <w:tab w:leader="none" w:pos="280" w:val="left"/>
        </w:tabs>
        <w:numPr>
          <w:ilvl w:val="0"/>
          <w:numId w:val="31"/>
        </w:numPr>
        <w:rPr>
          <w:rFonts w:ascii="Arial" w:cs="Arial" w:eastAsia="Arial" w:hAnsi="Arial"/>
          <w:sz w:val="14"/>
          <w:szCs w:val="14"/>
          <w:i w:val="1"/>
          <w:iCs w:val="1"/>
          <w:color w:val="auto"/>
        </w:rPr>
      </w:pPr>
      <w:r>
        <w:rPr>
          <w:rFonts w:ascii="Arial" w:cs="Arial" w:eastAsia="Arial" w:hAnsi="Arial"/>
          <w:sz w:val="14"/>
          <w:szCs w:val="14"/>
          <w:i w:val="1"/>
          <w:iCs w:val="1"/>
          <w:color w:val="auto"/>
        </w:rPr>
        <w:t>Values in the table represent the determined grant value. Actual awards were based on this value using the stock price on the grant date of March 1, 2021, which was $5.18.</w:t>
      </w:r>
    </w:p>
    <w:p>
      <w:pPr>
        <w:spacing w:after="0" w:line="348"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Restricted Stock Unit Awards</w:t>
      </w:r>
    </w:p>
    <w:p>
      <w:pPr>
        <w:spacing w:after="0" w:line="205"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In 2021, annual restricted stock unit grants were made in March for all of the named executive officers, other than our Co-Chief Executive Officers, who received no restricted stock unit grants in 2021. All of the restricted stock unit awards vest in four equal installments on the first, second, third and fourth anniversary of the grant date subject to cancellation or acceleration as provided in the individual restricted stock unit award agreements. The number of restricted stock unit awards granted to each named executive officer is based upon the grant date fair value of the restricted stock units. For additional details on this award, see “Executive Compensation— Management Employment &amp; Separation Agreements” below.</w:t>
      </w:r>
    </w:p>
    <w:p>
      <w:pPr>
        <w:spacing w:after="0" w:line="156"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35</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36" w:name="page37"/>
    <w:bookmarkEnd w:id="36"/>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Performance-Based Restricted Stock Unit Awards</w:t>
      </w:r>
    </w:p>
    <w:p>
      <w:pPr>
        <w:spacing w:after="0" w:line="205"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In 2021, our named executive officers were granted PSU awards in March. These awards will be earned at a rate of 0% and 200% of the target award amounts based on the Company’s achievement of certain average closing stock prices for 60 consecutive days during the performance period from March 1, 2021 until February 29, 2024, with a payout of 50% of the target award with if the average closing stock price is $8.00 and a payout of 200% of the target award if the average closing stock price is $20.00 or greater during any 60 consecutive day period. Any earned awards vest in full at the end of such performance period, subject to cancellation or acceleration as provided in the individual performance-based restricted stock unit award agreements. The number of PSUs granted to each named executive officer is based upon the closing price on the grant date.</w:t>
      </w:r>
    </w:p>
    <w:p>
      <w:pPr>
        <w:spacing w:after="0" w:line="191" w:lineRule="exact"/>
        <w:rPr>
          <w:sz w:val="20"/>
          <w:szCs w:val="20"/>
          <w:color w:val="auto"/>
        </w:rPr>
      </w:pPr>
    </w:p>
    <w:p>
      <w:pPr>
        <w:jc w:val="both"/>
        <w:ind w:right="20"/>
        <w:spacing w:after="0" w:line="253" w:lineRule="auto"/>
        <w:rPr>
          <w:sz w:val="20"/>
          <w:szCs w:val="20"/>
          <w:color w:val="auto"/>
        </w:rPr>
      </w:pPr>
      <w:r>
        <w:rPr>
          <w:rFonts w:ascii="Arial" w:cs="Arial" w:eastAsia="Arial" w:hAnsi="Arial"/>
          <w:sz w:val="16"/>
          <w:szCs w:val="16"/>
          <w:color w:val="auto"/>
        </w:rPr>
        <w:t>In 2019, Messrs. Boyer and Todisco and Ms. Shah were granted Performance-Based Restricted Stock based on total shareholder return (TSR) relative to the TSR of a group of companies in the S&amp;P Pharmaceuticals Select Industry Index. Actual performance during the 3 year performance period of January 1, 2019 through December 31, 2021 fell below the 25th percentile threshold resulting in a zero payout.</w:t>
      </w:r>
    </w:p>
    <w:p>
      <w:pPr>
        <w:spacing w:after="0" w:line="250"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Other Compensation and Benefits</w:t>
      </w:r>
    </w:p>
    <w:p>
      <w:pPr>
        <w:spacing w:after="0" w:line="23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Benefits offered to our named executive officers serve a different purpose than do the other elements of total compensation. In general, they are provided for the convenience of the Company or are designed to provide a safety net of protection against the financial catastrophes that can result from illness, disability or death. Most benefits offered to our named executive officers are generally the same as those offered to the general employee population.</w:t>
      </w:r>
    </w:p>
    <w:p>
      <w:pPr>
        <w:spacing w:after="0" w:line="174"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Under the Company’s 401(k) plan, the Company makes a 100% matching contribution with respect to each participant’s elective contributions, up to 5% percent of such participant’s compensation (provided that for fiscal 2021, matching contributions were based only on the first $290,000 of such participant’s compensation in accordance with Internal Revenue Code limitations). Matching contributions generally become fully vested after three years of employment with the Company.</w:t>
      </w:r>
    </w:p>
    <w:p>
      <w:pPr>
        <w:spacing w:after="0" w:line="251"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Executive Severance and Change in Control Severance Benefits</w:t>
      </w:r>
    </w:p>
    <w:p>
      <w:pPr>
        <w:spacing w:after="0" w:line="231"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For a discussion of executive severance and change in control severance benefits, our rationale for offering those benefits and the triggers for payments, see “Management Employment &amp; Separation Agreements—Severance Upon a Change in Control” below.</w:t>
      </w:r>
    </w:p>
    <w:p>
      <w:pPr>
        <w:spacing w:after="0" w:line="238"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Consideration of 2021 Say-on-Pay Vote</w:t>
      </w:r>
    </w:p>
    <w:p>
      <w:pPr>
        <w:spacing w:after="0" w:line="237"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At the 2021 Annual Meeting of Stockholders, our “say-on-pay” advisory vote received 99.6% support. The Compensation Committee regarded this vote, as well as feedback from our engagement with stockholders, as demonstrating strong support for our executive compensation program and did not make any significant changes to our compensation programs as a result of this vote. There was no change to our PSU award design or metric in 2021.</w:t>
      </w:r>
    </w:p>
    <w:p>
      <w:pPr>
        <w:spacing w:after="0" w:line="325"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Accounting and Tax Considerations</w:t>
      </w:r>
    </w:p>
    <w:p>
      <w:pPr>
        <w:spacing w:after="0" w:line="237"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Financial reporting and income tax consequences to our Company of individual compensation elements are important considerations for our Compensation Committee when it is analyzing the overall level of compensation and the mix of compensation. Overall, the Compensation Committee seeks to balance its objective of maintaining a fair, reasonable and competitive compensation package for our named executive officers with enabling the deductibility of compensation.</w:t>
      </w:r>
    </w:p>
    <w:p>
      <w:pPr>
        <w:spacing w:after="0" w:line="155"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37" w:name="page38"/>
    <w:bookmarkEnd w:id="37"/>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Executive Compensation Clawback Policy</w:t>
      </w:r>
    </w:p>
    <w:p>
      <w:pPr>
        <w:spacing w:after="0" w:line="237"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Compensation Committee adopted in December 2021 a policy pursuant to which the Board may require the reimbursement and/or cancellation of all or a portion of any incentive cash bonus or equity-based incentive compensation awarded to any current or former executive officer subject to Section 16 of the Exchange Act in specified circumstances relating to a restatement of Company financial results involving fraud or misconduct. After the SEC issues final rules implementing the clawback provisions set forth in the Dodd-Frank Wall Street Reform and Consumer Protection Act, the Compensation Committee intends to evaluate the final rule and take appropriate action with respect to the existing policy at such time.</w:t>
      </w:r>
    </w:p>
    <w:p>
      <w:pPr>
        <w:spacing w:after="0" w:line="327"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Stock Ownership Guidelines for Executive Officers</w:t>
      </w:r>
    </w:p>
    <w:p>
      <w:pPr>
        <w:spacing w:after="0" w:line="291"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In order to further align the interests of our management with the interests of our stockholders, we require our executive officers to own shares of our stock as set forth below.</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550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Position</w:t>
            </w:r>
          </w:p>
        </w:tc>
        <w:tc>
          <w:tcPr>
            <w:tcW w:w="5740" w:type="dxa"/>
            <w:vAlign w:val="bottom"/>
            <w:tcBorders>
              <w:bottom w:val="single" w:sz="8" w:color="04568A"/>
            </w:tcBorders>
          </w:tcPr>
          <w:p>
            <w:pPr>
              <w:jc w:val="right"/>
              <w:spacing w:after="0"/>
              <w:rPr>
                <w:sz w:val="20"/>
                <w:szCs w:val="20"/>
                <w:color w:val="auto"/>
              </w:rPr>
            </w:pPr>
            <w:r>
              <w:rPr>
                <w:rFonts w:ascii="Arial" w:cs="Arial" w:eastAsia="Arial" w:hAnsi="Arial"/>
                <w:sz w:val="16"/>
                <w:szCs w:val="16"/>
                <w:b w:val="1"/>
                <w:bCs w:val="1"/>
                <w:color w:val="04568A"/>
              </w:rPr>
              <w:t>Minimum Ownership Guideline</w:t>
            </w:r>
          </w:p>
        </w:tc>
      </w:tr>
      <w:tr>
        <w:trPr>
          <w:trHeight w:val="183"/>
        </w:trPr>
        <w:tc>
          <w:tcPr>
            <w:tcW w:w="5500" w:type="dxa"/>
            <w:vAlign w:val="bottom"/>
          </w:tcPr>
          <w:p>
            <w:pPr>
              <w:ind w:left="60"/>
              <w:spacing w:after="0" w:line="183" w:lineRule="exact"/>
              <w:rPr>
                <w:sz w:val="20"/>
                <w:szCs w:val="20"/>
                <w:color w:val="auto"/>
              </w:rPr>
            </w:pPr>
            <w:r>
              <w:rPr>
                <w:rFonts w:ascii="Arial" w:cs="Arial" w:eastAsia="Arial" w:hAnsi="Arial"/>
                <w:sz w:val="16"/>
                <w:szCs w:val="16"/>
                <w:b w:val="1"/>
                <w:bCs w:val="1"/>
                <w:color w:val="auto"/>
              </w:rPr>
              <w:t>Co-Chief Executive Officers</w:t>
            </w:r>
          </w:p>
        </w:tc>
        <w:tc>
          <w:tcPr>
            <w:tcW w:w="5740" w:type="dxa"/>
            <w:vAlign w:val="bottom"/>
          </w:tcPr>
          <w:p>
            <w:pPr>
              <w:jc w:val="right"/>
              <w:spacing w:after="0" w:line="183" w:lineRule="exact"/>
              <w:rPr>
                <w:sz w:val="20"/>
                <w:szCs w:val="20"/>
                <w:color w:val="auto"/>
              </w:rPr>
            </w:pPr>
            <w:r>
              <w:rPr>
                <w:rFonts w:ascii="Arial" w:cs="Arial" w:eastAsia="Arial" w:hAnsi="Arial"/>
                <w:sz w:val="16"/>
                <w:szCs w:val="16"/>
                <w:color w:val="auto"/>
              </w:rPr>
              <w:t>6x base salary</w:t>
            </w:r>
          </w:p>
        </w:tc>
      </w:tr>
      <w:tr>
        <w:trPr>
          <w:trHeight w:val="189"/>
        </w:trPr>
        <w:tc>
          <w:tcPr>
            <w:tcW w:w="550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b w:val="1"/>
                <w:bCs w:val="1"/>
                <w:color w:val="auto"/>
              </w:rPr>
              <w:t>Other Executive Officers</w:t>
            </w:r>
          </w:p>
        </w:tc>
        <w:tc>
          <w:tcPr>
            <w:tcW w:w="574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2x base salary</w:t>
            </w:r>
          </w:p>
        </w:tc>
      </w:tr>
    </w:tbl>
    <w:p>
      <w:pPr>
        <w:spacing w:after="0" w:line="19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We adopted our stock ownership guidelines in May 2018, and we expect our executive officers to be able to achieve the required ownership thresholds by five years from the date of adoption of the guidelines. Newly appointed officers will have five years from the date they became subject to the stock ownership guidelines to comply with them. For the purpose of determining stock ownership levels, we include shares underlying restricted stock and restricted stock units (whether or not vested) and shares underlying “in-the-money” vested stock option awards. Currently, all of our named executive officers have met these requirements.</w:t>
      </w:r>
    </w:p>
    <w:p>
      <w:pPr>
        <w:spacing w:after="0" w:line="189"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See “Corporate Governance—Director Compensation—Director Stock Ownership Guidelines” above for a description of stock ownership guidelines we have adopted for our non-employee directors.</w:t>
      </w:r>
    </w:p>
    <w:p>
      <w:pPr>
        <w:spacing w:after="0" w:line="31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Anti-Hedging Policy</w:t>
      </w:r>
    </w:p>
    <w:p>
      <w:pPr>
        <w:spacing w:after="0" w:line="237"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To prevent speculation or hedging, our insider trading policy prohibits our named executive officers (and our directors and all other employees) from engaging in short sales of our Company’s stock. Company policy also prohibits our directors, executive officers and certain other employees from purchasing or selling any financial instrument that is designed to hedge or offset any decrease in the market value of our Company’s stock, including prepaid variable forward contracts, equity swaps, collars and other derivative securities that are directly linked to our Company’s stock. All other employees are discouraged, but not expressly prohibited, from entering into hedging transactions related to Company stock. In addition, pursuant to our Corporate Governance Guidelines, directors and executive officers who are not Amneal Group Members (as defined in the Stockholders Agreement) are prohibited from pledging Company stock as collateral for a loan.</w:t>
      </w:r>
    </w:p>
    <w:p>
      <w:pPr>
        <w:spacing w:after="0" w:line="31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Report of the Compensation Committee</w:t>
      </w:r>
    </w:p>
    <w:p>
      <w:pPr>
        <w:spacing w:after="0" w:line="237"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The Compensation Committee of the Board of Directors has reviewed and discussed the foregoing Compensation Discussion and Analysis with management. Based on this review and discussion, the committee recommended to our Board of Directors that the Compensation Discussion and Analysis be included in this proxy statement and incorporated by reference into the Company’s Annual Report on Form 10-K for the fiscal year ended December 31, 2021. This report is provided by the following directors, who comprise the committee.</w:t>
      </w:r>
    </w:p>
    <w:p>
      <w:pPr>
        <w:spacing w:after="0" w:line="175" w:lineRule="exact"/>
        <w:rPr>
          <w:sz w:val="20"/>
          <w:szCs w:val="20"/>
          <w:color w:val="auto"/>
        </w:rPr>
      </w:pPr>
    </w:p>
    <w:p>
      <w:pPr>
        <w:spacing w:after="0"/>
        <w:rPr>
          <w:sz w:val="20"/>
          <w:szCs w:val="20"/>
          <w:color w:val="auto"/>
        </w:rPr>
      </w:pPr>
      <w:r>
        <w:rPr>
          <w:rFonts w:ascii="Arial" w:cs="Arial" w:eastAsia="Arial" w:hAnsi="Arial"/>
          <w:sz w:val="16"/>
          <w:szCs w:val="16"/>
          <w:color w:val="auto"/>
        </w:rPr>
        <w:t>Compensation Committee:</w:t>
      </w:r>
    </w:p>
    <w:p>
      <w:pPr>
        <w:spacing w:after="0" w:line="194" w:lineRule="exact"/>
        <w:rPr>
          <w:sz w:val="20"/>
          <w:szCs w:val="20"/>
          <w:color w:val="auto"/>
        </w:rPr>
      </w:pPr>
    </w:p>
    <w:p>
      <w:pPr>
        <w:spacing w:after="0"/>
        <w:rPr>
          <w:sz w:val="20"/>
          <w:szCs w:val="20"/>
          <w:color w:val="auto"/>
        </w:rPr>
      </w:pPr>
      <w:r>
        <w:rPr>
          <w:rFonts w:ascii="Arial" w:cs="Arial" w:eastAsia="Arial" w:hAnsi="Arial"/>
          <w:sz w:val="16"/>
          <w:szCs w:val="16"/>
          <w:color w:val="auto"/>
        </w:rPr>
        <w:t>Ted Nark (Chair)</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Jeff George</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Paul Meister</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Shlomo Yanai</w:t>
      </w:r>
    </w:p>
    <w:p>
      <w:pPr>
        <w:spacing w:after="0" w:line="174"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37</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38" w:name="page39"/>
    <w:bookmarkEnd w:id="38"/>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Summary Compensation Table</w:t>
      </w:r>
    </w:p>
    <w:p>
      <w:pPr>
        <w:spacing w:after="0" w:line="237" w:lineRule="exact"/>
        <w:rPr>
          <w:sz w:val="20"/>
          <w:szCs w:val="20"/>
          <w:color w:val="auto"/>
        </w:rPr>
      </w:pPr>
    </w:p>
    <w:p>
      <w:pPr>
        <w:spacing w:after="0"/>
        <w:rPr>
          <w:sz w:val="20"/>
          <w:szCs w:val="20"/>
          <w:color w:val="auto"/>
        </w:rPr>
      </w:pPr>
      <w:r>
        <w:rPr>
          <w:rFonts w:ascii="Arial" w:cs="Arial" w:eastAsia="Arial" w:hAnsi="Arial"/>
          <w:sz w:val="16"/>
          <w:szCs w:val="16"/>
          <w:color w:val="auto"/>
        </w:rPr>
        <w:t>The following table shows the compensation of our named executive officers for the periods presented.</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36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940" w:type="dxa"/>
            <w:vAlign w:val="bottom"/>
            <w:vMerge w:val="restart"/>
          </w:tcPr>
          <w:p>
            <w:pPr>
              <w:jc w:val="right"/>
              <w:ind w:right="28"/>
              <w:spacing w:after="0"/>
              <w:rPr>
                <w:sz w:val="20"/>
                <w:szCs w:val="20"/>
                <w:color w:val="auto"/>
              </w:rPr>
            </w:pPr>
            <w:r>
              <w:rPr>
                <w:rFonts w:ascii="Arial" w:cs="Arial" w:eastAsia="Arial" w:hAnsi="Arial"/>
                <w:sz w:val="14"/>
                <w:szCs w:val="14"/>
                <w:b w:val="1"/>
                <w:bCs w:val="1"/>
                <w:color w:val="04568A"/>
              </w:rPr>
              <w:t>Stock</w:t>
            </w:r>
          </w:p>
        </w:tc>
        <w:tc>
          <w:tcPr>
            <w:tcW w:w="940" w:type="dxa"/>
            <w:vAlign w:val="bottom"/>
          </w:tcPr>
          <w:p>
            <w:pPr>
              <w:spacing w:after="0"/>
              <w:rPr>
                <w:sz w:val="14"/>
                <w:szCs w:val="14"/>
                <w:color w:val="auto"/>
              </w:rPr>
            </w:pPr>
          </w:p>
        </w:tc>
        <w:tc>
          <w:tcPr>
            <w:tcW w:w="1160" w:type="dxa"/>
            <w:vAlign w:val="bottom"/>
          </w:tcPr>
          <w:p>
            <w:pPr>
              <w:jc w:val="right"/>
              <w:ind w:right="48"/>
              <w:spacing w:after="0"/>
              <w:rPr>
                <w:sz w:val="20"/>
                <w:szCs w:val="20"/>
                <w:color w:val="auto"/>
              </w:rPr>
            </w:pPr>
            <w:r>
              <w:rPr>
                <w:rFonts w:ascii="Arial" w:cs="Arial" w:eastAsia="Arial" w:hAnsi="Arial"/>
                <w:sz w:val="14"/>
                <w:szCs w:val="14"/>
                <w:b w:val="1"/>
                <w:bCs w:val="1"/>
                <w:color w:val="04568A"/>
              </w:rPr>
              <w:t>Non-Equity</w:t>
            </w:r>
          </w:p>
        </w:tc>
        <w:tc>
          <w:tcPr>
            <w:tcW w:w="1420" w:type="dxa"/>
            <w:vAlign w:val="bottom"/>
            <w:vMerge w:val="restart"/>
          </w:tcPr>
          <w:p>
            <w:pPr>
              <w:jc w:val="right"/>
              <w:ind w:right="68"/>
              <w:spacing w:after="0"/>
              <w:rPr>
                <w:sz w:val="20"/>
                <w:szCs w:val="20"/>
                <w:color w:val="auto"/>
              </w:rPr>
            </w:pPr>
            <w:r>
              <w:rPr>
                <w:rFonts w:ascii="Arial" w:cs="Arial" w:eastAsia="Arial" w:hAnsi="Arial"/>
                <w:sz w:val="14"/>
                <w:szCs w:val="14"/>
                <w:b w:val="1"/>
                <w:bCs w:val="1"/>
                <w:color w:val="04568A"/>
              </w:rPr>
              <w:t>All Other</w:t>
            </w:r>
          </w:p>
        </w:tc>
        <w:tc>
          <w:tcPr>
            <w:tcW w:w="8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36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940" w:type="dxa"/>
            <w:vAlign w:val="bottom"/>
            <w:vMerge w:val="continue"/>
          </w:tcPr>
          <w:p>
            <w:pPr>
              <w:spacing w:after="0"/>
              <w:rPr>
                <w:sz w:val="12"/>
                <w:szCs w:val="12"/>
                <w:color w:val="auto"/>
              </w:rPr>
            </w:pPr>
          </w:p>
        </w:tc>
        <w:tc>
          <w:tcPr>
            <w:tcW w:w="940" w:type="dxa"/>
            <w:vAlign w:val="bottom"/>
          </w:tcPr>
          <w:p>
            <w:pPr>
              <w:jc w:val="right"/>
              <w:ind w:right="109"/>
              <w:spacing w:after="0" w:line="148" w:lineRule="exact"/>
              <w:rPr>
                <w:sz w:val="20"/>
                <w:szCs w:val="20"/>
                <w:color w:val="auto"/>
              </w:rPr>
            </w:pPr>
            <w:r>
              <w:rPr>
                <w:rFonts w:ascii="Arial" w:cs="Arial" w:eastAsia="Arial" w:hAnsi="Arial"/>
                <w:sz w:val="14"/>
                <w:szCs w:val="14"/>
                <w:b w:val="1"/>
                <w:bCs w:val="1"/>
                <w:color w:val="04568A"/>
              </w:rPr>
              <w:t>Option</w:t>
            </w:r>
          </w:p>
        </w:tc>
        <w:tc>
          <w:tcPr>
            <w:tcW w:w="1160" w:type="dxa"/>
            <w:vAlign w:val="bottom"/>
          </w:tcPr>
          <w:p>
            <w:pPr>
              <w:jc w:val="right"/>
              <w:ind w:right="48"/>
              <w:spacing w:after="0" w:line="148" w:lineRule="exact"/>
              <w:rPr>
                <w:sz w:val="20"/>
                <w:szCs w:val="20"/>
                <w:color w:val="auto"/>
              </w:rPr>
            </w:pPr>
            <w:r>
              <w:rPr>
                <w:rFonts w:ascii="Arial" w:cs="Arial" w:eastAsia="Arial" w:hAnsi="Arial"/>
                <w:sz w:val="14"/>
                <w:szCs w:val="14"/>
                <w:b w:val="1"/>
                <w:bCs w:val="1"/>
                <w:color w:val="04568A"/>
              </w:rPr>
              <w:t>Incentive Plan</w:t>
            </w:r>
          </w:p>
        </w:tc>
        <w:tc>
          <w:tcPr>
            <w:tcW w:w="1420" w:type="dxa"/>
            <w:vAlign w:val="bottom"/>
            <w:vMerge w:val="continue"/>
          </w:tcPr>
          <w:p>
            <w:pPr>
              <w:spacing w:after="0"/>
              <w:rPr>
                <w:sz w:val="12"/>
                <w:szCs w:val="12"/>
                <w:color w:val="auto"/>
              </w:rPr>
            </w:pPr>
          </w:p>
        </w:tc>
        <w:tc>
          <w:tcPr>
            <w:tcW w:w="8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3640" w:type="dxa"/>
            <w:vAlign w:val="bottom"/>
          </w:tcPr>
          <w:p>
            <w:pPr>
              <w:ind w:left="60"/>
              <w:spacing w:after="0"/>
              <w:rPr>
                <w:sz w:val="20"/>
                <w:szCs w:val="20"/>
                <w:color w:val="auto"/>
              </w:rPr>
            </w:pPr>
            <w:r>
              <w:rPr>
                <w:rFonts w:ascii="Arial" w:cs="Arial" w:eastAsia="Arial" w:hAnsi="Arial"/>
                <w:sz w:val="14"/>
                <w:szCs w:val="14"/>
                <w:b w:val="1"/>
                <w:bCs w:val="1"/>
                <w:color w:val="04568A"/>
              </w:rPr>
              <w:t>Name and</w:t>
            </w:r>
          </w:p>
        </w:tc>
        <w:tc>
          <w:tcPr>
            <w:tcW w:w="760" w:type="dxa"/>
            <w:vAlign w:val="bottom"/>
          </w:tcPr>
          <w:p>
            <w:pPr>
              <w:spacing w:after="0"/>
              <w:rPr>
                <w:sz w:val="15"/>
                <w:szCs w:val="15"/>
                <w:color w:val="auto"/>
              </w:rPr>
            </w:pPr>
          </w:p>
        </w:tc>
        <w:tc>
          <w:tcPr>
            <w:tcW w:w="780" w:type="dxa"/>
            <w:vAlign w:val="bottom"/>
          </w:tcPr>
          <w:p>
            <w:pPr>
              <w:jc w:val="right"/>
              <w:ind w:right="68"/>
              <w:spacing w:after="0"/>
              <w:rPr>
                <w:sz w:val="20"/>
                <w:szCs w:val="20"/>
                <w:color w:val="auto"/>
              </w:rPr>
            </w:pPr>
            <w:r>
              <w:rPr>
                <w:rFonts w:ascii="Arial" w:cs="Arial" w:eastAsia="Arial" w:hAnsi="Arial"/>
                <w:sz w:val="14"/>
                <w:szCs w:val="14"/>
                <w:b w:val="1"/>
                <w:bCs w:val="1"/>
                <w:color w:val="04568A"/>
              </w:rPr>
              <w:t>Salary</w:t>
            </w:r>
          </w:p>
        </w:tc>
        <w:tc>
          <w:tcPr>
            <w:tcW w:w="760" w:type="dxa"/>
            <w:vAlign w:val="bottom"/>
          </w:tcPr>
          <w:p>
            <w:pPr>
              <w:jc w:val="right"/>
              <w:ind w:right="88"/>
              <w:spacing w:after="0"/>
              <w:rPr>
                <w:sz w:val="20"/>
                <w:szCs w:val="20"/>
                <w:color w:val="auto"/>
              </w:rPr>
            </w:pPr>
            <w:r>
              <w:rPr>
                <w:rFonts w:ascii="Arial" w:cs="Arial" w:eastAsia="Arial" w:hAnsi="Arial"/>
                <w:sz w:val="14"/>
                <w:szCs w:val="14"/>
                <w:b w:val="1"/>
                <w:bCs w:val="1"/>
                <w:color w:val="04568A"/>
              </w:rPr>
              <w:t>Bonus</w:t>
            </w:r>
          </w:p>
        </w:tc>
        <w:tc>
          <w:tcPr>
            <w:tcW w:w="940" w:type="dxa"/>
            <w:vAlign w:val="bottom"/>
          </w:tcPr>
          <w:p>
            <w:pPr>
              <w:jc w:val="right"/>
              <w:ind w:right="28"/>
              <w:spacing w:after="0" w:line="176" w:lineRule="exact"/>
              <w:rPr>
                <w:sz w:val="20"/>
                <w:szCs w:val="20"/>
                <w:color w:val="auto"/>
              </w:rPr>
            </w:pPr>
            <w:r>
              <w:rPr>
                <w:rFonts w:ascii="Arial" w:cs="Arial" w:eastAsia="Arial" w:hAnsi="Arial"/>
                <w:sz w:val="13"/>
                <w:szCs w:val="13"/>
                <w:b w:val="1"/>
                <w:bCs w:val="1"/>
                <w:color w:val="04568A"/>
              </w:rPr>
              <w:t>Awards</w:t>
            </w:r>
            <w:r>
              <w:rPr>
                <w:rFonts w:ascii="Arial" w:cs="Arial" w:eastAsia="Arial" w:hAnsi="Arial"/>
                <w:sz w:val="20"/>
                <w:szCs w:val="20"/>
                <w:b w:val="1"/>
                <w:bCs w:val="1"/>
                <w:color w:val="04568A"/>
                <w:vertAlign w:val="superscript"/>
              </w:rPr>
              <w:t>(1)</w:t>
            </w:r>
          </w:p>
        </w:tc>
        <w:tc>
          <w:tcPr>
            <w:tcW w:w="940" w:type="dxa"/>
            <w:vAlign w:val="bottom"/>
          </w:tcPr>
          <w:p>
            <w:pPr>
              <w:jc w:val="right"/>
              <w:ind w:right="109"/>
              <w:spacing w:after="0"/>
              <w:rPr>
                <w:sz w:val="20"/>
                <w:szCs w:val="20"/>
                <w:color w:val="auto"/>
              </w:rPr>
            </w:pPr>
            <w:r>
              <w:rPr>
                <w:rFonts w:ascii="Arial" w:cs="Arial" w:eastAsia="Arial" w:hAnsi="Arial"/>
                <w:sz w:val="14"/>
                <w:szCs w:val="14"/>
                <w:b w:val="1"/>
                <w:bCs w:val="1"/>
                <w:color w:val="04568A"/>
              </w:rPr>
              <w:t>Awards</w:t>
            </w:r>
          </w:p>
        </w:tc>
        <w:tc>
          <w:tcPr>
            <w:tcW w:w="1160" w:type="dxa"/>
            <w:vAlign w:val="bottom"/>
          </w:tcPr>
          <w:p>
            <w:pPr>
              <w:jc w:val="right"/>
              <w:ind w:right="48"/>
              <w:spacing w:after="0"/>
              <w:rPr>
                <w:sz w:val="20"/>
                <w:szCs w:val="20"/>
                <w:color w:val="auto"/>
              </w:rPr>
            </w:pPr>
            <w:r>
              <w:rPr>
                <w:rFonts w:ascii="Arial" w:cs="Arial" w:eastAsia="Arial" w:hAnsi="Arial"/>
                <w:sz w:val="14"/>
                <w:szCs w:val="14"/>
                <w:b w:val="1"/>
                <w:bCs w:val="1"/>
                <w:color w:val="04568A"/>
              </w:rPr>
              <w:t>Compensation</w:t>
            </w:r>
          </w:p>
        </w:tc>
        <w:tc>
          <w:tcPr>
            <w:tcW w:w="1420" w:type="dxa"/>
            <w:vAlign w:val="bottom"/>
          </w:tcPr>
          <w:p>
            <w:pPr>
              <w:jc w:val="right"/>
              <w:ind w:right="108"/>
              <w:spacing w:after="0" w:line="176" w:lineRule="exact"/>
              <w:rPr>
                <w:sz w:val="20"/>
                <w:szCs w:val="20"/>
                <w:color w:val="auto"/>
              </w:rPr>
            </w:pPr>
            <w:r>
              <w:rPr>
                <w:rFonts w:ascii="Arial" w:cs="Arial" w:eastAsia="Arial" w:hAnsi="Arial"/>
                <w:sz w:val="13"/>
                <w:szCs w:val="13"/>
                <w:b w:val="1"/>
                <w:bCs w:val="1"/>
                <w:color w:val="04568A"/>
              </w:rPr>
              <w:t>Compensation</w:t>
            </w:r>
            <w:r>
              <w:rPr>
                <w:rFonts w:ascii="Arial" w:cs="Arial" w:eastAsia="Arial" w:hAnsi="Arial"/>
                <w:sz w:val="20"/>
                <w:szCs w:val="20"/>
                <w:b w:val="1"/>
                <w:bCs w:val="1"/>
                <w:color w:val="04568A"/>
                <w:vertAlign w:val="superscript"/>
              </w:rPr>
              <w:t>(3)</w:t>
            </w:r>
          </w:p>
        </w:tc>
        <w:tc>
          <w:tcPr>
            <w:tcW w:w="840" w:type="dxa"/>
            <w:vAlign w:val="bottom"/>
          </w:tcPr>
          <w:p>
            <w:pPr>
              <w:jc w:val="right"/>
              <w:spacing w:after="0"/>
              <w:rPr>
                <w:sz w:val="20"/>
                <w:szCs w:val="20"/>
                <w:color w:val="auto"/>
              </w:rPr>
            </w:pPr>
            <w:r>
              <w:rPr>
                <w:rFonts w:ascii="Arial" w:cs="Arial" w:eastAsia="Arial" w:hAnsi="Arial"/>
                <w:sz w:val="14"/>
                <w:szCs w:val="14"/>
                <w:b w:val="1"/>
                <w:bCs w:val="1"/>
                <w:color w:val="04568A"/>
              </w:rPr>
              <w:t>Total</w:t>
            </w:r>
          </w:p>
        </w:tc>
        <w:tc>
          <w:tcPr>
            <w:tcW w:w="0" w:type="dxa"/>
            <w:vAlign w:val="bottom"/>
          </w:tcPr>
          <w:p>
            <w:pPr>
              <w:spacing w:after="0"/>
              <w:rPr>
                <w:sz w:val="1"/>
                <w:szCs w:val="1"/>
                <w:color w:val="auto"/>
              </w:rPr>
            </w:pPr>
          </w:p>
        </w:tc>
      </w:tr>
      <w:tr>
        <w:trPr>
          <w:trHeight w:val="175"/>
        </w:trPr>
        <w:tc>
          <w:tcPr>
            <w:tcW w:w="3640" w:type="dxa"/>
            <w:vAlign w:val="bottom"/>
            <w:tcBorders>
              <w:bottom w:val="single" w:sz="8" w:color="04568A"/>
            </w:tcBorders>
          </w:tcPr>
          <w:p>
            <w:pPr>
              <w:ind w:left="60"/>
              <w:spacing w:after="0"/>
              <w:rPr>
                <w:sz w:val="20"/>
                <w:szCs w:val="20"/>
                <w:color w:val="auto"/>
              </w:rPr>
            </w:pPr>
            <w:r>
              <w:rPr>
                <w:rFonts w:ascii="Arial" w:cs="Arial" w:eastAsia="Arial" w:hAnsi="Arial"/>
                <w:sz w:val="14"/>
                <w:szCs w:val="14"/>
                <w:b w:val="1"/>
                <w:bCs w:val="1"/>
                <w:color w:val="04568A"/>
              </w:rPr>
              <w:t>Principal Position</w:t>
            </w:r>
          </w:p>
        </w:tc>
        <w:tc>
          <w:tcPr>
            <w:tcW w:w="760" w:type="dxa"/>
            <w:vAlign w:val="bottom"/>
            <w:tcBorders>
              <w:bottom w:val="single" w:sz="8" w:color="04568A"/>
            </w:tcBorders>
          </w:tcPr>
          <w:p>
            <w:pPr>
              <w:jc w:val="right"/>
              <w:ind w:right="48"/>
              <w:spacing w:after="0"/>
              <w:rPr>
                <w:sz w:val="20"/>
                <w:szCs w:val="20"/>
                <w:color w:val="auto"/>
              </w:rPr>
            </w:pPr>
            <w:r>
              <w:rPr>
                <w:rFonts w:ascii="Arial" w:cs="Arial" w:eastAsia="Arial" w:hAnsi="Arial"/>
                <w:sz w:val="14"/>
                <w:szCs w:val="14"/>
                <w:b w:val="1"/>
                <w:bCs w:val="1"/>
                <w:color w:val="04568A"/>
              </w:rPr>
              <w:t>Year</w:t>
            </w:r>
          </w:p>
        </w:tc>
        <w:tc>
          <w:tcPr>
            <w:tcW w:w="780" w:type="dxa"/>
            <w:vAlign w:val="bottom"/>
            <w:tcBorders>
              <w:bottom w:val="single" w:sz="8" w:color="04568A"/>
            </w:tcBorders>
          </w:tcPr>
          <w:p>
            <w:pPr>
              <w:jc w:val="right"/>
              <w:ind w:right="68"/>
              <w:spacing w:after="0"/>
              <w:rPr>
                <w:sz w:val="20"/>
                <w:szCs w:val="20"/>
                <w:color w:val="auto"/>
              </w:rPr>
            </w:pPr>
            <w:r>
              <w:rPr>
                <w:rFonts w:ascii="Arial" w:cs="Arial" w:eastAsia="Arial" w:hAnsi="Arial"/>
                <w:sz w:val="14"/>
                <w:szCs w:val="14"/>
                <w:b w:val="1"/>
                <w:bCs w:val="1"/>
                <w:color w:val="04568A"/>
              </w:rPr>
              <w:t>($)</w:t>
            </w:r>
          </w:p>
        </w:tc>
        <w:tc>
          <w:tcPr>
            <w:tcW w:w="760" w:type="dxa"/>
            <w:vAlign w:val="bottom"/>
            <w:tcBorders>
              <w:bottom w:val="single" w:sz="8" w:color="04568A"/>
            </w:tcBorders>
          </w:tcPr>
          <w:p>
            <w:pPr>
              <w:jc w:val="right"/>
              <w:ind w:right="88"/>
              <w:spacing w:after="0"/>
              <w:rPr>
                <w:sz w:val="20"/>
                <w:szCs w:val="20"/>
                <w:color w:val="auto"/>
              </w:rPr>
            </w:pPr>
            <w:r>
              <w:rPr>
                <w:rFonts w:ascii="Arial" w:cs="Arial" w:eastAsia="Arial" w:hAnsi="Arial"/>
                <w:sz w:val="14"/>
                <w:szCs w:val="14"/>
                <w:b w:val="1"/>
                <w:bCs w:val="1"/>
                <w:color w:val="04568A"/>
              </w:rPr>
              <w:t>($)</w:t>
            </w:r>
          </w:p>
        </w:tc>
        <w:tc>
          <w:tcPr>
            <w:tcW w:w="940" w:type="dxa"/>
            <w:vAlign w:val="bottom"/>
            <w:tcBorders>
              <w:bottom w:val="single" w:sz="8" w:color="04568A"/>
            </w:tcBorders>
          </w:tcPr>
          <w:p>
            <w:pPr>
              <w:jc w:val="right"/>
              <w:ind w:right="28"/>
              <w:spacing w:after="0"/>
              <w:rPr>
                <w:sz w:val="20"/>
                <w:szCs w:val="20"/>
                <w:color w:val="auto"/>
              </w:rPr>
            </w:pPr>
            <w:r>
              <w:rPr>
                <w:rFonts w:ascii="Arial" w:cs="Arial" w:eastAsia="Arial" w:hAnsi="Arial"/>
                <w:sz w:val="14"/>
                <w:szCs w:val="14"/>
                <w:b w:val="1"/>
                <w:bCs w:val="1"/>
                <w:color w:val="04568A"/>
              </w:rPr>
              <w:t>($)</w:t>
            </w:r>
          </w:p>
        </w:tc>
        <w:tc>
          <w:tcPr>
            <w:tcW w:w="940" w:type="dxa"/>
            <w:vAlign w:val="bottom"/>
            <w:tcBorders>
              <w:bottom w:val="single" w:sz="8" w:color="04568A"/>
            </w:tcBorders>
          </w:tcPr>
          <w:p>
            <w:pPr>
              <w:jc w:val="right"/>
              <w:ind w:right="109"/>
              <w:spacing w:after="0"/>
              <w:rPr>
                <w:sz w:val="20"/>
                <w:szCs w:val="20"/>
                <w:color w:val="auto"/>
              </w:rPr>
            </w:pPr>
            <w:r>
              <w:rPr>
                <w:rFonts w:ascii="Arial" w:cs="Arial" w:eastAsia="Arial" w:hAnsi="Arial"/>
                <w:sz w:val="14"/>
                <w:szCs w:val="14"/>
                <w:b w:val="1"/>
                <w:bCs w:val="1"/>
                <w:color w:val="04568A"/>
              </w:rPr>
              <w:t>($)</w:t>
            </w:r>
          </w:p>
        </w:tc>
        <w:tc>
          <w:tcPr>
            <w:tcW w:w="1160" w:type="dxa"/>
            <w:vAlign w:val="bottom"/>
            <w:tcBorders>
              <w:bottom w:val="single" w:sz="8" w:color="04568A"/>
            </w:tcBorders>
          </w:tcPr>
          <w:p>
            <w:pPr>
              <w:jc w:val="right"/>
              <w:ind w:right="48"/>
              <w:spacing w:after="0"/>
              <w:rPr>
                <w:sz w:val="20"/>
                <w:szCs w:val="20"/>
                <w:color w:val="auto"/>
              </w:rPr>
            </w:pPr>
            <w:r>
              <w:rPr>
                <w:rFonts w:ascii="Arial" w:cs="Arial" w:eastAsia="Arial" w:hAnsi="Arial"/>
                <w:sz w:val="14"/>
                <w:szCs w:val="14"/>
                <w:b w:val="1"/>
                <w:bCs w:val="1"/>
                <w:color w:val="04568A"/>
              </w:rPr>
              <w:t>($)</w:t>
            </w:r>
          </w:p>
        </w:tc>
        <w:tc>
          <w:tcPr>
            <w:tcW w:w="1420" w:type="dxa"/>
            <w:vAlign w:val="bottom"/>
            <w:tcBorders>
              <w:bottom w:val="single" w:sz="8" w:color="04568A"/>
            </w:tcBorders>
          </w:tcPr>
          <w:p>
            <w:pPr>
              <w:jc w:val="right"/>
              <w:ind w:right="68"/>
              <w:spacing w:after="0"/>
              <w:rPr>
                <w:sz w:val="20"/>
                <w:szCs w:val="20"/>
                <w:color w:val="auto"/>
              </w:rPr>
            </w:pPr>
            <w:r>
              <w:rPr>
                <w:rFonts w:ascii="Arial" w:cs="Arial" w:eastAsia="Arial" w:hAnsi="Arial"/>
                <w:sz w:val="14"/>
                <w:szCs w:val="14"/>
                <w:b w:val="1"/>
                <w:bCs w:val="1"/>
                <w:color w:val="04568A"/>
              </w:rPr>
              <w:t>($)</w:t>
            </w:r>
          </w:p>
        </w:tc>
        <w:tc>
          <w:tcPr>
            <w:tcW w:w="840" w:type="dxa"/>
            <w:vAlign w:val="bottom"/>
            <w:tcBorders>
              <w:bottom w:val="single" w:sz="8" w:color="04568A"/>
            </w:tcBorders>
          </w:tcPr>
          <w:p>
            <w:pPr>
              <w:jc w:val="right"/>
              <w:spacing w:after="0"/>
              <w:rPr>
                <w:sz w:val="20"/>
                <w:szCs w:val="20"/>
                <w:color w:val="auto"/>
              </w:rPr>
            </w:pPr>
            <w:r>
              <w:rPr>
                <w:rFonts w:ascii="Arial" w:cs="Arial" w:eastAsia="Arial" w:hAnsi="Arial"/>
                <w:sz w:val="14"/>
                <w:szCs w:val="14"/>
                <w:b w:val="1"/>
                <w:bCs w:val="1"/>
                <w:color w:val="04568A"/>
              </w:rPr>
              <w:t>($)</w:t>
            </w:r>
          </w:p>
        </w:tc>
        <w:tc>
          <w:tcPr>
            <w:tcW w:w="0" w:type="dxa"/>
            <w:vAlign w:val="bottom"/>
          </w:tcPr>
          <w:p>
            <w:pPr>
              <w:spacing w:after="0"/>
              <w:rPr>
                <w:sz w:val="1"/>
                <w:szCs w:val="1"/>
                <w:color w:val="auto"/>
              </w:rPr>
            </w:pPr>
          </w:p>
        </w:tc>
      </w:tr>
      <w:tr>
        <w:trPr>
          <w:trHeight w:val="160"/>
        </w:trPr>
        <w:tc>
          <w:tcPr>
            <w:tcW w:w="3640" w:type="dxa"/>
            <w:vAlign w:val="bottom"/>
          </w:tcPr>
          <w:p>
            <w:pPr>
              <w:ind w:left="60"/>
              <w:spacing w:after="0"/>
              <w:rPr>
                <w:sz w:val="20"/>
                <w:szCs w:val="20"/>
                <w:color w:val="auto"/>
              </w:rPr>
            </w:pPr>
            <w:r>
              <w:rPr>
                <w:rFonts w:ascii="Arial" w:cs="Arial" w:eastAsia="Arial" w:hAnsi="Arial"/>
                <w:sz w:val="14"/>
                <w:szCs w:val="14"/>
                <w:b w:val="1"/>
                <w:bCs w:val="1"/>
                <w:color w:val="auto"/>
              </w:rPr>
              <w:t>Chirag Patel</w:t>
            </w:r>
          </w:p>
        </w:tc>
        <w:tc>
          <w:tcPr>
            <w:tcW w:w="760" w:type="dxa"/>
            <w:vAlign w:val="bottom"/>
          </w:tcPr>
          <w:p>
            <w:pPr>
              <w:jc w:val="right"/>
              <w:ind w:right="48"/>
              <w:spacing w:after="0"/>
              <w:rPr>
                <w:sz w:val="20"/>
                <w:szCs w:val="20"/>
                <w:color w:val="auto"/>
              </w:rPr>
            </w:pPr>
            <w:r>
              <w:rPr>
                <w:rFonts w:ascii="Arial" w:cs="Arial" w:eastAsia="Arial" w:hAnsi="Arial"/>
                <w:sz w:val="14"/>
                <w:szCs w:val="14"/>
                <w:color w:val="auto"/>
              </w:rPr>
              <w:t>2021</w:t>
            </w:r>
          </w:p>
        </w:tc>
        <w:tc>
          <w:tcPr>
            <w:tcW w:w="780" w:type="dxa"/>
            <w:vAlign w:val="bottom"/>
          </w:tcPr>
          <w:p>
            <w:pPr>
              <w:jc w:val="right"/>
              <w:ind w:right="68"/>
              <w:spacing w:after="0"/>
              <w:rPr>
                <w:sz w:val="20"/>
                <w:szCs w:val="20"/>
                <w:color w:val="auto"/>
              </w:rPr>
            </w:pPr>
            <w:r>
              <w:rPr>
                <w:rFonts w:ascii="Arial" w:cs="Arial" w:eastAsia="Arial" w:hAnsi="Arial"/>
                <w:sz w:val="14"/>
                <w:szCs w:val="14"/>
                <w:color w:val="auto"/>
              </w:rPr>
              <w:t>724,038</w:t>
            </w:r>
          </w:p>
        </w:tc>
        <w:tc>
          <w:tcPr>
            <w:tcW w:w="760" w:type="dxa"/>
            <w:vAlign w:val="bottom"/>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tcPr>
          <w:p>
            <w:pPr>
              <w:jc w:val="right"/>
              <w:ind w:right="28"/>
              <w:spacing w:after="0"/>
              <w:rPr>
                <w:sz w:val="20"/>
                <w:szCs w:val="20"/>
                <w:color w:val="auto"/>
              </w:rPr>
            </w:pPr>
            <w:r>
              <w:rPr>
                <w:rFonts w:ascii="Arial" w:cs="Arial" w:eastAsia="Arial" w:hAnsi="Arial"/>
                <w:sz w:val="14"/>
                <w:szCs w:val="14"/>
                <w:color w:val="auto"/>
              </w:rPr>
              <w:t>3,266,406</w:t>
            </w:r>
          </w:p>
        </w:tc>
        <w:tc>
          <w:tcPr>
            <w:tcW w:w="940" w:type="dxa"/>
            <w:vAlign w:val="bottom"/>
          </w:tcPr>
          <w:p>
            <w:pPr>
              <w:jc w:val="right"/>
              <w:ind w:right="109"/>
              <w:spacing w:after="0"/>
              <w:rPr>
                <w:sz w:val="20"/>
                <w:szCs w:val="20"/>
                <w:color w:val="auto"/>
              </w:rPr>
            </w:pPr>
            <w:r>
              <w:rPr>
                <w:rFonts w:ascii="Arial" w:cs="Arial" w:eastAsia="Arial" w:hAnsi="Arial"/>
                <w:sz w:val="14"/>
                <w:szCs w:val="14"/>
                <w:color w:val="auto"/>
              </w:rPr>
              <w:t>—</w:t>
            </w:r>
          </w:p>
        </w:tc>
        <w:tc>
          <w:tcPr>
            <w:tcW w:w="1160" w:type="dxa"/>
            <w:vAlign w:val="bottom"/>
          </w:tcPr>
          <w:p>
            <w:pPr>
              <w:jc w:val="right"/>
              <w:ind w:right="48"/>
              <w:spacing w:after="0"/>
              <w:rPr>
                <w:sz w:val="20"/>
                <w:szCs w:val="20"/>
                <w:color w:val="auto"/>
              </w:rPr>
            </w:pPr>
            <w:r>
              <w:rPr>
                <w:rFonts w:ascii="Arial" w:cs="Arial" w:eastAsia="Arial" w:hAnsi="Arial"/>
                <w:sz w:val="14"/>
                <w:szCs w:val="14"/>
                <w:color w:val="auto"/>
              </w:rPr>
              <w:t>757,500</w:t>
            </w:r>
          </w:p>
        </w:tc>
        <w:tc>
          <w:tcPr>
            <w:tcW w:w="1420" w:type="dxa"/>
            <w:vAlign w:val="bottom"/>
          </w:tcPr>
          <w:p>
            <w:pPr>
              <w:jc w:val="right"/>
              <w:ind w:right="68"/>
              <w:spacing w:after="0"/>
              <w:rPr>
                <w:sz w:val="20"/>
                <w:szCs w:val="20"/>
                <w:color w:val="auto"/>
              </w:rPr>
            </w:pPr>
            <w:r>
              <w:rPr>
                <w:rFonts w:ascii="Arial" w:cs="Arial" w:eastAsia="Arial" w:hAnsi="Arial"/>
                <w:sz w:val="14"/>
                <w:szCs w:val="14"/>
                <w:color w:val="auto"/>
              </w:rPr>
              <w:t>37,172</w:t>
            </w:r>
          </w:p>
        </w:tc>
        <w:tc>
          <w:tcPr>
            <w:tcW w:w="840" w:type="dxa"/>
            <w:vAlign w:val="bottom"/>
          </w:tcPr>
          <w:p>
            <w:pPr>
              <w:jc w:val="right"/>
              <w:spacing w:after="0"/>
              <w:rPr>
                <w:sz w:val="20"/>
                <w:szCs w:val="20"/>
                <w:color w:val="auto"/>
              </w:rPr>
            </w:pPr>
            <w:r>
              <w:rPr>
                <w:rFonts w:ascii="Arial" w:cs="Arial" w:eastAsia="Arial" w:hAnsi="Arial"/>
                <w:sz w:val="14"/>
                <w:szCs w:val="14"/>
                <w:color w:val="auto"/>
              </w:rPr>
              <w:t>4,785,116</w:t>
            </w:r>
          </w:p>
        </w:tc>
        <w:tc>
          <w:tcPr>
            <w:tcW w:w="0" w:type="dxa"/>
            <w:vAlign w:val="bottom"/>
          </w:tcPr>
          <w:p>
            <w:pPr>
              <w:spacing w:after="0"/>
              <w:rPr>
                <w:sz w:val="1"/>
                <w:szCs w:val="1"/>
                <w:color w:val="auto"/>
              </w:rPr>
            </w:pPr>
          </w:p>
        </w:tc>
      </w:tr>
      <w:tr>
        <w:trPr>
          <w:trHeight w:val="162"/>
        </w:trPr>
        <w:tc>
          <w:tcPr>
            <w:tcW w:w="3640" w:type="dxa"/>
            <w:vAlign w:val="bottom"/>
          </w:tcPr>
          <w:p>
            <w:pPr>
              <w:ind w:left="240"/>
              <w:spacing w:after="0"/>
              <w:rPr>
                <w:sz w:val="20"/>
                <w:szCs w:val="20"/>
                <w:color w:val="auto"/>
              </w:rPr>
            </w:pPr>
            <w:r>
              <w:rPr>
                <w:rFonts w:ascii="Arial" w:cs="Arial" w:eastAsia="Arial" w:hAnsi="Arial"/>
                <w:sz w:val="14"/>
                <w:szCs w:val="14"/>
                <w:color w:val="auto"/>
              </w:rPr>
              <w:t>Co-Chief Executive Officer and President</w:t>
            </w:r>
          </w:p>
        </w:tc>
        <w:tc>
          <w:tcPr>
            <w:tcW w:w="760" w:type="dxa"/>
            <w:vAlign w:val="bottom"/>
          </w:tcPr>
          <w:p>
            <w:pPr>
              <w:jc w:val="right"/>
              <w:ind w:right="48"/>
              <w:spacing w:after="0"/>
              <w:rPr>
                <w:sz w:val="20"/>
                <w:szCs w:val="20"/>
                <w:color w:val="auto"/>
              </w:rPr>
            </w:pPr>
            <w:r>
              <w:rPr>
                <w:rFonts w:ascii="Arial" w:cs="Arial" w:eastAsia="Arial" w:hAnsi="Arial"/>
                <w:sz w:val="14"/>
                <w:szCs w:val="14"/>
                <w:color w:val="auto"/>
              </w:rPr>
              <w:t>2020</w:t>
            </w:r>
          </w:p>
        </w:tc>
        <w:tc>
          <w:tcPr>
            <w:tcW w:w="780" w:type="dxa"/>
            <w:vAlign w:val="bottom"/>
          </w:tcPr>
          <w:p>
            <w:pPr>
              <w:jc w:val="right"/>
              <w:ind w:right="68"/>
              <w:spacing w:after="0"/>
              <w:rPr>
                <w:sz w:val="20"/>
                <w:szCs w:val="20"/>
                <w:color w:val="auto"/>
              </w:rPr>
            </w:pPr>
            <w:r>
              <w:rPr>
                <w:rFonts w:ascii="Arial" w:cs="Arial" w:eastAsia="Arial" w:hAnsi="Arial"/>
                <w:sz w:val="14"/>
                <w:szCs w:val="14"/>
                <w:color w:val="auto"/>
              </w:rPr>
              <w:t>1</w:t>
            </w:r>
          </w:p>
        </w:tc>
        <w:tc>
          <w:tcPr>
            <w:tcW w:w="760" w:type="dxa"/>
            <w:vAlign w:val="bottom"/>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tcPr>
          <w:p>
            <w:pPr>
              <w:jc w:val="right"/>
              <w:ind w:right="28"/>
              <w:spacing w:after="0"/>
              <w:rPr>
                <w:sz w:val="20"/>
                <w:szCs w:val="20"/>
                <w:color w:val="auto"/>
              </w:rPr>
            </w:pPr>
            <w:r>
              <w:rPr>
                <w:rFonts w:ascii="Arial" w:cs="Arial" w:eastAsia="Arial" w:hAnsi="Arial"/>
                <w:sz w:val="14"/>
                <w:szCs w:val="14"/>
                <w:color w:val="auto"/>
              </w:rPr>
              <w:t>2,298,679</w:t>
            </w:r>
          </w:p>
        </w:tc>
        <w:tc>
          <w:tcPr>
            <w:tcW w:w="940" w:type="dxa"/>
            <w:vAlign w:val="bottom"/>
          </w:tcPr>
          <w:p>
            <w:pPr>
              <w:jc w:val="right"/>
              <w:ind w:right="109"/>
              <w:spacing w:after="0"/>
              <w:rPr>
                <w:sz w:val="20"/>
                <w:szCs w:val="20"/>
                <w:color w:val="auto"/>
              </w:rPr>
            </w:pPr>
            <w:r>
              <w:rPr>
                <w:rFonts w:ascii="Arial" w:cs="Arial" w:eastAsia="Arial" w:hAnsi="Arial"/>
                <w:sz w:val="14"/>
                <w:szCs w:val="14"/>
                <w:color w:val="auto"/>
              </w:rPr>
              <w:t>—</w:t>
            </w:r>
          </w:p>
        </w:tc>
        <w:tc>
          <w:tcPr>
            <w:tcW w:w="1160" w:type="dxa"/>
            <w:vAlign w:val="bottom"/>
          </w:tcPr>
          <w:p>
            <w:pPr>
              <w:jc w:val="right"/>
              <w:ind w:right="48"/>
              <w:spacing w:after="0"/>
              <w:rPr>
                <w:sz w:val="20"/>
                <w:szCs w:val="20"/>
                <w:color w:val="auto"/>
              </w:rPr>
            </w:pPr>
            <w:r>
              <w:rPr>
                <w:rFonts w:ascii="Arial" w:cs="Arial" w:eastAsia="Arial" w:hAnsi="Arial"/>
                <w:sz w:val="14"/>
                <w:szCs w:val="14"/>
                <w:color w:val="auto"/>
              </w:rPr>
              <w:t>—</w:t>
            </w:r>
          </w:p>
        </w:tc>
        <w:tc>
          <w:tcPr>
            <w:tcW w:w="1420" w:type="dxa"/>
            <w:vAlign w:val="bottom"/>
          </w:tcPr>
          <w:p>
            <w:pPr>
              <w:jc w:val="right"/>
              <w:ind w:right="68"/>
              <w:spacing w:after="0"/>
              <w:rPr>
                <w:sz w:val="20"/>
                <w:szCs w:val="20"/>
                <w:color w:val="auto"/>
              </w:rPr>
            </w:pPr>
            <w:r>
              <w:rPr>
                <w:rFonts w:ascii="Arial" w:cs="Arial" w:eastAsia="Arial" w:hAnsi="Arial"/>
                <w:sz w:val="14"/>
                <w:szCs w:val="14"/>
                <w:color w:val="auto"/>
              </w:rPr>
              <w:t>22,036</w:t>
            </w:r>
          </w:p>
        </w:tc>
        <w:tc>
          <w:tcPr>
            <w:tcW w:w="840" w:type="dxa"/>
            <w:vAlign w:val="bottom"/>
          </w:tcPr>
          <w:p>
            <w:pPr>
              <w:jc w:val="right"/>
              <w:spacing w:after="0"/>
              <w:rPr>
                <w:sz w:val="20"/>
                <w:szCs w:val="20"/>
                <w:color w:val="auto"/>
              </w:rPr>
            </w:pPr>
            <w:r>
              <w:rPr>
                <w:rFonts w:ascii="Arial" w:cs="Arial" w:eastAsia="Arial" w:hAnsi="Arial"/>
                <w:sz w:val="14"/>
                <w:szCs w:val="14"/>
                <w:color w:val="auto"/>
              </w:rPr>
              <w:t>2,320,716</w:t>
            </w:r>
          </w:p>
        </w:tc>
        <w:tc>
          <w:tcPr>
            <w:tcW w:w="0" w:type="dxa"/>
            <w:vAlign w:val="bottom"/>
          </w:tcPr>
          <w:p>
            <w:pPr>
              <w:spacing w:after="0"/>
              <w:rPr>
                <w:sz w:val="1"/>
                <w:szCs w:val="1"/>
                <w:color w:val="auto"/>
              </w:rPr>
            </w:pPr>
          </w:p>
        </w:tc>
      </w:tr>
      <w:tr>
        <w:trPr>
          <w:trHeight w:val="157"/>
        </w:trPr>
        <w:tc>
          <w:tcPr>
            <w:tcW w:w="3640" w:type="dxa"/>
            <w:vAlign w:val="bottom"/>
            <w:tcBorders>
              <w:bottom w:val="single" w:sz="8" w:color="04568A"/>
            </w:tcBorders>
          </w:tcPr>
          <w:p>
            <w:pPr>
              <w:spacing w:after="0"/>
              <w:rPr>
                <w:sz w:val="13"/>
                <w:szCs w:val="13"/>
                <w:color w:val="auto"/>
              </w:rPr>
            </w:pPr>
          </w:p>
        </w:tc>
        <w:tc>
          <w:tcPr>
            <w:tcW w:w="760" w:type="dxa"/>
            <w:vAlign w:val="bottom"/>
            <w:tcBorders>
              <w:bottom w:val="single" w:sz="8" w:color="04568A"/>
            </w:tcBorders>
          </w:tcPr>
          <w:p>
            <w:pPr>
              <w:jc w:val="right"/>
              <w:ind w:right="48"/>
              <w:spacing w:after="0" w:line="157" w:lineRule="exact"/>
              <w:rPr>
                <w:sz w:val="20"/>
                <w:szCs w:val="20"/>
                <w:color w:val="auto"/>
              </w:rPr>
            </w:pPr>
            <w:r>
              <w:rPr>
                <w:rFonts w:ascii="Arial" w:cs="Arial" w:eastAsia="Arial" w:hAnsi="Arial"/>
                <w:sz w:val="14"/>
                <w:szCs w:val="14"/>
                <w:color w:val="auto"/>
              </w:rPr>
              <w:t>2019</w:t>
            </w:r>
          </w:p>
        </w:tc>
        <w:tc>
          <w:tcPr>
            <w:tcW w:w="780" w:type="dxa"/>
            <w:vAlign w:val="bottom"/>
            <w:tcBorders>
              <w:bottom w:val="single" w:sz="8" w:color="04568A"/>
            </w:tcBorders>
          </w:tcPr>
          <w:p>
            <w:pPr>
              <w:jc w:val="right"/>
              <w:ind w:right="68"/>
              <w:spacing w:after="0" w:line="157" w:lineRule="exact"/>
              <w:rPr>
                <w:sz w:val="20"/>
                <w:szCs w:val="20"/>
                <w:color w:val="auto"/>
              </w:rPr>
            </w:pPr>
            <w:r>
              <w:rPr>
                <w:rFonts w:ascii="Arial" w:cs="Arial" w:eastAsia="Arial" w:hAnsi="Arial"/>
                <w:sz w:val="14"/>
                <w:szCs w:val="14"/>
                <w:color w:val="auto"/>
              </w:rPr>
              <w:t>44,226</w:t>
            </w:r>
          </w:p>
        </w:tc>
        <w:tc>
          <w:tcPr>
            <w:tcW w:w="760" w:type="dxa"/>
            <w:vAlign w:val="bottom"/>
            <w:tcBorders>
              <w:bottom w:val="single" w:sz="8" w:color="04568A"/>
            </w:tcBorders>
          </w:tcPr>
          <w:p>
            <w:pPr>
              <w:jc w:val="right"/>
              <w:ind w:right="88"/>
              <w:spacing w:after="0" w:line="157" w:lineRule="exact"/>
              <w:rPr>
                <w:sz w:val="20"/>
                <w:szCs w:val="20"/>
                <w:color w:val="auto"/>
              </w:rPr>
            </w:pPr>
            <w:r>
              <w:rPr>
                <w:rFonts w:ascii="Arial" w:cs="Arial" w:eastAsia="Arial" w:hAnsi="Arial"/>
                <w:sz w:val="14"/>
                <w:szCs w:val="14"/>
                <w:color w:val="auto"/>
              </w:rPr>
              <w:t>—</w:t>
            </w:r>
          </w:p>
        </w:tc>
        <w:tc>
          <w:tcPr>
            <w:tcW w:w="940" w:type="dxa"/>
            <w:vAlign w:val="bottom"/>
            <w:tcBorders>
              <w:bottom w:val="single" w:sz="8" w:color="04568A"/>
            </w:tcBorders>
          </w:tcPr>
          <w:p>
            <w:pPr>
              <w:jc w:val="right"/>
              <w:ind w:right="28"/>
              <w:spacing w:after="0" w:line="157" w:lineRule="exact"/>
              <w:rPr>
                <w:sz w:val="20"/>
                <w:szCs w:val="20"/>
                <w:color w:val="auto"/>
              </w:rPr>
            </w:pPr>
            <w:r>
              <w:rPr>
                <w:rFonts w:ascii="Arial" w:cs="Arial" w:eastAsia="Arial" w:hAnsi="Arial"/>
                <w:sz w:val="14"/>
                <w:szCs w:val="14"/>
                <w:color w:val="auto"/>
              </w:rPr>
              <w:t>90,749</w:t>
            </w:r>
          </w:p>
        </w:tc>
        <w:tc>
          <w:tcPr>
            <w:tcW w:w="940" w:type="dxa"/>
            <w:vAlign w:val="bottom"/>
            <w:tcBorders>
              <w:bottom w:val="single" w:sz="8" w:color="04568A"/>
            </w:tcBorders>
          </w:tcPr>
          <w:p>
            <w:pPr>
              <w:jc w:val="right"/>
              <w:ind w:right="109"/>
              <w:spacing w:after="0" w:line="157" w:lineRule="exact"/>
              <w:rPr>
                <w:sz w:val="20"/>
                <w:szCs w:val="20"/>
                <w:color w:val="auto"/>
              </w:rPr>
            </w:pPr>
            <w:r>
              <w:rPr>
                <w:rFonts w:ascii="Arial" w:cs="Arial" w:eastAsia="Arial" w:hAnsi="Arial"/>
                <w:sz w:val="14"/>
                <w:szCs w:val="14"/>
                <w:color w:val="auto"/>
              </w:rPr>
              <w:t>184,249</w:t>
            </w:r>
          </w:p>
        </w:tc>
        <w:tc>
          <w:tcPr>
            <w:tcW w:w="1160" w:type="dxa"/>
            <w:vAlign w:val="bottom"/>
            <w:tcBorders>
              <w:bottom w:val="single" w:sz="8" w:color="04568A"/>
            </w:tcBorders>
          </w:tcPr>
          <w:p>
            <w:pPr>
              <w:jc w:val="right"/>
              <w:ind w:right="48"/>
              <w:spacing w:after="0" w:line="157" w:lineRule="exact"/>
              <w:rPr>
                <w:sz w:val="20"/>
                <w:szCs w:val="20"/>
                <w:color w:val="auto"/>
              </w:rPr>
            </w:pPr>
            <w:r>
              <w:rPr>
                <w:rFonts w:ascii="Arial" w:cs="Arial" w:eastAsia="Arial" w:hAnsi="Arial"/>
                <w:sz w:val="14"/>
                <w:szCs w:val="14"/>
                <w:color w:val="auto"/>
              </w:rPr>
              <w:t>—</w:t>
            </w:r>
          </w:p>
        </w:tc>
        <w:tc>
          <w:tcPr>
            <w:tcW w:w="1420" w:type="dxa"/>
            <w:vAlign w:val="bottom"/>
            <w:tcBorders>
              <w:bottom w:val="single" w:sz="8" w:color="04568A"/>
            </w:tcBorders>
          </w:tcPr>
          <w:p>
            <w:pPr>
              <w:jc w:val="right"/>
              <w:ind w:right="68"/>
              <w:spacing w:after="0" w:line="157" w:lineRule="exact"/>
              <w:rPr>
                <w:sz w:val="20"/>
                <w:szCs w:val="20"/>
                <w:color w:val="auto"/>
              </w:rPr>
            </w:pPr>
            <w:r>
              <w:rPr>
                <w:rFonts w:ascii="Arial" w:cs="Arial" w:eastAsia="Arial" w:hAnsi="Arial"/>
                <w:sz w:val="14"/>
                <w:szCs w:val="14"/>
                <w:color w:val="auto"/>
              </w:rPr>
              <w:t>18,743</w:t>
            </w:r>
          </w:p>
        </w:tc>
        <w:tc>
          <w:tcPr>
            <w:tcW w:w="840" w:type="dxa"/>
            <w:vAlign w:val="bottom"/>
            <w:tcBorders>
              <w:bottom w:val="single" w:sz="8" w:color="04568A"/>
            </w:tcBorders>
          </w:tcPr>
          <w:p>
            <w:pPr>
              <w:jc w:val="right"/>
              <w:spacing w:after="0" w:line="157" w:lineRule="exact"/>
              <w:rPr>
                <w:sz w:val="20"/>
                <w:szCs w:val="20"/>
                <w:color w:val="auto"/>
              </w:rPr>
            </w:pPr>
            <w:r>
              <w:rPr>
                <w:rFonts w:ascii="Arial" w:cs="Arial" w:eastAsia="Arial" w:hAnsi="Arial"/>
                <w:sz w:val="14"/>
                <w:szCs w:val="14"/>
                <w:color w:val="auto"/>
              </w:rPr>
              <w:t>337,967</w:t>
            </w:r>
          </w:p>
        </w:tc>
        <w:tc>
          <w:tcPr>
            <w:tcW w:w="0" w:type="dxa"/>
            <w:vAlign w:val="bottom"/>
          </w:tcPr>
          <w:p>
            <w:pPr>
              <w:spacing w:after="0"/>
              <w:rPr>
                <w:sz w:val="1"/>
                <w:szCs w:val="1"/>
                <w:color w:val="auto"/>
              </w:rPr>
            </w:pPr>
          </w:p>
        </w:tc>
      </w:tr>
      <w:tr>
        <w:trPr>
          <w:trHeight w:val="155"/>
        </w:trPr>
        <w:tc>
          <w:tcPr>
            <w:tcW w:w="3640" w:type="dxa"/>
            <w:vAlign w:val="bottom"/>
            <w:shd w:val="clear" w:color="auto" w:fill="E4E9F2"/>
          </w:tcPr>
          <w:p>
            <w:pPr>
              <w:ind w:left="60"/>
              <w:spacing w:after="0" w:line="155" w:lineRule="exact"/>
              <w:rPr>
                <w:sz w:val="20"/>
                <w:szCs w:val="20"/>
                <w:color w:val="auto"/>
              </w:rPr>
            </w:pPr>
            <w:r>
              <w:rPr>
                <w:rFonts w:ascii="Arial" w:cs="Arial" w:eastAsia="Arial" w:hAnsi="Arial"/>
                <w:sz w:val="14"/>
                <w:szCs w:val="14"/>
                <w:b w:val="1"/>
                <w:bCs w:val="1"/>
                <w:color w:val="auto"/>
              </w:rPr>
              <w:t>Chintu Patel</w:t>
            </w:r>
          </w:p>
        </w:tc>
        <w:tc>
          <w:tcPr>
            <w:tcW w:w="760" w:type="dxa"/>
            <w:vAlign w:val="bottom"/>
            <w:shd w:val="clear" w:color="auto" w:fill="E4E9F2"/>
          </w:tcPr>
          <w:p>
            <w:pPr>
              <w:jc w:val="right"/>
              <w:ind w:right="48"/>
              <w:spacing w:after="0" w:line="155" w:lineRule="exact"/>
              <w:rPr>
                <w:sz w:val="20"/>
                <w:szCs w:val="20"/>
                <w:color w:val="auto"/>
              </w:rPr>
            </w:pPr>
            <w:r>
              <w:rPr>
                <w:rFonts w:ascii="Arial" w:cs="Arial" w:eastAsia="Arial" w:hAnsi="Arial"/>
                <w:sz w:val="14"/>
                <w:szCs w:val="14"/>
                <w:color w:val="auto"/>
              </w:rPr>
              <w:t>2021</w:t>
            </w:r>
          </w:p>
        </w:tc>
        <w:tc>
          <w:tcPr>
            <w:tcW w:w="780" w:type="dxa"/>
            <w:vAlign w:val="bottom"/>
            <w:shd w:val="clear" w:color="auto" w:fill="E4E9F2"/>
          </w:tcPr>
          <w:p>
            <w:pPr>
              <w:jc w:val="right"/>
              <w:ind w:right="68"/>
              <w:spacing w:after="0" w:line="155" w:lineRule="exact"/>
              <w:rPr>
                <w:sz w:val="20"/>
                <w:szCs w:val="20"/>
                <w:color w:val="auto"/>
              </w:rPr>
            </w:pPr>
            <w:r>
              <w:rPr>
                <w:rFonts w:ascii="Arial" w:cs="Arial" w:eastAsia="Arial" w:hAnsi="Arial"/>
                <w:sz w:val="14"/>
                <w:szCs w:val="14"/>
                <w:color w:val="auto"/>
              </w:rPr>
              <w:t>724,038</w:t>
            </w:r>
          </w:p>
        </w:tc>
        <w:tc>
          <w:tcPr>
            <w:tcW w:w="760" w:type="dxa"/>
            <w:vAlign w:val="bottom"/>
            <w:shd w:val="clear" w:color="auto" w:fill="E4E9F2"/>
          </w:tcPr>
          <w:p>
            <w:pPr>
              <w:jc w:val="right"/>
              <w:ind w:right="88"/>
              <w:spacing w:after="0" w:line="155" w:lineRule="exact"/>
              <w:rPr>
                <w:sz w:val="20"/>
                <w:szCs w:val="20"/>
                <w:color w:val="auto"/>
              </w:rPr>
            </w:pPr>
            <w:r>
              <w:rPr>
                <w:rFonts w:ascii="Arial" w:cs="Arial" w:eastAsia="Arial" w:hAnsi="Arial"/>
                <w:sz w:val="14"/>
                <w:szCs w:val="14"/>
                <w:color w:val="auto"/>
              </w:rPr>
              <w:t>—</w:t>
            </w:r>
          </w:p>
        </w:tc>
        <w:tc>
          <w:tcPr>
            <w:tcW w:w="940" w:type="dxa"/>
            <w:vAlign w:val="bottom"/>
            <w:shd w:val="clear" w:color="auto" w:fill="E4E9F2"/>
          </w:tcPr>
          <w:p>
            <w:pPr>
              <w:jc w:val="right"/>
              <w:ind w:right="28"/>
              <w:spacing w:after="0" w:line="155" w:lineRule="exact"/>
              <w:rPr>
                <w:sz w:val="20"/>
                <w:szCs w:val="20"/>
                <w:color w:val="auto"/>
              </w:rPr>
            </w:pPr>
            <w:r>
              <w:rPr>
                <w:rFonts w:ascii="Arial" w:cs="Arial" w:eastAsia="Arial" w:hAnsi="Arial"/>
                <w:sz w:val="14"/>
                <w:szCs w:val="14"/>
                <w:color w:val="auto"/>
              </w:rPr>
              <w:t>3,266,406</w:t>
            </w:r>
          </w:p>
        </w:tc>
        <w:tc>
          <w:tcPr>
            <w:tcW w:w="940" w:type="dxa"/>
            <w:vAlign w:val="bottom"/>
            <w:shd w:val="clear" w:color="auto" w:fill="E4E9F2"/>
          </w:tcPr>
          <w:p>
            <w:pPr>
              <w:jc w:val="right"/>
              <w:ind w:right="109"/>
              <w:spacing w:after="0" w:line="155" w:lineRule="exact"/>
              <w:rPr>
                <w:sz w:val="20"/>
                <w:szCs w:val="20"/>
                <w:color w:val="auto"/>
              </w:rPr>
            </w:pPr>
            <w:r>
              <w:rPr>
                <w:rFonts w:ascii="Arial" w:cs="Arial" w:eastAsia="Arial" w:hAnsi="Arial"/>
                <w:sz w:val="14"/>
                <w:szCs w:val="14"/>
                <w:color w:val="auto"/>
              </w:rPr>
              <w:t>—</w:t>
            </w:r>
          </w:p>
        </w:tc>
        <w:tc>
          <w:tcPr>
            <w:tcW w:w="1160" w:type="dxa"/>
            <w:vAlign w:val="bottom"/>
            <w:shd w:val="clear" w:color="auto" w:fill="E4E9F2"/>
          </w:tcPr>
          <w:p>
            <w:pPr>
              <w:jc w:val="right"/>
              <w:ind w:right="48"/>
              <w:spacing w:after="0" w:line="155" w:lineRule="exact"/>
              <w:rPr>
                <w:sz w:val="20"/>
                <w:szCs w:val="20"/>
                <w:color w:val="auto"/>
              </w:rPr>
            </w:pPr>
            <w:r>
              <w:rPr>
                <w:rFonts w:ascii="Arial" w:cs="Arial" w:eastAsia="Arial" w:hAnsi="Arial"/>
                <w:sz w:val="14"/>
                <w:szCs w:val="14"/>
                <w:color w:val="auto"/>
              </w:rPr>
              <w:t>757,500</w:t>
            </w:r>
          </w:p>
        </w:tc>
        <w:tc>
          <w:tcPr>
            <w:tcW w:w="1420" w:type="dxa"/>
            <w:vAlign w:val="bottom"/>
            <w:shd w:val="clear" w:color="auto" w:fill="E4E9F2"/>
          </w:tcPr>
          <w:p>
            <w:pPr>
              <w:jc w:val="right"/>
              <w:ind w:right="68"/>
              <w:spacing w:after="0" w:line="155" w:lineRule="exact"/>
              <w:rPr>
                <w:sz w:val="20"/>
                <w:szCs w:val="20"/>
                <w:color w:val="auto"/>
              </w:rPr>
            </w:pPr>
            <w:r>
              <w:rPr>
                <w:rFonts w:ascii="Arial" w:cs="Arial" w:eastAsia="Arial" w:hAnsi="Arial"/>
                <w:sz w:val="14"/>
                <w:szCs w:val="14"/>
                <w:color w:val="auto"/>
              </w:rPr>
              <w:t>50,881</w:t>
            </w:r>
          </w:p>
        </w:tc>
        <w:tc>
          <w:tcPr>
            <w:tcW w:w="840" w:type="dxa"/>
            <w:vAlign w:val="bottom"/>
            <w:shd w:val="clear" w:color="auto" w:fill="E4E9F2"/>
          </w:tcPr>
          <w:p>
            <w:pPr>
              <w:jc w:val="right"/>
              <w:spacing w:after="0" w:line="155" w:lineRule="exact"/>
              <w:rPr>
                <w:sz w:val="20"/>
                <w:szCs w:val="20"/>
                <w:color w:val="auto"/>
              </w:rPr>
            </w:pPr>
            <w:r>
              <w:rPr>
                <w:rFonts w:ascii="Arial" w:cs="Arial" w:eastAsia="Arial" w:hAnsi="Arial"/>
                <w:sz w:val="14"/>
                <w:szCs w:val="14"/>
                <w:color w:val="auto"/>
              </w:rPr>
              <w:t>4,798,825</w:t>
            </w:r>
          </w:p>
        </w:tc>
        <w:tc>
          <w:tcPr>
            <w:tcW w:w="0" w:type="dxa"/>
            <w:vAlign w:val="bottom"/>
          </w:tcPr>
          <w:p>
            <w:pPr>
              <w:spacing w:after="0"/>
              <w:rPr>
                <w:sz w:val="1"/>
                <w:szCs w:val="1"/>
                <w:color w:val="auto"/>
              </w:rPr>
            </w:pPr>
          </w:p>
        </w:tc>
      </w:tr>
      <w:tr>
        <w:trPr>
          <w:trHeight w:val="162"/>
        </w:trPr>
        <w:tc>
          <w:tcPr>
            <w:tcW w:w="3640" w:type="dxa"/>
            <w:vAlign w:val="bottom"/>
            <w:shd w:val="clear" w:color="auto" w:fill="E4E9F2"/>
          </w:tcPr>
          <w:p>
            <w:pPr>
              <w:ind w:left="240"/>
              <w:spacing w:after="0"/>
              <w:rPr>
                <w:sz w:val="20"/>
                <w:szCs w:val="20"/>
                <w:color w:val="auto"/>
              </w:rPr>
            </w:pPr>
            <w:r>
              <w:rPr>
                <w:rFonts w:ascii="Arial" w:cs="Arial" w:eastAsia="Arial" w:hAnsi="Arial"/>
                <w:sz w:val="14"/>
                <w:szCs w:val="14"/>
                <w:color w:val="auto"/>
              </w:rPr>
              <w:t>Co-Chief Executive Officer</w:t>
            </w:r>
          </w:p>
        </w:tc>
        <w:tc>
          <w:tcPr>
            <w:tcW w:w="760" w:type="dxa"/>
            <w:vAlign w:val="bottom"/>
            <w:shd w:val="clear" w:color="auto" w:fill="E4E9F2"/>
          </w:tcPr>
          <w:p>
            <w:pPr>
              <w:jc w:val="right"/>
              <w:ind w:right="48"/>
              <w:spacing w:after="0"/>
              <w:rPr>
                <w:sz w:val="20"/>
                <w:szCs w:val="20"/>
                <w:color w:val="auto"/>
              </w:rPr>
            </w:pPr>
            <w:r>
              <w:rPr>
                <w:rFonts w:ascii="Arial" w:cs="Arial" w:eastAsia="Arial" w:hAnsi="Arial"/>
                <w:sz w:val="14"/>
                <w:szCs w:val="14"/>
                <w:color w:val="auto"/>
              </w:rPr>
              <w:t>2020</w:t>
            </w:r>
          </w:p>
        </w:tc>
        <w:tc>
          <w:tcPr>
            <w:tcW w:w="780" w:type="dxa"/>
            <w:vAlign w:val="bottom"/>
            <w:shd w:val="clear" w:color="auto" w:fill="E4E9F2"/>
          </w:tcPr>
          <w:p>
            <w:pPr>
              <w:jc w:val="right"/>
              <w:ind w:right="68"/>
              <w:spacing w:after="0"/>
              <w:rPr>
                <w:sz w:val="20"/>
                <w:szCs w:val="20"/>
                <w:color w:val="auto"/>
              </w:rPr>
            </w:pPr>
            <w:r>
              <w:rPr>
                <w:rFonts w:ascii="Arial" w:cs="Arial" w:eastAsia="Arial" w:hAnsi="Arial"/>
                <w:sz w:val="14"/>
                <w:szCs w:val="14"/>
                <w:color w:val="auto"/>
              </w:rPr>
              <w:t>1</w:t>
            </w:r>
          </w:p>
        </w:tc>
        <w:tc>
          <w:tcPr>
            <w:tcW w:w="760" w:type="dxa"/>
            <w:vAlign w:val="bottom"/>
            <w:shd w:val="clear" w:color="auto" w:fill="E4E9F2"/>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shd w:val="clear" w:color="auto" w:fill="E4E9F2"/>
          </w:tcPr>
          <w:p>
            <w:pPr>
              <w:jc w:val="right"/>
              <w:ind w:right="28"/>
              <w:spacing w:after="0"/>
              <w:rPr>
                <w:sz w:val="20"/>
                <w:szCs w:val="20"/>
                <w:color w:val="auto"/>
              </w:rPr>
            </w:pPr>
            <w:r>
              <w:rPr>
                <w:rFonts w:ascii="Arial" w:cs="Arial" w:eastAsia="Arial" w:hAnsi="Arial"/>
                <w:sz w:val="14"/>
                <w:szCs w:val="14"/>
                <w:color w:val="auto"/>
              </w:rPr>
              <w:t>2,298,679</w:t>
            </w:r>
          </w:p>
        </w:tc>
        <w:tc>
          <w:tcPr>
            <w:tcW w:w="940" w:type="dxa"/>
            <w:vAlign w:val="bottom"/>
            <w:shd w:val="clear" w:color="auto" w:fill="E4E9F2"/>
          </w:tcPr>
          <w:p>
            <w:pPr>
              <w:jc w:val="right"/>
              <w:ind w:right="109"/>
              <w:spacing w:after="0"/>
              <w:rPr>
                <w:sz w:val="20"/>
                <w:szCs w:val="20"/>
                <w:color w:val="auto"/>
              </w:rPr>
            </w:pPr>
            <w:r>
              <w:rPr>
                <w:rFonts w:ascii="Arial" w:cs="Arial" w:eastAsia="Arial" w:hAnsi="Arial"/>
                <w:sz w:val="14"/>
                <w:szCs w:val="14"/>
                <w:color w:val="auto"/>
              </w:rPr>
              <w:t>—</w:t>
            </w:r>
          </w:p>
        </w:tc>
        <w:tc>
          <w:tcPr>
            <w:tcW w:w="1160" w:type="dxa"/>
            <w:vAlign w:val="bottom"/>
            <w:shd w:val="clear" w:color="auto" w:fill="E4E9F2"/>
          </w:tcPr>
          <w:p>
            <w:pPr>
              <w:jc w:val="right"/>
              <w:ind w:right="48"/>
              <w:spacing w:after="0"/>
              <w:rPr>
                <w:sz w:val="20"/>
                <w:szCs w:val="20"/>
                <w:color w:val="auto"/>
              </w:rPr>
            </w:pPr>
            <w:r>
              <w:rPr>
                <w:rFonts w:ascii="Arial" w:cs="Arial" w:eastAsia="Arial" w:hAnsi="Arial"/>
                <w:sz w:val="14"/>
                <w:szCs w:val="14"/>
                <w:color w:val="auto"/>
              </w:rPr>
              <w:t>—</w:t>
            </w:r>
          </w:p>
        </w:tc>
        <w:tc>
          <w:tcPr>
            <w:tcW w:w="1420" w:type="dxa"/>
            <w:vAlign w:val="bottom"/>
            <w:shd w:val="clear" w:color="auto" w:fill="E4E9F2"/>
          </w:tcPr>
          <w:p>
            <w:pPr>
              <w:jc w:val="right"/>
              <w:ind w:right="68"/>
              <w:spacing w:after="0"/>
              <w:rPr>
                <w:sz w:val="20"/>
                <w:szCs w:val="20"/>
                <w:color w:val="auto"/>
              </w:rPr>
            </w:pPr>
            <w:r>
              <w:rPr>
                <w:rFonts w:ascii="Arial" w:cs="Arial" w:eastAsia="Arial" w:hAnsi="Arial"/>
                <w:sz w:val="14"/>
                <w:szCs w:val="14"/>
                <w:color w:val="auto"/>
              </w:rPr>
              <w:t>29,848</w:t>
            </w:r>
          </w:p>
        </w:tc>
        <w:tc>
          <w:tcPr>
            <w:tcW w:w="840" w:type="dxa"/>
            <w:vAlign w:val="bottom"/>
            <w:shd w:val="clear" w:color="auto" w:fill="E4E9F2"/>
          </w:tcPr>
          <w:p>
            <w:pPr>
              <w:jc w:val="right"/>
              <w:spacing w:after="0"/>
              <w:rPr>
                <w:sz w:val="20"/>
                <w:szCs w:val="20"/>
                <w:color w:val="auto"/>
              </w:rPr>
            </w:pPr>
            <w:r>
              <w:rPr>
                <w:rFonts w:ascii="Arial" w:cs="Arial" w:eastAsia="Arial" w:hAnsi="Arial"/>
                <w:sz w:val="14"/>
                <w:szCs w:val="14"/>
                <w:color w:val="auto"/>
              </w:rPr>
              <w:t>2,328,528</w:t>
            </w:r>
          </w:p>
        </w:tc>
        <w:tc>
          <w:tcPr>
            <w:tcW w:w="0" w:type="dxa"/>
            <w:vAlign w:val="bottom"/>
          </w:tcPr>
          <w:p>
            <w:pPr>
              <w:spacing w:after="0"/>
              <w:rPr>
                <w:sz w:val="1"/>
                <w:szCs w:val="1"/>
                <w:color w:val="auto"/>
              </w:rPr>
            </w:pPr>
          </w:p>
        </w:tc>
      </w:tr>
      <w:tr>
        <w:trPr>
          <w:trHeight w:val="162"/>
        </w:trPr>
        <w:tc>
          <w:tcPr>
            <w:tcW w:w="3640" w:type="dxa"/>
            <w:vAlign w:val="bottom"/>
            <w:tcBorders>
              <w:bottom w:val="single" w:sz="8" w:color="04568A"/>
            </w:tcBorders>
            <w:shd w:val="clear" w:color="auto" w:fill="E4E9F2"/>
          </w:tcPr>
          <w:p>
            <w:pPr>
              <w:spacing w:after="0"/>
              <w:rPr>
                <w:sz w:val="14"/>
                <w:szCs w:val="14"/>
                <w:color w:val="auto"/>
              </w:rPr>
            </w:pPr>
          </w:p>
        </w:tc>
        <w:tc>
          <w:tcPr>
            <w:tcW w:w="760" w:type="dxa"/>
            <w:vAlign w:val="bottom"/>
            <w:tcBorders>
              <w:bottom w:val="single" w:sz="8" w:color="04568A"/>
            </w:tcBorders>
            <w:shd w:val="clear" w:color="auto" w:fill="E4E9F2"/>
          </w:tcPr>
          <w:p>
            <w:pPr>
              <w:jc w:val="right"/>
              <w:ind w:right="48"/>
              <w:spacing w:after="0"/>
              <w:rPr>
                <w:sz w:val="20"/>
                <w:szCs w:val="20"/>
                <w:color w:val="auto"/>
              </w:rPr>
            </w:pPr>
            <w:r>
              <w:rPr>
                <w:rFonts w:ascii="Arial" w:cs="Arial" w:eastAsia="Arial" w:hAnsi="Arial"/>
                <w:sz w:val="14"/>
                <w:szCs w:val="14"/>
                <w:color w:val="auto"/>
              </w:rPr>
              <w:t>2019</w:t>
            </w:r>
          </w:p>
        </w:tc>
        <w:tc>
          <w:tcPr>
            <w:tcW w:w="780" w:type="dxa"/>
            <w:vAlign w:val="bottom"/>
            <w:tcBorders>
              <w:bottom w:val="single" w:sz="8" w:color="04568A"/>
            </w:tcBorders>
            <w:shd w:val="clear" w:color="auto" w:fill="E4E9F2"/>
          </w:tcPr>
          <w:p>
            <w:pPr>
              <w:jc w:val="right"/>
              <w:ind w:right="68"/>
              <w:spacing w:after="0"/>
              <w:rPr>
                <w:sz w:val="20"/>
                <w:szCs w:val="20"/>
                <w:color w:val="auto"/>
              </w:rPr>
            </w:pPr>
            <w:r>
              <w:rPr>
                <w:rFonts w:ascii="Arial" w:cs="Arial" w:eastAsia="Arial" w:hAnsi="Arial"/>
                <w:sz w:val="14"/>
                <w:szCs w:val="14"/>
                <w:color w:val="auto"/>
              </w:rPr>
              <w:t>44,226</w:t>
            </w:r>
          </w:p>
        </w:tc>
        <w:tc>
          <w:tcPr>
            <w:tcW w:w="760" w:type="dxa"/>
            <w:vAlign w:val="bottom"/>
            <w:tcBorders>
              <w:bottom w:val="single" w:sz="8" w:color="04568A"/>
            </w:tcBorders>
            <w:shd w:val="clear" w:color="auto" w:fill="E4E9F2"/>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tcBorders>
              <w:bottom w:val="single" w:sz="8" w:color="04568A"/>
            </w:tcBorders>
            <w:shd w:val="clear" w:color="auto" w:fill="E4E9F2"/>
          </w:tcPr>
          <w:p>
            <w:pPr>
              <w:jc w:val="right"/>
              <w:ind w:right="28"/>
              <w:spacing w:after="0"/>
              <w:rPr>
                <w:sz w:val="20"/>
                <w:szCs w:val="20"/>
                <w:color w:val="auto"/>
              </w:rPr>
            </w:pPr>
            <w:r>
              <w:rPr>
                <w:rFonts w:ascii="Arial" w:cs="Arial" w:eastAsia="Arial" w:hAnsi="Arial"/>
                <w:sz w:val="14"/>
                <w:szCs w:val="14"/>
                <w:color w:val="auto"/>
              </w:rPr>
              <w:t>90,749</w:t>
            </w:r>
          </w:p>
        </w:tc>
        <w:tc>
          <w:tcPr>
            <w:tcW w:w="940" w:type="dxa"/>
            <w:vAlign w:val="bottom"/>
            <w:tcBorders>
              <w:bottom w:val="single" w:sz="8" w:color="04568A"/>
            </w:tcBorders>
            <w:shd w:val="clear" w:color="auto" w:fill="E4E9F2"/>
          </w:tcPr>
          <w:p>
            <w:pPr>
              <w:jc w:val="right"/>
              <w:ind w:right="109"/>
              <w:spacing w:after="0"/>
              <w:rPr>
                <w:sz w:val="20"/>
                <w:szCs w:val="20"/>
                <w:color w:val="auto"/>
              </w:rPr>
            </w:pPr>
            <w:r>
              <w:rPr>
                <w:rFonts w:ascii="Arial" w:cs="Arial" w:eastAsia="Arial" w:hAnsi="Arial"/>
                <w:sz w:val="14"/>
                <w:szCs w:val="14"/>
                <w:color w:val="auto"/>
              </w:rPr>
              <w:t>184,249</w:t>
            </w:r>
          </w:p>
        </w:tc>
        <w:tc>
          <w:tcPr>
            <w:tcW w:w="1160" w:type="dxa"/>
            <w:vAlign w:val="bottom"/>
            <w:tcBorders>
              <w:bottom w:val="single" w:sz="8" w:color="04568A"/>
            </w:tcBorders>
            <w:shd w:val="clear" w:color="auto" w:fill="E4E9F2"/>
          </w:tcPr>
          <w:p>
            <w:pPr>
              <w:jc w:val="right"/>
              <w:ind w:right="48"/>
              <w:spacing w:after="0"/>
              <w:rPr>
                <w:sz w:val="20"/>
                <w:szCs w:val="20"/>
                <w:color w:val="auto"/>
              </w:rPr>
            </w:pPr>
            <w:r>
              <w:rPr>
                <w:rFonts w:ascii="Arial" w:cs="Arial" w:eastAsia="Arial" w:hAnsi="Arial"/>
                <w:sz w:val="14"/>
                <w:szCs w:val="14"/>
                <w:color w:val="auto"/>
              </w:rPr>
              <w:t>—</w:t>
            </w:r>
          </w:p>
        </w:tc>
        <w:tc>
          <w:tcPr>
            <w:tcW w:w="1420" w:type="dxa"/>
            <w:vAlign w:val="bottom"/>
            <w:tcBorders>
              <w:bottom w:val="single" w:sz="8" w:color="04568A"/>
            </w:tcBorders>
            <w:shd w:val="clear" w:color="auto" w:fill="E4E9F2"/>
          </w:tcPr>
          <w:p>
            <w:pPr>
              <w:jc w:val="right"/>
              <w:ind w:right="68"/>
              <w:spacing w:after="0"/>
              <w:rPr>
                <w:sz w:val="20"/>
                <w:szCs w:val="20"/>
                <w:color w:val="auto"/>
              </w:rPr>
            </w:pPr>
            <w:r>
              <w:rPr>
                <w:rFonts w:ascii="Arial" w:cs="Arial" w:eastAsia="Arial" w:hAnsi="Arial"/>
                <w:sz w:val="14"/>
                <w:szCs w:val="14"/>
                <w:color w:val="auto"/>
              </w:rPr>
              <w:t>20,376</w:t>
            </w:r>
          </w:p>
        </w:tc>
        <w:tc>
          <w:tcPr>
            <w:tcW w:w="84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4"/>
                <w:szCs w:val="14"/>
                <w:color w:val="auto"/>
              </w:rPr>
              <w:t>339,600</w:t>
            </w:r>
          </w:p>
        </w:tc>
        <w:tc>
          <w:tcPr>
            <w:tcW w:w="0" w:type="dxa"/>
            <w:vAlign w:val="bottom"/>
          </w:tcPr>
          <w:p>
            <w:pPr>
              <w:spacing w:after="0"/>
              <w:rPr>
                <w:sz w:val="1"/>
                <w:szCs w:val="1"/>
                <w:color w:val="auto"/>
              </w:rPr>
            </w:pPr>
          </w:p>
        </w:tc>
      </w:tr>
      <w:tr>
        <w:trPr>
          <w:trHeight w:val="160"/>
        </w:trPr>
        <w:tc>
          <w:tcPr>
            <w:tcW w:w="3640" w:type="dxa"/>
            <w:vAlign w:val="bottom"/>
          </w:tcPr>
          <w:p>
            <w:pPr>
              <w:ind w:left="60"/>
              <w:spacing w:after="0"/>
              <w:rPr>
                <w:sz w:val="20"/>
                <w:szCs w:val="20"/>
                <w:color w:val="auto"/>
              </w:rPr>
            </w:pPr>
            <w:r>
              <w:rPr>
                <w:rFonts w:ascii="Arial" w:cs="Arial" w:eastAsia="Arial" w:hAnsi="Arial"/>
                <w:sz w:val="14"/>
                <w:szCs w:val="14"/>
                <w:b w:val="1"/>
                <w:bCs w:val="1"/>
                <w:color w:val="auto"/>
              </w:rPr>
              <w:t>Anastasios Konidaris</w:t>
            </w:r>
          </w:p>
        </w:tc>
        <w:tc>
          <w:tcPr>
            <w:tcW w:w="760" w:type="dxa"/>
            <w:vAlign w:val="bottom"/>
          </w:tcPr>
          <w:p>
            <w:pPr>
              <w:jc w:val="right"/>
              <w:ind w:right="48"/>
              <w:spacing w:after="0"/>
              <w:rPr>
                <w:sz w:val="20"/>
                <w:szCs w:val="20"/>
                <w:color w:val="auto"/>
              </w:rPr>
            </w:pPr>
            <w:r>
              <w:rPr>
                <w:rFonts w:ascii="Arial" w:cs="Arial" w:eastAsia="Arial" w:hAnsi="Arial"/>
                <w:sz w:val="14"/>
                <w:szCs w:val="14"/>
                <w:color w:val="auto"/>
              </w:rPr>
              <w:t>2021</w:t>
            </w:r>
          </w:p>
        </w:tc>
        <w:tc>
          <w:tcPr>
            <w:tcW w:w="780" w:type="dxa"/>
            <w:vAlign w:val="bottom"/>
          </w:tcPr>
          <w:p>
            <w:pPr>
              <w:jc w:val="right"/>
              <w:ind w:right="68"/>
              <w:spacing w:after="0"/>
              <w:rPr>
                <w:sz w:val="20"/>
                <w:szCs w:val="20"/>
                <w:color w:val="auto"/>
              </w:rPr>
            </w:pPr>
            <w:r>
              <w:rPr>
                <w:rFonts w:ascii="Arial" w:cs="Arial" w:eastAsia="Arial" w:hAnsi="Arial"/>
                <w:sz w:val="14"/>
                <w:szCs w:val="14"/>
                <w:color w:val="auto"/>
              </w:rPr>
              <w:t>550,000</w:t>
            </w:r>
          </w:p>
        </w:tc>
        <w:tc>
          <w:tcPr>
            <w:tcW w:w="760" w:type="dxa"/>
            <w:vAlign w:val="bottom"/>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tcPr>
          <w:p>
            <w:pPr>
              <w:jc w:val="right"/>
              <w:ind w:right="28"/>
              <w:spacing w:after="0"/>
              <w:rPr>
                <w:sz w:val="20"/>
                <w:szCs w:val="20"/>
                <w:color w:val="auto"/>
              </w:rPr>
            </w:pPr>
            <w:r>
              <w:rPr>
                <w:rFonts w:ascii="Arial" w:cs="Arial" w:eastAsia="Arial" w:hAnsi="Arial"/>
                <w:sz w:val="14"/>
                <w:szCs w:val="14"/>
                <w:color w:val="auto"/>
              </w:rPr>
              <w:t>1,770,757</w:t>
            </w:r>
          </w:p>
        </w:tc>
        <w:tc>
          <w:tcPr>
            <w:tcW w:w="940" w:type="dxa"/>
            <w:vAlign w:val="bottom"/>
          </w:tcPr>
          <w:p>
            <w:pPr>
              <w:jc w:val="right"/>
              <w:ind w:right="109"/>
              <w:spacing w:after="0"/>
              <w:rPr>
                <w:sz w:val="20"/>
                <w:szCs w:val="20"/>
                <w:color w:val="auto"/>
              </w:rPr>
            </w:pPr>
            <w:r>
              <w:rPr>
                <w:rFonts w:ascii="Arial" w:cs="Arial" w:eastAsia="Arial" w:hAnsi="Arial"/>
                <w:sz w:val="14"/>
                <w:szCs w:val="14"/>
                <w:color w:val="auto"/>
              </w:rPr>
              <w:t>—</w:t>
            </w:r>
          </w:p>
        </w:tc>
        <w:tc>
          <w:tcPr>
            <w:tcW w:w="1160" w:type="dxa"/>
            <w:vAlign w:val="bottom"/>
          </w:tcPr>
          <w:p>
            <w:pPr>
              <w:jc w:val="right"/>
              <w:ind w:right="48"/>
              <w:spacing w:after="0"/>
              <w:rPr>
                <w:sz w:val="20"/>
                <w:szCs w:val="20"/>
                <w:color w:val="auto"/>
              </w:rPr>
            </w:pPr>
            <w:r>
              <w:rPr>
                <w:rFonts w:ascii="Arial" w:cs="Arial" w:eastAsia="Arial" w:hAnsi="Arial"/>
                <w:sz w:val="14"/>
                <w:szCs w:val="14"/>
                <w:color w:val="auto"/>
              </w:rPr>
              <w:t>326,912</w:t>
            </w:r>
          </w:p>
        </w:tc>
        <w:tc>
          <w:tcPr>
            <w:tcW w:w="1420" w:type="dxa"/>
            <w:vAlign w:val="bottom"/>
          </w:tcPr>
          <w:p>
            <w:pPr>
              <w:jc w:val="right"/>
              <w:ind w:right="68"/>
              <w:spacing w:after="0"/>
              <w:rPr>
                <w:sz w:val="20"/>
                <w:szCs w:val="20"/>
                <w:color w:val="auto"/>
              </w:rPr>
            </w:pPr>
            <w:r>
              <w:rPr>
                <w:rFonts w:ascii="Arial" w:cs="Arial" w:eastAsia="Arial" w:hAnsi="Arial"/>
                <w:sz w:val="14"/>
                <w:szCs w:val="14"/>
                <w:color w:val="auto"/>
              </w:rPr>
              <w:t>16,327</w:t>
            </w:r>
          </w:p>
        </w:tc>
        <w:tc>
          <w:tcPr>
            <w:tcW w:w="840" w:type="dxa"/>
            <w:vAlign w:val="bottom"/>
          </w:tcPr>
          <w:p>
            <w:pPr>
              <w:jc w:val="right"/>
              <w:spacing w:after="0"/>
              <w:rPr>
                <w:sz w:val="20"/>
                <w:szCs w:val="20"/>
                <w:color w:val="auto"/>
              </w:rPr>
            </w:pPr>
            <w:r>
              <w:rPr>
                <w:rFonts w:ascii="Arial" w:cs="Arial" w:eastAsia="Arial" w:hAnsi="Arial"/>
                <w:sz w:val="14"/>
                <w:szCs w:val="14"/>
                <w:color w:val="auto"/>
              </w:rPr>
              <w:t>2,663,996</w:t>
            </w:r>
          </w:p>
        </w:tc>
        <w:tc>
          <w:tcPr>
            <w:tcW w:w="0" w:type="dxa"/>
            <w:vAlign w:val="bottom"/>
          </w:tcPr>
          <w:p>
            <w:pPr>
              <w:spacing w:after="0"/>
              <w:rPr>
                <w:sz w:val="1"/>
                <w:szCs w:val="1"/>
                <w:color w:val="auto"/>
              </w:rPr>
            </w:pPr>
          </w:p>
        </w:tc>
      </w:tr>
      <w:tr>
        <w:trPr>
          <w:trHeight w:val="157"/>
        </w:trPr>
        <w:tc>
          <w:tcPr>
            <w:tcW w:w="3640" w:type="dxa"/>
            <w:vAlign w:val="bottom"/>
            <w:tcBorders>
              <w:bottom w:val="single" w:sz="8" w:color="04568A"/>
            </w:tcBorders>
          </w:tcPr>
          <w:p>
            <w:pPr>
              <w:ind w:left="240"/>
              <w:spacing w:after="0" w:line="157" w:lineRule="exact"/>
              <w:rPr>
                <w:sz w:val="20"/>
                <w:szCs w:val="20"/>
                <w:color w:val="auto"/>
              </w:rPr>
            </w:pPr>
            <w:r>
              <w:rPr>
                <w:rFonts w:ascii="Arial" w:cs="Arial" w:eastAsia="Arial" w:hAnsi="Arial"/>
                <w:sz w:val="14"/>
                <w:szCs w:val="14"/>
                <w:color w:val="auto"/>
              </w:rPr>
              <w:t>EVP &amp; Chief Financial Officer</w:t>
            </w:r>
          </w:p>
        </w:tc>
        <w:tc>
          <w:tcPr>
            <w:tcW w:w="760" w:type="dxa"/>
            <w:vAlign w:val="bottom"/>
            <w:tcBorders>
              <w:bottom w:val="single" w:sz="8" w:color="04568A"/>
            </w:tcBorders>
          </w:tcPr>
          <w:p>
            <w:pPr>
              <w:jc w:val="right"/>
              <w:ind w:right="48"/>
              <w:spacing w:after="0" w:line="157" w:lineRule="exact"/>
              <w:rPr>
                <w:sz w:val="20"/>
                <w:szCs w:val="20"/>
                <w:color w:val="auto"/>
              </w:rPr>
            </w:pPr>
            <w:r>
              <w:rPr>
                <w:rFonts w:ascii="Arial" w:cs="Arial" w:eastAsia="Arial" w:hAnsi="Arial"/>
                <w:sz w:val="14"/>
                <w:szCs w:val="14"/>
                <w:color w:val="auto"/>
              </w:rPr>
              <w:t>2020</w:t>
            </w:r>
          </w:p>
        </w:tc>
        <w:tc>
          <w:tcPr>
            <w:tcW w:w="780" w:type="dxa"/>
            <w:vAlign w:val="bottom"/>
            <w:tcBorders>
              <w:bottom w:val="single" w:sz="8" w:color="04568A"/>
            </w:tcBorders>
          </w:tcPr>
          <w:p>
            <w:pPr>
              <w:jc w:val="right"/>
              <w:ind w:right="68"/>
              <w:spacing w:after="0" w:line="157" w:lineRule="exact"/>
              <w:rPr>
                <w:sz w:val="20"/>
                <w:szCs w:val="20"/>
                <w:color w:val="auto"/>
              </w:rPr>
            </w:pPr>
            <w:r>
              <w:rPr>
                <w:rFonts w:ascii="Arial" w:cs="Arial" w:eastAsia="Arial" w:hAnsi="Arial"/>
                <w:sz w:val="14"/>
                <w:szCs w:val="14"/>
                <w:color w:val="auto"/>
              </w:rPr>
              <w:t>427,308</w:t>
            </w:r>
          </w:p>
        </w:tc>
        <w:tc>
          <w:tcPr>
            <w:tcW w:w="760" w:type="dxa"/>
            <w:vAlign w:val="bottom"/>
            <w:tcBorders>
              <w:bottom w:val="single" w:sz="8" w:color="04568A"/>
            </w:tcBorders>
          </w:tcPr>
          <w:p>
            <w:pPr>
              <w:jc w:val="right"/>
              <w:ind w:right="88"/>
              <w:spacing w:after="0" w:line="157" w:lineRule="exact"/>
              <w:rPr>
                <w:sz w:val="20"/>
                <w:szCs w:val="20"/>
                <w:color w:val="auto"/>
              </w:rPr>
            </w:pPr>
            <w:r>
              <w:rPr>
                <w:rFonts w:ascii="Arial" w:cs="Arial" w:eastAsia="Arial" w:hAnsi="Arial"/>
                <w:sz w:val="14"/>
                <w:szCs w:val="14"/>
                <w:color w:val="auto"/>
              </w:rPr>
              <w:t>—</w:t>
            </w:r>
          </w:p>
        </w:tc>
        <w:tc>
          <w:tcPr>
            <w:tcW w:w="940" w:type="dxa"/>
            <w:vAlign w:val="bottom"/>
            <w:tcBorders>
              <w:bottom w:val="single" w:sz="8" w:color="04568A"/>
            </w:tcBorders>
          </w:tcPr>
          <w:p>
            <w:pPr>
              <w:jc w:val="right"/>
              <w:ind w:right="28"/>
              <w:spacing w:after="0" w:line="157" w:lineRule="exact"/>
              <w:rPr>
                <w:sz w:val="20"/>
                <w:szCs w:val="20"/>
                <w:color w:val="auto"/>
              </w:rPr>
            </w:pPr>
            <w:r>
              <w:rPr>
                <w:rFonts w:ascii="Arial" w:cs="Arial" w:eastAsia="Arial" w:hAnsi="Arial"/>
                <w:sz w:val="14"/>
                <w:szCs w:val="14"/>
                <w:color w:val="auto"/>
              </w:rPr>
              <w:t>1,747,367</w:t>
            </w:r>
          </w:p>
        </w:tc>
        <w:tc>
          <w:tcPr>
            <w:tcW w:w="940" w:type="dxa"/>
            <w:vAlign w:val="bottom"/>
            <w:tcBorders>
              <w:bottom w:val="single" w:sz="8" w:color="04568A"/>
            </w:tcBorders>
          </w:tcPr>
          <w:p>
            <w:pPr>
              <w:jc w:val="right"/>
              <w:ind w:right="109"/>
              <w:spacing w:after="0" w:line="157" w:lineRule="exact"/>
              <w:rPr>
                <w:sz w:val="20"/>
                <w:szCs w:val="20"/>
                <w:color w:val="auto"/>
              </w:rPr>
            </w:pPr>
            <w:r>
              <w:rPr>
                <w:rFonts w:ascii="Arial" w:cs="Arial" w:eastAsia="Arial" w:hAnsi="Arial"/>
                <w:sz w:val="14"/>
                <w:szCs w:val="14"/>
                <w:color w:val="auto"/>
              </w:rPr>
              <w:t>—</w:t>
            </w:r>
          </w:p>
        </w:tc>
        <w:tc>
          <w:tcPr>
            <w:tcW w:w="1160" w:type="dxa"/>
            <w:vAlign w:val="bottom"/>
            <w:tcBorders>
              <w:bottom w:val="single" w:sz="8" w:color="04568A"/>
            </w:tcBorders>
          </w:tcPr>
          <w:p>
            <w:pPr>
              <w:jc w:val="right"/>
              <w:ind w:right="48"/>
              <w:spacing w:after="0" w:line="157" w:lineRule="exact"/>
              <w:rPr>
                <w:sz w:val="20"/>
                <w:szCs w:val="20"/>
                <w:color w:val="auto"/>
              </w:rPr>
            </w:pPr>
            <w:r>
              <w:rPr>
                <w:rFonts w:ascii="Arial" w:cs="Arial" w:eastAsia="Arial" w:hAnsi="Arial"/>
                <w:sz w:val="14"/>
                <w:szCs w:val="14"/>
                <w:color w:val="auto"/>
              </w:rPr>
              <w:t>327,608</w:t>
            </w:r>
          </w:p>
        </w:tc>
        <w:tc>
          <w:tcPr>
            <w:tcW w:w="1420" w:type="dxa"/>
            <w:vAlign w:val="bottom"/>
            <w:tcBorders>
              <w:bottom w:val="single" w:sz="8" w:color="04568A"/>
            </w:tcBorders>
          </w:tcPr>
          <w:p>
            <w:pPr>
              <w:jc w:val="right"/>
              <w:ind w:right="68"/>
              <w:spacing w:after="0" w:line="157" w:lineRule="exact"/>
              <w:rPr>
                <w:sz w:val="20"/>
                <w:szCs w:val="20"/>
                <w:color w:val="auto"/>
              </w:rPr>
            </w:pPr>
            <w:r>
              <w:rPr>
                <w:rFonts w:ascii="Arial" w:cs="Arial" w:eastAsia="Arial" w:hAnsi="Arial"/>
                <w:sz w:val="14"/>
                <w:szCs w:val="14"/>
                <w:color w:val="auto"/>
              </w:rPr>
              <w:t>6,216</w:t>
            </w:r>
          </w:p>
        </w:tc>
        <w:tc>
          <w:tcPr>
            <w:tcW w:w="840" w:type="dxa"/>
            <w:vAlign w:val="bottom"/>
            <w:tcBorders>
              <w:bottom w:val="single" w:sz="8" w:color="04568A"/>
            </w:tcBorders>
          </w:tcPr>
          <w:p>
            <w:pPr>
              <w:jc w:val="right"/>
              <w:spacing w:after="0" w:line="157" w:lineRule="exact"/>
              <w:rPr>
                <w:sz w:val="20"/>
                <w:szCs w:val="20"/>
                <w:color w:val="auto"/>
              </w:rPr>
            </w:pPr>
            <w:r>
              <w:rPr>
                <w:rFonts w:ascii="Arial" w:cs="Arial" w:eastAsia="Arial" w:hAnsi="Arial"/>
                <w:sz w:val="14"/>
                <w:szCs w:val="14"/>
                <w:color w:val="auto"/>
              </w:rPr>
              <w:t>2,508,499</w:t>
            </w:r>
          </w:p>
        </w:tc>
        <w:tc>
          <w:tcPr>
            <w:tcW w:w="0" w:type="dxa"/>
            <w:vAlign w:val="bottom"/>
          </w:tcPr>
          <w:p>
            <w:pPr>
              <w:spacing w:after="0"/>
              <w:rPr>
                <w:sz w:val="1"/>
                <w:szCs w:val="1"/>
                <w:color w:val="auto"/>
              </w:rPr>
            </w:pPr>
          </w:p>
        </w:tc>
      </w:tr>
      <w:tr>
        <w:trPr>
          <w:trHeight w:val="156"/>
        </w:trPr>
        <w:tc>
          <w:tcPr>
            <w:tcW w:w="3640" w:type="dxa"/>
            <w:vAlign w:val="bottom"/>
            <w:shd w:val="clear" w:color="auto" w:fill="E4E9F2"/>
          </w:tcPr>
          <w:p>
            <w:pPr>
              <w:ind w:left="60"/>
              <w:spacing w:after="0" w:line="155" w:lineRule="exact"/>
              <w:rPr>
                <w:sz w:val="20"/>
                <w:szCs w:val="20"/>
                <w:color w:val="auto"/>
              </w:rPr>
            </w:pPr>
            <w:r>
              <w:rPr>
                <w:rFonts w:ascii="Arial" w:cs="Arial" w:eastAsia="Arial" w:hAnsi="Arial"/>
                <w:sz w:val="14"/>
                <w:szCs w:val="14"/>
                <w:b w:val="1"/>
                <w:bCs w:val="1"/>
                <w:color w:val="auto"/>
              </w:rPr>
              <w:t>Andrew Boyer</w:t>
            </w:r>
          </w:p>
        </w:tc>
        <w:tc>
          <w:tcPr>
            <w:tcW w:w="760" w:type="dxa"/>
            <w:vAlign w:val="bottom"/>
            <w:shd w:val="clear" w:color="auto" w:fill="E4E9F2"/>
          </w:tcPr>
          <w:p>
            <w:pPr>
              <w:jc w:val="right"/>
              <w:ind w:right="48"/>
              <w:spacing w:after="0" w:line="155" w:lineRule="exact"/>
              <w:rPr>
                <w:sz w:val="20"/>
                <w:szCs w:val="20"/>
                <w:color w:val="auto"/>
              </w:rPr>
            </w:pPr>
            <w:r>
              <w:rPr>
                <w:rFonts w:ascii="Arial" w:cs="Arial" w:eastAsia="Arial" w:hAnsi="Arial"/>
                <w:sz w:val="14"/>
                <w:szCs w:val="14"/>
                <w:color w:val="auto"/>
              </w:rPr>
              <w:t>2021</w:t>
            </w:r>
          </w:p>
        </w:tc>
        <w:tc>
          <w:tcPr>
            <w:tcW w:w="780" w:type="dxa"/>
            <w:vAlign w:val="bottom"/>
            <w:shd w:val="clear" w:color="auto" w:fill="E4E9F2"/>
          </w:tcPr>
          <w:p>
            <w:pPr>
              <w:jc w:val="right"/>
              <w:ind w:right="68"/>
              <w:spacing w:after="0" w:line="155" w:lineRule="exact"/>
              <w:rPr>
                <w:sz w:val="20"/>
                <w:szCs w:val="20"/>
                <w:color w:val="auto"/>
              </w:rPr>
            </w:pPr>
            <w:r>
              <w:rPr>
                <w:rFonts w:ascii="Arial" w:cs="Arial" w:eastAsia="Arial" w:hAnsi="Arial"/>
                <w:sz w:val="14"/>
                <w:szCs w:val="14"/>
                <w:color w:val="auto"/>
              </w:rPr>
              <w:t>600,000</w:t>
            </w:r>
          </w:p>
        </w:tc>
        <w:tc>
          <w:tcPr>
            <w:tcW w:w="760" w:type="dxa"/>
            <w:vAlign w:val="bottom"/>
            <w:shd w:val="clear" w:color="auto" w:fill="E4E9F2"/>
          </w:tcPr>
          <w:p>
            <w:pPr>
              <w:jc w:val="right"/>
              <w:ind w:right="88"/>
              <w:spacing w:after="0" w:line="155" w:lineRule="exact"/>
              <w:rPr>
                <w:sz w:val="20"/>
                <w:szCs w:val="20"/>
                <w:color w:val="auto"/>
              </w:rPr>
            </w:pPr>
            <w:r>
              <w:rPr>
                <w:rFonts w:ascii="Arial" w:cs="Arial" w:eastAsia="Arial" w:hAnsi="Arial"/>
                <w:sz w:val="14"/>
                <w:szCs w:val="14"/>
                <w:color w:val="auto"/>
              </w:rPr>
              <w:t>—</w:t>
            </w:r>
          </w:p>
        </w:tc>
        <w:tc>
          <w:tcPr>
            <w:tcW w:w="940" w:type="dxa"/>
            <w:vAlign w:val="bottom"/>
            <w:shd w:val="clear" w:color="auto" w:fill="E4E9F2"/>
          </w:tcPr>
          <w:p>
            <w:pPr>
              <w:jc w:val="right"/>
              <w:ind w:right="28"/>
              <w:spacing w:after="0" w:line="155" w:lineRule="exact"/>
              <w:rPr>
                <w:sz w:val="20"/>
                <w:szCs w:val="20"/>
                <w:color w:val="auto"/>
              </w:rPr>
            </w:pPr>
            <w:r>
              <w:rPr>
                <w:rFonts w:ascii="Arial" w:cs="Arial" w:eastAsia="Arial" w:hAnsi="Arial"/>
                <w:sz w:val="14"/>
                <w:szCs w:val="14"/>
                <w:color w:val="auto"/>
              </w:rPr>
              <w:t>1,534,657</w:t>
            </w:r>
          </w:p>
        </w:tc>
        <w:tc>
          <w:tcPr>
            <w:tcW w:w="940" w:type="dxa"/>
            <w:vAlign w:val="bottom"/>
            <w:shd w:val="clear" w:color="auto" w:fill="E4E9F2"/>
          </w:tcPr>
          <w:p>
            <w:pPr>
              <w:jc w:val="right"/>
              <w:ind w:right="109"/>
              <w:spacing w:after="0" w:line="155" w:lineRule="exact"/>
              <w:rPr>
                <w:sz w:val="20"/>
                <w:szCs w:val="20"/>
                <w:color w:val="auto"/>
              </w:rPr>
            </w:pPr>
            <w:r>
              <w:rPr>
                <w:rFonts w:ascii="Arial" w:cs="Arial" w:eastAsia="Arial" w:hAnsi="Arial"/>
                <w:sz w:val="14"/>
                <w:szCs w:val="14"/>
                <w:color w:val="auto"/>
              </w:rPr>
              <w:t>—</w:t>
            </w:r>
          </w:p>
        </w:tc>
        <w:tc>
          <w:tcPr>
            <w:tcW w:w="1160" w:type="dxa"/>
            <w:vAlign w:val="bottom"/>
            <w:shd w:val="clear" w:color="auto" w:fill="E4E9F2"/>
          </w:tcPr>
          <w:p>
            <w:pPr>
              <w:jc w:val="right"/>
              <w:ind w:right="48"/>
              <w:spacing w:after="0" w:line="155" w:lineRule="exact"/>
              <w:rPr>
                <w:sz w:val="20"/>
                <w:szCs w:val="20"/>
                <w:color w:val="auto"/>
              </w:rPr>
            </w:pPr>
            <w:r>
              <w:rPr>
                <w:rFonts w:ascii="Arial" w:cs="Arial" w:eastAsia="Arial" w:hAnsi="Arial"/>
                <w:sz w:val="14"/>
                <w:szCs w:val="14"/>
                <w:color w:val="auto"/>
              </w:rPr>
              <w:t>484,800</w:t>
            </w:r>
          </w:p>
        </w:tc>
        <w:tc>
          <w:tcPr>
            <w:tcW w:w="1420" w:type="dxa"/>
            <w:vAlign w:val="bottom"/>
            <w:shd w:val="clear" w:color="auto" w:fill="E4E9F2"/>
          </w:tcPr>
          <w:p>
            <w:pPr>
              <w:jc w:val="right"/>
              <w:ind w:right="68"/>
              <w:spacing w:after="0" w:line="155" w:lineRule="exact"/>
              <w:rPr>
                <w:sz w:val="20"/>
                <w:szCs w:val="20"/>
                <w:color w:val="auto"/>
              </w:rPr>
            </w:pPr>
            <w:r>
              <w:rPr>
                <w:rFonts w:ascii="Arial" w:cs="Arial" w:eastAsia="Arial" w:hAnsi="Arial"/>
                <w:sz w:val="14"/>
                <w:szCs w:val="14"/>
                <w:color w:val="auto"/>
              </w:rPr>
              <w:t>16,406</w:t>
            </w:r>
          </w:p>
        </w:tc>
        <w:tc>
          <w:tcPr>
            <w:tcW w:w="840" w:type="dxa"/>
            <w:vAlign w:val="bottom"/>
            <w:shd w:val="clear" w:color="auto" w:fill="E4E9F2"/>
          </w:tcPr>
          <w:p>
            <w:pPr>
              <w:jc w:val="right"/>
              <w:spacing w:after="0" w:line="155" w:lineRule="exact"/>
              <w:rPr>
                <w:sz w:val="20"/>
                <w:szCs w:val="20"/>
                <w:color w:val="auto"/>
              </w:rPr>
            </w:pPr>
            <w:r>
              <w:rPr>
                <w:rFonts w:ascii="Arial" w:cs="Arial" w:eastAsia="Arial" w:hAnsi="Arial"/>
                <w:sz w:val="14"/>
                <w:szCs w:val="14"/>
                <w:color w:val="auto"/>
              </w:rPr>
              <w:t>2,635,863</w:t>
            </w:r>
          </w:p>
        </w:tc>
        <w:tc>
          <w:tcPr>
            <w:tcW w:w="0" w:type="dxa"/>
            <w:vAlign w:val="bottom"/>
          </w:tcPr>
          <w:p>
            <w:pPr>
              <w:spacing w:after="0"/>
              <w:rPr>
                <w:sz w:val="1"/>
                <w:szCs w:val="1"/>
                <w:color w:val="auto"/>
              </w:rPr>
            </w:pPr>
          </w:p>
        </w:tc>
      </w:tr>
      <w:tr>
        <w:trPr>
          <w:trHeight w:val="162"/>
        </w:trPr>
        <w:tc>
          <w:tcPr>
            <w:tcW w:w="3640" w:type="dxa"/>
            <w:vAlign w:val="bottom"/>
            <w:shd w:val="clear" w:color="auto" w:fill="E4E9F2"/>
          </w:tcPr>
          <w:p>
            <w:pPr>
              <w:ind w:left="240"/>
              <w:spacing w:after="0"/>
              <w:rPr>
                <w:sz w:val="20"/>
                <w:szCs w:val="20"/>
                <w:color w:val="auto"/>
              </w:rPr>
            </w:pPr>
            <w:r>
              <w:rPr>
                <w:rFonts w:ascii="Arial" w:cs="Arial" w:eastAsia="Arial" w:hAnsi="Arial"/>
                <w:sz w:val="14"/>
                <w:szCs w:val="14"/>
                <w:color w:val="auto"/>
              </w:rPr>
              <w:t>EVP, Chief Commercial Officer -</w:t>
            </w:r>
          </w:p>
        </w:tc>
        <w:tc>
          <w:tcPr>
            <w:tcW w:w="760" w:type="dxa"/>
            <w:vAlign w:val="bottom"/>
            <w:shd w:val="clear" w:color="auto" w:fill="E4E9F2"/>
          </w:tcPr>
          <w:p>
            <w:pPr>
              <w:jc w:val="right"/>
              <w:ind w:right="48"/>
              <w:spacing w:after="0"/>
              <w:rPr>
                <w:sz w:val="20"/>
                <w:szCs w:val="20"/>
                <w:color w:val="auto"/>
              </w:rPr>
            </w:pPr>
            <w:r>
              <w:rPr>
                <w:rFonts w:ascii="Arial" w:cs="Arial" w:eastAsia="Arial" w:hAnsi="Arial"/>
                <w:sz w:val="14"/>
                <w:szCs w:val="14"/>
                <w:color w:val="auto"/>
              </w:rPr>
              <w:t>2020</w:t>
            </w:r>
          </w:p>
        </w:tc>
        <w:tc>
          <w:tcPr>
            <w:tcW w:w="780" w:type="dxa"/>
            <w:vAlign w:val="bottom"/>
            <w:shd w:val="clear" w:color="auto" w:fill="E4E9F2"/>
          </w:tcPr>
          <w:p>
            <w:pPr>
              <w:jc w:val="right"/>
              <w:ind w:right="68"/>
              <w:spacing w:after="0"/>
              <w:rPr>
                <w:sz w:val="20"/>
                <w:szCs w:val="20"/>
                <w:color w:val="auto"/>
              </w:rPr>
            </w:pPr>
            <w:r>
              <w:rPr>
                <w:rFonts w:ascii="Arial" w:cs="Arial" w:eastAsia="Arial" w:hAnsi="Arial"/>
                <w:sz w:val="14"/>
                <w:szCs w:val="14"/>
                <w:color w:val="auto"/>
              </w:rPr>
              <w:t>638,103</w:t>
            </w:r>
          </w:p>
        </w:tc>
        <w:tc>
          <w:tcPr>
            <w:tcW w:w="760" w:type="dxa"/>
            <w:vAlign w:val="bottom"/>
            <w:shd w:val="clear" w:color="auto" w:fill="E4E9F2"/>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shd w:val="clear" w:color="auto" w:fill="E4E9F2"/>
          </w:tcPr>
          <w:p>
            <w:pPr>
              <w:jc w:val="right"/>
              <w:ind w:right="28"/>
              <w:spacing w:after="0"/>
              <w:rPr>
                <w:sz w:val="20"/>
                <w:szCs w:val="20"/>
                <w:color w:val="auto"/>
              </w:rPr>
            </w:pPr>
            <w:r>
              <w:rPr>
                <w:rFonts w:ascii="Arial" w:cs="Arial" w:eastAsia="Arial" w:hAnsi="Arial"/>
                <w:sz w:val="14"/>
                <w:szCs w:val="14"/>
                <w:color w:val="auto"/>
              </w:rPr>
              <w:t>1,239,735</w:t>
            </w:r>
          </w:p>
        </w:tc>
        <w:tc>
          <w:tcPr>
            <w:tcW w:w="940" w:type="dxa"/>
            <w:vAlign w:val="bottom"/>
            <w:shd w:val="clear" w:color="auto" w:fill="E4E9F2"/>
          </w:tcPr>
          <w:p>
            <w:pPr>
              <w:jc w:val="right"/>
              <w:ind w:right="109"/>
              <w:spacing w:after="0"/>
              <w:rPr>
                <w:sz w:val="20"/>
                <w:szCs w:val="20"/>
                <w:color w:val="auto"/>
              </w:rPr>
            </w:pPr>
            <w:r>
              <w:rPr>
                <w:rFonts w:ascii="Arial" w:cs="Arial" w:eastAsia="Arial" w:hAnsi="Arial"/>
                <w:sz w:val="14"/>
                <w:szCs w:val="14"/>
                <w:color w:val="auto"/>
              </w:rPr>
              <w:t>—</w:t>
            </w:r>
          </w:p>
        </w:tc>
        <w:tc>
          <w:tcPr>
            <w:tcW w:w="1160" w:type="dxa"/>
            <w:vAlign w:val="bottom"/>
            <w:shd w:val="clear" w:color="auto" w:fill="E4E9F2"/>
          </w:tcPr>
          <w:p>
            <w:pPr>
              <w:jc w:val="right"/>
              <w:ind w:right="48"/>
              <w:spacing w:after="0"/>
              <w:rPr>
                <w:sz w:val="20"/>
                <w:szCs w:val="20"/>
                <w:color w:val="auto"/>
              </w:rPr>
            </w:pPr>
            <w:r>
              <w:rPr>
                <w:rFonts w:ascii="Arial" w:cs="Arial" w:eastAsia="Arial" w:hAnsi="Arial"/>
                <w:sz w:val="14"/>
                <w:szCs w:val="14"/>
                <w:color w:val="auto"/>
              </w:rPr>
              <w:t>492,480</w:t>
            </w:r>
          </w:p>
        </w:tc>
        <w:tc>
          <w:tcPr>
            <w:tcW w:w="1420" w:type="dxa"/>
            <w:vAlign w:val="bottom"/>
            <w:shd w:val="clear" w:color="auto" w:fill="E4E9F2"/>
          </w:tcPr>
          <w:p>
            <w:pPr>
              <w:jc w:val="right"/>
              <w:ind w:right="68"/>
              <w:spacing w:after="0"/>
              <w:rPr>
                <w:sz w:val="20"/>
                <w:szCs w:val="20"/>
                <w:color w:val="auto"/>
              </w:rPr>
            </w:pPr>
            <w:r>
              <w:rPr>
                <w:rFonts w:ascii="Arial" w:cs="Arial" w:eastAsia="Arial" w:hAnsi="Arial"/>
                <w:sz w:val="14"/>
                <w:szCs w:val="14"/>
                <w:color w:val="auto"/>
              </w:rPr>
              <w:t>16,213</w:t>
            </w:r>
          </w:p>
        </w:tc>
        <w:tc>
          <w:tcPr>
            <w:tcW w:w="840" w:type="dxa"/>
            <w:vAlign w:val="bottom"/>
            <w:shd w:val="clear" w:color="auto" w:fill="E4E9F2"/>
          </w:tcPr>
          <w:p>
            <w:pPr>
              <w:jc w:val="right"/>
              <w:spacing w:after="0"/>
              <w:rPr>
                <w:sz w:val="20"/>
                <w:szCs w:val="20"/>
                <w:color w:val="auto"/>
              </w:rPr>
            </w:pPr>
            <w:r>
              <w:rPr>
                <w:rFonts w:ascii="Arial" w:cs="Arial" w:eastAsia="Arial" w:hAnsi="Arial"/>
                <w:sz w:val="14"/>
                <w:szCs w:val="14"/>
                <w:color w:val="auto"/>
              </w:rPr>
              <w:t>2,386,531</w:t>
            </w:r>
          </w:p>
        </w:tc>
        <w:tc>
          <w:tcPr>
            <w:tcW w:w="0" w:type="dxa"/>
            <w:vAlign w:val="bottom"/>
          </w:tcPr>
          <w:p>
            <w:pPr>
              <w:spacing w:after="0"/>
              <w:rPr>
                <w:sz w:val="1"/>
                <w:szCs w:val="1"/>
                <w:color w:val="auto"/>
              </w:rPr>
            </w:pPr>
          </w:p>
        </w:tc>
      </w:tr>
      <w:tr>
        <w:trPr>
          <w:trHeight w:val="189"/>
        </w:trPr>
        <w:tc>
          <w:tcPr>
            <w:tcW w:w="3640" w:type="dxa"/>
            <w:vAlign w:val="bottom"/>
            <w:tcBorders>
              <w:bottom w:val="single" w:sz="8" w:color="04568A"/>
            </w:tcBorders>
            <w:shd w:val="clear" w:color="auto" w:fill="E4E9F2"/>
          </w:tcPr>
          <w:p>
            <w:pPr>
              <w:ind w:left="240"/>
              <w:spacing w:after="0"/>
              <w:rPr>
                <w:sz w:val="20"/>
                <w:szCs w:val="20"/>
                <w:color w:val="auto"/>
              </w:rPr>
            </w:pPr>
            <w:r>
              <w:rPr>
                <w:rFonts w:ascii="Arial" w:cs="Arial" w:eastAsia="Arial" w:hAnsi="Arial"/>
                <w:sz w:val="14"/>
                <w:szCs w:val="14"/>
                <w:color w:val="auto"/>
              </w:rPr>
              <w:t>Generics</w:t>
            </w:r>
          </w:p>
        </w:tc>
        <w:tc>
          <w:tcPr>
            <w:tcW w:w="760" w:type="dxa"/>
            <w:vAlign w:val="bottom"/>
            <w:tcBorders>
              <w:bottom w:val="single" w:sz="8" w:color="04568A"/>
            </w:tcBorders>
            <w:shd w:val="clear" w:color="auto" w:fill="E4E9F2"/>
          </w:tcPr>
          <w:p>
            <w:pPr>
              <w:jc w:val="right"/>
              <w:ind w:right="48"/>
              <w:spacing w:after="0"/>
              <w:rPr>
                <w:sz w:val="20"/>
                <w:szCs w:val="20"/>
                <w:color w:val="auto"/>
              </w:rPr>
            </w:pPr>
            <w:r>
              <w:rPr>
                <w:rFonts w:ascii="Arial" w:cs="Arial" w:eastAsia="Arial" w:hAnsi="Arial"/>
                <w:sz w:val="14"/>
                <w:szCs w:val="14"/>
                <w:color w:val="auto"/>
              </w:rPr>
              <w:t>2019</w:t>
            </w:r>
          </w:p>
        </w:tc>
        <w:tc>
          <w:tcPr>
            <w:tcW w:w="780" w:type="dxa"/>
            <w:vAlign w:val="bottom"/>
            <w:tcBorders>
              <w:bottom w:val="single" w:sz="8" w:color="04568A"/>
            </w:tcBorders>
            <w:shd w:val="clear" w:color="auto" w:fill="E4E9F2"/>
          </w:tcPr>
          <w:p>
            <w:pPr>
              <w:jc w:val="right"/>
              <w:ind w:right="68"/>
              <w:spacing w:after="0"/>
              <w:rPr>
                <w:sz w:val="20"/>
                <w:szCs w:val="20"/>
                <w:color w:val="auto"/>
              </w:rPr>
            </w:pPr>
            <w:r>
              <w:rPr>
                <w:rFonts w:ascii="Arial" w:cs="Arial" w:eastAsia="Arial" w:hAnsi="Arial"/>
                <w:sz w:val="14"/>
                <w:szCs w:val="14"/>
                <w:color w:val="auto"/>
              </w:rPr>
              <w:t>660,084</w:t>
            </w:r>
          </w:p>
        </w:tc>
        <w:tc>
          <w:tcPr>
            <w:tcW w:w="760" w:type="dxa"/>
            <w:vAlign w:val="bottom"/>
            <w:tcBorders>
              <w:bottom w:val="single" w:sz="8" w:color="04568A"/>
            </w:tcBorders>
            <w:shd w:val="clear" w:color="auto" w:fill="E4E9F2"/>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tcBorders>
              <w:bottom w:val="single" w:sz="8" w:color="04568A"/>
            </w:tcBorders>
            <w:shd w:val="clear" w:color="auto" w:fill="E4E9F2"/>
          </w:tcPr>
          <w:p>
            <w:pPr>
              <w:jc w:val="right"/>
              <w:ind w:right="28"/>
              <w:spacing w:after="0"/>
              <w:rPr>
                <w:sz w:val="20"/>
                <w:szCs w:val="20"/>
                <w:color w:val="auto"/>
              </w:rPr>
            </w:pPr>
            <w:r>
              <w:rPr>
                <w:rFonts w:ascii="Arial" w:cs="Arial" w:eastAsia="Arial" w:hAnsi="Arial"/>
                <w:sz w:val="14"/>
                <w:szCs w:val="14"/>
                <w:color w:val="auto"/>
              </w:rPr>
              <w:t>1,391,119</w:t>
            </w:r>
          </w:p>
        </w:tc>
        <w:tc>
          <w:tcPr>
            <w:tcW w:w="940" w:type="dxa"/>
            <w:vAlign w:val="bottom"/>
            <w:tcBorders>
              <w:bottom w:val="single" w:sz="8" w:color="04568A"/>
            </w:tcBorders>
            <w:shd w:val="clear" w:color="auto" w:fill="E4E9F2"/>
          </w:tcPr>
          <w:p>
            <w:pPr>
              <w:jc w:val="right"/>
              <w:spacing w:after="0" w:line="190" w:lineRule="exact"/>
              <w:rPr>
                <w:sz w:val="20"/>
                <w:szCs w:val="20"/>
                <w:color w:val="auto"/>
              </w:rPr>
            </w:pPr>
            <w:r>
              <w:rPr>
                <w:rFonts w:ascii="Arial" w:cs="Arial" w:eastAsia="Arial" w:hAnsi="Arial"/>
                <w:sz w:val="13"/>
                <w:szCs w:val="13"/>
                <w:color w:val="auto"/>
              </w:rPr>
              <w:t>1,046,868</w:t>
            </w:r>
            <w:r>
              <w:rPr>
                <w:rFonts w:ascii="Arial" w:cs="Arial" w:eastAsia="Arial" w:hAnsi="Arial"/>
                <w:sz w:val="21"/>
                <w:szCs w:val="21"/>
                <w:color w:val="auto"/>
                <w:vertAlign w:val="superscript"/>
              </w:rPr>
              <w:t>(2)</w:t>
            </w:r>
          </w:p>
        </w:tc>
        <w:tc>
          <w:tcPr>
            <w:tcW w:w="1160" w:type="dxa"/>
            <w:vAlign w:val="bottom"/>
            <w:tcBorders>
              <w:bottom w:val="single" w:sz="8" w:color="04568A"/>
            </w:tcBorders>
            <w:shd w:val="clear" w:color="auto" w:fill="E4E9F2"/>
          </w:tcPr>
          <w:p>
            <w:pPr>
              <w:jc w:val="right"/>
              <w:ind w:right="48"/>
              <w:spacing w:after="0"/>
              <w:rPr>
                <w:sz w:val="20"/>
                <w:szCs w:val="20"/>
                <w:color w:val="auto"/>
              </w:rPr>
            </w:pPr>
            <w:r>
              <w:rPr>
                <w:rFonts w:ascii="Arial" w:cs="Arial" w:eastAsia="Arial" w:hAnsi="Arial"/>
                <w:sz w:val="14"/>
                <w:szCs w:val="14"/>
                <w:color w:val="auto"/>
              </w:rPr>
              <w:t>—</w:t>
            </w:r>
          </w:p>
        </w:tc>
        <w:tc>
          <w:tcPr>
            <w:tcW w:w="1420" w:type="dxa"/>
            <w:vAlign w:val="bottom"/>
            <w:tcBorders>
              <w:bottom w:val="single" w:sz="8" w:color="04568A"/>
            </w:tcBorders>
            <w:shd w:val="clear" w:color="auto" w:fill="E4E9F2"/>
          </w:tcPr>
          <w:p>
            <w:pPr>
              <w:jc w:val="right"/>
              <w:ind w:right="68"/>
              <w:spacing w:after="0"/>
              <w:rPr>
                <w:sz w:val="20"/>
                <w:szCs w:val="20"/>
                <w:color w:val="auto"/>
              </w:rPr>
            </w:pPr>
            <w:r>
              <w:rPr>
                <w:rFonts w:ascii="Arial" w:cs="Arial" w:eastAsia="Arial" w:hAnsi="Arial"/>
                <w:sz w:val="14"/>
                <w:szCs w:val="14"/>
                <w:color w:val="auto"/>
              </w:rPr>
              <w:t>15,008</w:t>
            </w:r>
          </w:p>
        </w:tc>
        <w:tc>
          <w:tcPr>
            <w:tcW w:w="84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4"/>
                <w:szCs w:val="14"/>
                <w:color w:val="auto"/>
              </w:rPr>
              <w:t>3,113,079</w:t>
            </w:r>
          </w:p>
        </w:tc>
        <w:tc>
          <w:tcPr>
            <w:tcW w:w="0" w:type="dxa"/>
            <w:vAlign w:val="bottom"/>
          </w:tcPr>
          <w:p>
            <w:pPr>
              <w:spacing w:after="0"/>
              <w:rPr>
                <w:sz w:val="1"/>
                <w:szCs w:val="1"/>
                <w:color w:val="auto"/>
              </w:rPr>
            </w:pPr>
          </w:p>
        </w:tc>
      </w:tr>
      <w:tr>
        <w:trPr>
          <w:trHeight w:val="160"/>
        </w:trPr>
        <w:tc>
          <w:tcPr>
            <w:tcW w:w="3640" w:type="dxa"/>
            <w:vAlign w:val="bottom"/>
          </w:tcPr>
          <w:p>
            <w:pPr>
              <w:ind w:left="60"/>
              <w:spacing w:after="0"/>
              <w:rPr>
                <w:sz w:val="20"/>
                <w:szCs w:val="20"/>
                <w:color w:val="auto"/>
              </w:rPr>
            </w:pPr>
            <w:r>
              <w:rPr>
                <w:rFonts w:ascii="Arial" w:cs="Arial" w:eastAsia="Arial" w:hAnsi="Arial"/>
                <w:sz w:val="14"/>
                <w:szCs w:val="14"/>
                <w:b w:val="1"/>
                <w:bCs w:val="1"/>
                <w:color w:val="auto"/>
              </w:rPr>
              <w:t>Joseph Todisco</w:t>
            </w:r>
          </w:p>
        </w:tc>
        <w:tc>
          <w:tcPr>
            <w:tcW w:w="760" w:type="dxa"/>
            <w:vAlign w:val="bottom"/>
          </w:tcPr>
          <w:p>
            <w:pPr>
              <w:jc w:val="right"/>
              <w:ind w:right="48"/>
              <w:spacing w:after="0"/>
              <w:rPr>
                <w:sz w:val="20"/>
                <w:szCs w:val="20"/>
                <w:color w:val="auto"/>
              </w:rPr>
            </w:pPr>
            <w:r>
              <w:rPr>
                <w:rFonts w:ascii="Arial" w:cs="Arial" w:eastAsia="Arial" w:hAnsi="Arial"/>
                <w:sz w:val="14"/>
                <w:szCs w:val="14"/>
                <w:color w:val="auto"/>
              </w:rPr>
              <w:t>2021</w:t>
            </w:r>
          </w:p>
        </w:tc>
        <w:tc>
          <w:tcPr>
            <w:tcW w:w="780" w:type="dxa"/>
            <w:vAlign w:val="bottom"/>
          </w:tcPr>
          <w:p>
            <w:pPr>
              <w:jc w:val="right"/>
              <w:ind w:right="68"/>
              <w:spacing w:after="0"/>
              <w:rPr>
                <w:sz w:val="20"/>
                <w:szCs w:val="20"/>
                <w:color w:val="auto"/>
              </w:rPr>
            </w:pPr>
            <w:r>
              <w:rPr>
                <w:rFonts w:ascii="Arial" w:cs="Arial" w:eastAsia="Arial" w:hAnsi="Arial"/>
                <w:sz w:val="14"/>
                <w:szCs w:val="14"/>
                <w:color w:val="auto"/>
              </w:rPr>
              <w:t>523,615</w:t>
            </w:r>
          </w:p>
        </w:tc>
        <w:tc>
          <w:tcPr>
            <w:tcW w:w="760" w:type="dxa"/>
            <w:vAlign w:val="bottom"/>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tcPr>
          <w:p>
            <w:pPr>
              <w:jc w:val="right"/>
              <w:ind w:right="28"/>
              <w:spacing w:after="0"/>
              <w:rPr>
                <w:sz w:val="20"/>
                <w:szCs w:val="20"/>
                <w:color w:val="auto"/>
              </w:rPr>
            </w:pPr>
            <w:r>
              <w:rPr>
                <w:rFonts w:ascii="Arial" w:cs="Arial" w:eastAsia="Arial" w:hAnsi="Arial"/>
                <w:sz w:val="14"/>
                <w:szCs w:val="14"/>
                <w:color w:val="auto"/>
              </w:rPr>
              <w:t>1,298,557</w:t>
            </w:r>
          </w:p>
        </w:tc>
        <w:tc>
          <w:tcPr>
            <w:tcW w:w="940" w:type="dxa"/>
            <w:vAlign w:val="bottom"/>
          </w:tcPr>
          <w:p>
            <w:pPr>
              <w:jc w:val="right"/>
              <w:ind w:right="109"/>
              <w:spacing w:after="0"/>
              <w:rPr>
                <w:sz w:val="20"/>
                <w:szCs w:val="20"/>
                <w:color w:val="auto"/>
              </w:rPr>
            </w:pPr>
            <w:r>
              <w:rPr>
                <w:rFonts w:ascii="Arial" w:cs="Arial" w:eastAsia="Arial" w:hAnsi="Arial"/>
                <w:sz w:val="14"/>
                <w:szCs w:val="14"/>
                <w:color w:val="auto"/>
              </w:rPr>
              <w:t>—</w:t>
            </w:r>
          </w:p>
        </w:tc>
        <w:tc>
          <w:tcPr>
            <w:tcW w:w="1160" w:type="dxa"/>
            <w:vAlign w:val="bottom"/>
          </w:tcPr>
          <w:p>
            <w:pPr>
              <w:jc w:val="right"/>
              <w:ind w:right="48"/>
              <w:spacing w:after="0"/>
              <w:rPr>
                <w:sz w:val="20"/>
                <w:szCs w:val="20"/>
                <w:color w:val="auto"/>
              </w:rPr>
            </w:pPr>
            <w:r>
              <w:rPr>
                <w:rFonts w:ascii="Arial" w:cs="Arial" w:eastAsia="Arial" w:hAnsi="Arial"/>
                <w:sz w:val="14"/>
                <w:szCs w:val="14"/>
                <w:color w:val="auto"/>
              </w:rPr>
              <w:t>318,150</w:t>
            </w:r>
          </w:p>
        </w:tc>
        <w:tc>
          <w:tcPr>
            <w:tcW w:w="1420" w:type="dxa"/>
            <w:vAlign w:val="bottom"/>
          </w:tcPr>
          <w:p>
            <w:pPr>
              <w:jc w:val="right"/>
              <w:ind w:right="68"/>
              <w:spacing w:after="0"/>
              <w:rPr>
                <w:sz w:val="20"/>
                <w:szCs w:val="20"/>
                <w:color w:val="auto"/>
              </w:rPr>
            </w:pPr>
            <w:r>
              <w:rPr>
                <w:rFonts w:ascii="Arial" w:cs="Arial" w:eastAsia="Arial" w:hAnsi="Arial"/>
                <w:sz w:val="14"/>
                <w:szCs w:val="14"/>
                <w:color w:val="auto"/>
              </w:rPr>
              <w:t>16,287</w:t>
            </w:r>
          </w:p>
        </w:tc>
        <w:tc>
          <w:tcPr>
            <w:tcW w:w="840" w:type="dxa"/>
            <w:vAlign w:val="bottom"/>
          </w:tcPr>
          <w:p>
            <w:pPr>
              <w:jc w:val="right"/>
              <w:spacing w:after="0"/>
              <w:rPr>
                <w:sz w:val="20"/>
                <w:szCs w:val="20"/>
                <w:color w:val="auto"/>
              </w:rPr>
            </w:pPr>
            <w:r>
              <w:rPr>
                <w:rFonts w:ascii="Arial" w:cs="Arial" w:eastAsia="Arial" w:hAnsi="Arial"/>
                <w:sz w:val="14"/>
                <w:szCs w:val="14"/>
                <w:color w:val="auto"/>
              </w:rPr>
              <w:t>2,156,610</w:t>
            </w:r>
          </w:p>
        </w:tc>
        <w:tc>
          <w:tcPr>
            <w:tcW w:w="0" w:type="dxa"/>
            <w:vAlign w:val="bottom"/>
          </w:tcPr>
          <w:p>
            <w:pPr>
              <w:spacing w:after="0"/>
              <w:rPr>
                <w:sz w:val="1"/>
                <w:szCs w:val="1"/>
                <w:color w:val="auto"/>
              </w:rPr>
            </w:pPr>
          </w:p>
        </w:tc>
      </w:tr>
      <w:tr>
        <w:trPr>
          <w:trHeight w:val="157"/>
        </w:trPr>
        <w:tc>
          <w:tcPr>
            <w:tcW w:w="3640" w:type="dxa"/>
            <w:vAlign w:val="bottom"/>
            <w:tcBorders>
              <w:bottom w:val="single" w:sz="8" w:color="04568A"/>
            </w:tcBorders>
          </w:tcPr>
          <w:p>
            <w:pPr>
              <w:ind w:left="240"/>
              <w:spacing w:after="0" w:line="157" w:lineRule="exact"/>
              <w:rPr>
                <w:sz w:val="20"/>
                <w:szCs w:val="20"/>
                <w:color w:val="auto"/>
              </w:rPr>
            </w:pPr>
            <w:r>
              <w:rPr>
                <w:rFonts w:ascii="Arial" w:cs="Arial" w:eastAsia="Arial" w:hAnsi="Arial"/>
                <w:sz w:val="14"/>
                <w:szCs w:val="14"/>
                <w:color w:val="auto"/>
              </w:rPr>
              <w:t>EVP, Chief Commercial Officer - Specialty</w:t>
            </w:r>
          </w:p>
        </w:tc>
        <w:tc>
          <w:tcPr>
            <w:tcW w:w="760" w:type="dxa"/>
            <w:vAlign w:val="bottom"/>
            <w:tcBorders>
              <w:bottom w:val="single" w:sz="8" w:color="04568A"/>
            </w:tcBorders>
          </w:tcPr>
          <w:p>
            <w:pPr>
              <w:jc w:val="right"/>
              <w:ind w:right="48"/>
              <w:spacing w:after="0" w:line="157" w:lineRule="exact"/>
              <w:rPr>
                <w:sz w:val="20"/>
                <w:szCs w:val="20"/>
                <w:color w:val="auto"/>
              </w:rPr>
            </w:pPr>
            <w:r>
              <w:rPr>
                <w:rFonts w:ascii="Arial" w:cs="Arial" w:eastAsia="Arial" w:hAnsi="Arial"/>
                <w:sz w:val="14"/>
                <w:szCs w:val="14"/>
                <w:color w:val="auto"/>
              </w:rPr>
              <w:t>2020</w:t>
            </w:r>
          </w:p>
        </w:tc>
        <w:tc>
          <w:tcPr>
            <w:tcW w:w="780" w:type="dxa"/>
            <w:vAlign w:val="bottom"/>
            <w:tcBorders>
              <w:bottom w:val="single" w:sz="8" w:color="04568A"/>
            </w:tcBorders>
          </w:tcPr>
          <w:p>
            <w:pPr>
              <w:jc w:val="right"/>
              <w:ind w:right="68"/>
              <w:spacing w:after="0" w:line="157" w:lineRule="exact"/>
              <w:rPr>
                <w:sz w:val="20"/>
                <w:szCs w:val="20"/>
                <w:color w:val="auto"/>
              </w:rPr>
            </w:pPr>
            <w:r>
              <w:rPr>
                <w:rFonts w:ascii="Arial" w:cs="Arial" w:eastAsia="Arial" w:hAnsi="Arial"/>
                <w:sz w:val="14"/>
                <w:szCs w:val="14"/>
                <w:color w:val="auto"/>
              </w:rPr>
              <w:t>458,539</w:t>
            </w:r>
          </w:p>
        </w:tc>
        <w:tc>
          <w:tcPr>
            <w:tcW w:w="760" w:type="dxa"/>
            <w:vAlign w:val="bottom"/>
            <w:tcBorders>
              <w:bottom w:val="single" w:sz="8" w:color="04568A"/>
            </w:tcBorders>
          </w:tcPr>
          <w:p>
            <w:pPr>
              <w:jc w:val="right"/>
              <w:ind w:right="88"/>
              <w:spacing w:after="0" w:line="157" w:lineRule="exact"/>
              <w:rPr>
                <w:sz w:val="20"/>
                <w:szCs w:val="20"/>
                <w:color w:val="auto"/>
              </w:rPr>
            </w:pPr>
            <w:r>
              <w:rPr>
                <w:rFonts w:ascii="Arial" w:cs="Arial" w:eastAsia="Arial" w:hAnsi="Arial"/>
                <w:sz w:val="14"/>
                <w:szCs w:val="14"/>
                <w:color w:val="auto"/>
              </w:rPr>
              <w:t>—</w:t>
            </w:r>
          </w:p>
        </w:tc>
        <w:tc>
          <w:tcPr>
            <w:tcW w:w="940" w:type="dxa"/>
            <w:vAlign w:val="bottom"/>
            <w:tcBorders>
              <w:bottom w:val="single" w:sz="8" w:color="04568A"/>
            </w:tcBorders>
          </w:tcPr>
          <w:p>
            <w:pPr>
              <w:jc w:val="right"/>
              <w:ind w:right="28"/>
              <w:spacing w:after="0" w:line="157" w:lineRule="exact"/>
              <w:rPr>
                <w:sz w:val="20"/>
                <w:szCs w:val="20"/>
                <w:color w:val="auto"/>
              </w:rPr>
            </w:pPr>
            <w:r>
              <w:rPr>
                <w:rFonts w:ascii="Arial" w:cs="Arial" w:eastAsia="Arial" w:hAnsi="Arial"/>
                <w:sz w:val="14"/>
                <w:szCs w:val="14"/>
                <w:color w:val="auto"/>
              </w:rPr>
              <w:t>881,006</w:t>
            </w:r>
          </w:p>
        </w:tc>
        <w:tc>
          <w:tcPr>
            <w:tcW w:w="940" w:type="dxa"/>
            <w:vAlign w:val="bottom"/>
            <w:tcBorders>
              <w:bottom w:val="single" w:sz="8" w:color="04568A"/>
            </w:tcBorders>
          </w:tcPr>
          <w:p>
            <w:pPr>
              <w:jc w:val="right"/>
              <w:ind w:right="109"/>
              <w:spacing w:after="0" w:line="157" w:lineRule="exact"/>
              <w:rPr>
                <w:sz w:val="20"/>
                <w:szCs w:val="20"/>
                <w:color w:val="auto"/>
              </w:rPr>
            </w:pPr>
            <w:r>
              <w:rPr>
                <w:rFonts w:ascii="Arial" w:cs="Arial" w:eastAsia="Arial" w:hAnsi="Arial"/>
                <w:sz w:val="14"/>
                <w:szCs w:val="14"/>
                <w:color w:val="auto"/>
              </w:rPr>
              <w:t>—</w:t>
            </w:r>
          </w:p>
        </w:tc>
        <w:tc>
          <w:tcPr>
            <w:tcW w:w="1160" w:type="dxa"/>
            <w:vAlign w:val="bottom"/>
            <w:tcBorders>
              <w:bottom w:val="single" w:sz="8" w:color="04568A"/>
            </w:tcBorders>
          </w:tcPr>
          <w:p>
            <w:pPr>
              <w:jc w:val="right"/>
              <w:ind w:right="48"/>
              <w:spacing w:after="0" w:line="157" w:lineRule="exact"/>
              <w:rPr>
                <w:sz w:val="20"/>
                <w:szCs w:val="20"/>
                <w:color w:val="auto"/>
              </w:rPr>
            </w:pPr>
            <w:r>
              <w:rPr>
                <w:rFonts w:ascii="Arial" w:cs="Arial" w:eastAsia="Arial" w:hAnsi="Arial"/>
                <w:sz w:val="14"/>
                <w:szCs w:val="14"/>
                <w:color w:val="auto"/>
              </w:rPr>
              <w:t>315,153</w:t>
            </w:r>
          </w:p>
        </w:tc>
        <w:tc>
          <w:tcPr>
            <w:tcW w:w="1420" w:type="dxa"/>
            <w:vAlign w:val="bottom"/>
            <w:tcBorders>
              <w:bottom w:val="single" w:sz="8" w:color="04568A"/>
            </w:tcBorders>
          </w:tcPr>
          <w:p>
            <w:pPr>
              <w:jc w:val="right"/>
              <w:ind w:right="68"/>
              <w:spacing w:after="0" w:line="157" w:lineRule="exact"/>
              <w:rPr>
                <w:sz w:val="20"/>
                <w:szCs w:val="20"/>
                <w:color w:val="auto"/>
              </w:rPr>
            </w:pPr>
            <w:r>
              <w:rPr>
                <w:rFonts w:ascii="Arial" w:cs="Arial" w:eastAsia="Arial" w:hAnsi="Arial"/>
                <w:sz w:val="14"/>
                <w:szCs w:val="14"/>
                <w:color w:val="auto"/>
              </w:rPr>
              <w:t>16,431</w:t>
            </w:r>
          </w:p>
        </w:tc>
        <w:tc>
          <w:tcPr>
            <w:tcW w:w="840" w:type="dxa"/>
            <w:vAlign w:val="bottom"/>
            <w:tcBorders>
              <w:bottom w:val="single" w:sz="8" w:color="04568A"/>
            </w:tcBorders>
          </w:tcPr>
          <w:p>
            <w:pPr>
              <w:jc w:val="right"/>
              <w:spacing w:after="0" w:line="157" w:lineRule="exact"/>
              <w:rPr>
                <w:sz w:val="20"/>
                <w:szCs w:val="20"/>
                <w:color w:val="auto"/>
              </w:rPr>
            </w:pPr>
            <w:r>
              <w:rPr>
                <w:rFonts w:ascii="Arial" w:cs="Arial" w:eastAsia="Arial" w:hAnsi="Arial"/>
                <w:sz w:val="14"/>
                <w:szCs w:val="14"/>
                <w:color w:val="auto"/>
              </w:rPr>
              <w:t>1,671,129</w:t>
            </w:r>
          </w:p>
        </w:tc>
        <w:tc>
          <w:tcPr>
            <w:tcW w:w="0" w:type="dxa"/>
            <w:vAlign w:val="bottom"/>
          </w:tcPr>
          <w:p>
            <w:pPr>
              <w:spacing w:after="0"/>
              <w:rPr>
                <w:sz w:val="1"/>
                <w:szCs w:val="1"/>
                <w:color w:val="auto"/>
              </w:rPr>
            </w:pPr>
          </w:p>
        </w:tc>
      </w:tr>
      <w:tr>
        <w:trPr>
          <w:trHeight w:val="155"/>
        </w:trPr>
        <w:tc>
          <w:tcPr>
            <w:tcW w:w="3640" w:type="dxa"/>
            <w:vAlign w:val="bottom"/>
            <w:shd w:val="clear" w:color="auto" w:fill="E4E9F2"/>
          </w:tcPr>
          <w:p>
            <w:pPr>
              <w:ind w:left="60"/>
              <w:spacing w:after="0" w:line="155" w:lineRule="exact"/>
              <w:rPr>
                <w:sz w:val="20"/>
                <w:szCs w:val="20"/>
                <w:color w:val="auto"/>
              </w:rPr>
            </w:pPr>
            <w:r>
              <w:rPr>
                <w:rFonts w:ascii="Arial" w:cs="Arial" w:eastAsia="Arial" w:hAnsi="Arial"/>
                <w:sz w:val="14"/>
                <w:szCs w:val="14"/>
                <w:b w:val="1"/>
                <w:bCs w:val="1"/>
                <w:color w:val="auto"/>
              </w:rPr>
              <w:t>Nikita Shah</w:t>
            </w:r>
          </w:p>
        </w:tc>
        <w:tc>
          <w:tcPr>
            <w:tcW w:w="760" w:type="dxa"/>
            <w:vAlign w:val="bottom"/>
            <w:shd w:val="clear" w:color="auto" w:fill="E4E9F2"/>
          </w:tcPr>
          <w:p>
            <w:pPr>
              <w:jc w:val="right"/>
              <w:ind w:right="48"/>
              <w:spacing w:after="0" w:line="155" w:lineRule="exact"/>
              <w:rPr>
                <w:sz w:val="20"/>
                <w:szCs w:val="20"/>
                <w:color w:val="auto"/>
              </w:rPr>
            </w:pPr>
            <w:r>
              <w:rPr>
                <w:rFonts w:ascii="Arial" w:cs="Arial" w:eastAsia="Arial" w:hAnsi="Arial"/>
                <w:sz w:val="14"/>
                <w:szCs w:val="14"/>
                <w:color w:val="auto"/>
              </w:rPr>
              <w:t>2021</w:t>
            </w:r>
          </w:p>
        </w:tc>
        <w:tc>
          <w:tcPr>
            <w:tcW w:w="780" w:type="dxa"/>
            <w:vAlign w:val="bottom"/>
            <w:shd w:val="clear" w:color="auto" w:fill="E4E9F2"/>
          </w:tcPr>
          <w:p>
            <w:pPr>
              <w:jc w:val="right"/>
              <w:ind w:right="68"/>
              <w:spacing w:after="0" w:line="155" w:lineRule="exact"/>
              <w:rPr>
                <w:sz w:val="20"/>
                <w:szCs w:val="20"/>
                <w:color w:val="auto"/>
              </w:rPr>
            </w:pPr>
            <w:r>
              <w:rPr>
                <w:rFonts w:ascii="Arial" w:cs="Arial" w:eastAsia="Arial" w:hAnsi="Arial"/>
                <w:sz w:val="14"/>
                <w:szCs w:val="14"/>
                <w:color w:val="auto"/>
              </w:rPr>
              <w:t>483,789</w:t>
            </w:r>
          </w:p>
        </w:tc>
        <w:tc>
          <w:tcPr>
            <w:tcW w:w="760" w:type="dxa"/>
            <w:vAlign w:val="bottom"/>
            <w:shd w:val="clear" w:color="auto" w:fill="E4E9F2"/>
          </w:tcPr>
          <w:p>
            <w:pPr>
              <w:jc w:val="right"/>
              <w:ind w:right="88"/>
              <w:spacing w:after="0" w:line="155" w:lineRule="exact"/>
              <w:rPr>
                <w:sz w:val="20"/>
                <w:szCs w:val="20"/>
                <w:color w:val="auto"/>
              </w:rPr>
            </w:pPr>
            <w:r>
              <w:rPr>
                <w:rFonts w:ascii="Arial" w:cs="Arial" w:eastAsia="Arial" w:hAnsi="Arial"/>
                <w:sz w:val="14"/>
                <w:szCs w:val="14"/>
                <w:color w:val="auto"/>
              </w:rPr>
              <w:t>—</w:t>
            </w:r>
          </w:p>
        </w:tc>
        <w:tc>
          <w:tcPr>
            <w:tcW w:w="940" w:type="dxa"/>
            <w:vAlign w:val="bottom"/>
            <w:shd w:val="clear" w:color="auto" w:fill="E4E9F2"/>
          </w:tcPr>
          <w:p>
            <w:pPr>
              <w:jc w:val="right"/>
              <w:ind w:right="28"/>
              <w:spacing w:after="0" w:line="155" w:lineRule="exact"/>
              <w:rPr>
                <w:sz w:val="20"/>
                <w:szCs w:val="20"/>
                <w:color w:val="auto"/>
              </w:rPr>
            </w:pPr>
            <w:r>
              <w:rPr>
                <w:rFonts w:ascii="Arial" w:cs="Arial" w:eastAsia="Arial" w:hAnsi="Arial"/>
                <w:sz w:val="14"/>
                <w:szCs w:val="14"/>
                <w:color w:val="auto"/>
              </w:rPr>
              <w:t>1,416,601</w:t>
            </w:r>
          </w:p>
        </w:tc>
        <w:tc>
          <w:tcPr>
            <w:tcW w:w="940" w:type="dxa"/>
            <w:vAlign w:val="bottom"/>
            <w:shd w:val="clear" w:color="auto" w:fill="E4E9F2"/>
          </w:tcPr>
          <w:p>
            <w:pPr>
              <w:jc w:val="right"/>
              <w:ind w:right="109"/>
              <w:spacing w:after="0" w:line="155" w:lineRule="exact"/>
              <w:rPr>
                <w:sz w:val="20"/>
                <w:szCs w:val="20"/>
                <w:color w:val="auto"/>
              </w:rPr>
            </w:pPr>
            <w:r>
              <w:rPr>
                <w:rFonts w:ascii="Arial" w:cs="Arial" w:eastAsia="Arial" w:hAnsi="Arial"/>
                <w:sz w:val="14"/>
                <w:szCs w:val="14"/>
                <w:color w:val="auto"/>
              </w:rPr>
              <w:t>—</w:t>
            </w:r>
          </w:p>
        </w:tc>
        <w:tc>
          <w:tcPr>
            <w:tcW w:w="1160" w:type="dxa"/>
            <w:vAlign w:val="bottom"/>
            <w:shd w:val="clear" w:color="auto" w:fill="E4E9F2"/>
          </w:tcPr>
          <w:p>
            <w:pPr>
              <w:jc w:val="right"/>
              <w:ind w:right="48"/>
              <w:spacing w:after="0" w:line="155" w:lineRule="exact"/>
              <w:rPr>
                <w:sz w:val="20"/>
                <w:szCs w:val="20"/>
                <w:color w:val="auto"/>
              </w:rPr>
            </w:pPr>
            <w:r>
              <w:rPr>
                <w:rFonts w:ascii="Arial" w:cs="Arial" w:eastAsia="Arial" w:hAnsi="Arial"/>
                <w:sz w:val="14"/>
                <w:szCs w:val="14"/>
                <w:color w:val="auto"/>
              </w:rPr>
              <w:t>307,136</w:t>
            </w:r>
          </w:p>
        </w:tc>
        <w:tc>
          <w:tcPr>
            <w:tcW w:w="1420" w:type="dxa"/>
            <w:vAlign w:val="bottom"/>
            <w:shd w:val="clear" w:color="auto" w:fill="E4E9F2"/>
          </w:tcPr>
          <w:p>
            <w:pPr>
              <w:jc w:val="right"/>
              <w:ind w:right="68"/>
              <w:spacing w:after="0" w:line="155" w:lineRule="exact"/>
              <w:rPr>
                <w:sz w:val="20"/>
                <w:szCs w:val="20"/>
                <w:color w:val="auto"/>
              </w:rPr>
            </w:pPr>
            <w:r>
              <w:rPr>
                <w:rFonts w:ascii="Arial" w:cs="Arial" w:eastAsia="Arial" w:hAnsi="Arial"/>
                <w:sz w:val="14"/>
                <w:szCs w:val="14"/>
                <w:color w:val="auto"/>
              </w:rPr>
              <w:t>16,169</w:t>
            </w:r>
          </w:p>
        </w:tc>
        <w:tc>
          <w:tcPr>
            <w:tcW w:w="840" w:type="dxa"/>
            <w:vAlign w:val="bottom"/>
            <w:shd w:val="clear" w:color="auto" w:fill="E4E9F2"/>
          </w:tcPr>
          <w:p>
            <w:pPr>
              <w:jc w:val="right"/>
              <w:spacing w:after="0" w:line="155" w:lineRule="exact"/>
              <w:rPr>
                <w:sz w:val="20"/>
                <w:szCs w:val="20"/>
                <w:color w:val="auto"/>
              </w:rPr>
            </w:pPr>
            <w:r>
              <w:rPr>
                <w:rFonts w:ascii="Arial" w:cs="Arial" w:eastAsia="Arial" w:hAnsi="Arial"/>
                <w:sz w:val="14"/>
                <w:szCs w:val="14"/>
                <w:color w:val="auto"/>
              </w:rPr>
              <w:t>2,223,694</w:t>
            </w:r>
          </w:p>
        </w:tc>
        <w:tc>
          <w:tcPr>
            <w:tcW w:w="0" w:type="dxa"/>
            <w:vAlign w:val="bottom"/>
          </w:tcPr>
          <w:p>
            <w:pPr>
              <w:spacing w:after="0"/>
              <w:rPr>
                <w:sz w:val="1"/>
                <w:szCs w:val="1"/>
                <w:color w:val="auto"/>
              </w:rPr>
            </w:pPr>
          </w:p>
        </w:tc>
      </w:tr>
      <w:tr>
        <w:trPr>
          <w:trHeight w:val="162"/>
        </w:trPr>
        <w:tc>
          <w:tcPr>
            <w:tcW w:w="3640" w:type="dxa"/>
            <w:vAlign w:val="bottom"/>
            <w:shd w:val="clear" w:color="auto" w:fill="E4E9F2"/>
          </w:tcPr>
          <w:p>
            <w:pPr>
              <w:ind w:left="240"/>
              <w:spacing w:after="0"/>
              <w:rPr>
                <w:sz w:val="20"/>
                <w:szCs w:val="20"/>
                <w:color w:val="auto"/>
              </w:rPr>
            </w:pPr>
            <w:r>
              <w:rPr>
                <w:rFonts w:ascii="Arial" w:cs="Arial" w:eastAsia="Arial" w:hAnsi="Arial"/>
                <w:sz w:val="14"/>
                <w:szCs w:val="14"/>
                <w:color w:val="auto"/>
              </w:rPr>
              <w:t>EVP, CHRO &amp; Strategic Planning Officer</w:t>
            </w:r>
          </w:p>
        </w:tc>
        <w:tc>
          <w:tcPr>
            <w:tcW w:w="760" w:type="dxa"/>
            <w:vAlign w:val="bottom"/>
            <w:shd w:val="clear" w:color="auto" w:fill="E4E9F2"/>
          </w:tcPr>
          <w:p>
            <w:pPr>
              <w:jc w:val="right"/>
              <w:ind w:right="48"/>
              <w:spacing w:after="0"/>
              <w:rPr>
                <w:sz w:val="20"/>
                <w:szCs w:val="20"/>
                <w:color w:val="auto"/>
              </w:rPr>
            </w:pPr>
            <w:r>
              <w:rPr>
                <w:rFonts w:ascii="Arial" w:cs="Arial" w:eastAsia="Arial" w:hAnsi="Arial"/>
                <w:sz w:val="14"/>
                <w:szCs w:val="14"/>
                <w:color w:val="auto"/>
              </w:rPr>
              <w:t>2020</w:t>
            </w:r>
          </w:p>
        </w:tc>
        <w:tc>
          <w:tcPr>
            <w:tcW w:w="780" w:type="dxa"/>
            <w:vAlign w:val="bottom"/>
            <w:shd w:val="clear" w:color="auto" w:fill="E4E9F2"/>
          </w:tcPr>
          <w:p>
            <w:pPr>
              <w:jc w:val="right"/>
              <w:ind w:right="68"/>
              <w:spacing w:after="0"/>
              <w:rPr>
                <w:sz w:val="20"/>
                <w:szCs w:val="20"/>
                <w:color w:val="auto"/>
              </w:rPr>
            </w:pPr>
            <w:r>
              <w:rPr>
                <w:rFonts w:ascii="Arial" w:cs="Arial" w:eastAsia="Arial" w:hAnsi="Arial"/>
                <w:sz w:val="14"/>
                <w:szCs w:val="14"/>
                <w:color w:val="auto"/>
              </w:rPr>
              <w:t>422,491</w:t>
            </w:r>
          </w:p>
        </w:tc>
        <w:tc>
          <w:tcPr>
            <w:tcW w:w="760" w:type="dxa"/>
            <w:vAlign w:val="bottom"/>
            <w:shd w:val="clear" w:color="auto" w:fill="E4E9F2"/>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shd w:val="clear" w:color="auto" w:fill="E4E9F2"/>
          </w:tcPr>
          <w:p>
            <w:pPr>
              <w:jc w:val="right"/>
              <w:ind w:right="28"/>
              <w:spacing w:after="0"/>
              <w:rPr>
                <w:sz w:val="20"/>
                <w:szCs w:val="20"/>
                <w:color w:val="auto"/>
              </w:rPr>
            </w:pPr>
            <w:r>
              <w:rPr>
                <w:rFonts w:ascii="Arial" w:cs="Arial" w:eastAsia="Arial" w:hAnsi="Arial"/>
                <w:sz w:val="14"/>
                <w:szCs w:val="14"/>
                <w:color w:val="auto"/>
              </w:rPr>
              <w:t>1,057,202</w:t>
            </w:r>
          </w:p>
        </w:tc>
        <w:tc>
          <w:tcPr>
            <w:tcW w:w="940" w:type="dxa"/>
            <w:vAlign w:val="bottom"/>
            <w:shd w:val="clear" w:color="auto" w:fill="E4E9F2"/>
          </w:tcPr>
          <w:p>
            <w:pPr>
              <w:jc w:val="right"/>
              <w:ind w:right="109"/>
              <w:spacing w:after="0"/>
              <w:rPr>
                <w:sz w:val="20"/>
                <w:szCs w:val="20"/>
                <w:color w:val="auto"/>
              </w:rPr>
            </w:pPr>
            <w:r>
              <w:rPr>
                <w:rFonts w:ascii="Arial" w:cs="Arial" w:eastAsia="Arial" w:hAnsi="Arial"/>
                <w:sz w:val="14"/>
                <w:szCs w:val="14"/>
                <w:color w:val="auto"/>
              </w:rPr>
              <w:t>—</w:t>
            </w:r>
          </w:p>
        </w:tc>
        <w:tc>
          <w:tcPr>
            <w:tcW w:w="1160" w:type="dxa"/>
            <w:vAlign w:val="bottom"/>
            <w:shd w:val="clear" w:color="auto" w:fill="E4E9F2"/>
          </w:tcPr>
          <w:p>
            <w:pPr>
              <w:jc w:val="right"/>
              <w:ind w:right="48"/>
              <w:spacing w:after="0"/>
              <w:rPr>
                <w:sz w:val="20"/>
                <w:szCs w:val="20"/>
                <w:color w:val="auto"/>
              </w:rPr>
            </w:pPr>
            <w:r>
              <w:rPr>
                <w:rFonts w:ascii="Arial" w:cs="Arial" w:eastAsia="Arial" w:hAnsi="Arial"/>
                <w:sz w:val="14"/>
                <w:szCs w:val="14"/>
                <w:color w:val="auto"/>
              </w:rPr>
              <w:t>282,150</w:t>
            </w:r>
          </w:p>
        </w:tc>
        <w:tc>
          <w:tcPr>
            <w:tcW w:w="1420" w:type="dxa"/>
            <w:vAlign w:val="bottom"/>
            <w:shd w:val="clear" w:color="auto" w:fill="E4E9F2"/>
          </w:tcPr>
          <w:p>
            <w:pPr>
              <w:jc w:val="right"/>
              <w:ind w:right="68"/>
              <w:spacing w:after="0"/>
              <w:rPr>
                <w:sz w:val="20"/>
                <w:szCs w:val="20"/>
                <w:color w:val="auto"/>
              </w:rPr>
            </w:pPr>
            <w:r>
              <w:rPr>
                <w:rFonts w:ascii="Arial" w:cs="Arial" w:eastAsia="Arial" w:hAnsi="Arial"/>
                <w:sz w:val="14"/>
                <w:szCs w:val="14"/>
                <w:color w:val="auto"/>
              </w:rPr>
              <w:t>15,877</w:t>
            </w:r>
          </w:p>
        </w:tc>
        <w:tc>
          <w:tcPr>
            <w:tcW w:w="840" w:type="dxa"/>
            <w:vAlign w:val="bottom"/>
            <w:shd w:val="clear" w:color="auto" w:fill="E4E9F2"/>
          </w:tcPr>
          <w:p>
            <w:pPr>
              <w:jc w:val="right"/>
              <w:spacing w:after="0"/>
              <w:rPr>
                <w:sz w:val="20"/>
                <w:szCs w:val="20"/>
                <w:color w:val="auto"/>
              </w:rPr>
            </w:pPr>
            <w:r>
              <w:rPr>
                <w:rFonts w:ascii="Arial" w:cs="Arial" w:eastAsia="Arial" w:hAnsi="Arial"/>
                <w:sz w:val="14"/>
                <w:szCs w:val="14"/>
                <w:color w:val="auto"/>
              </w:rPr>
              <w:t>1,777,720</w:t>
            </w:r>
          </w:p>
        </w:tc>
        <w:tc>
          <w:tcPr>
            <w:tcW w:w="0" w:type="dxa"/>
            <w:vAlign w:val="bottom"/>
          </w:tcPr>
          <w:p>
            <w:pPr>
              <w:spacing w:after="0"/>
              <w:rPr>
                <w:sz w:val="1"/>
                <w:szCs w:val="1"/>
                <w:color w:val="auto"/>
              </w:rPr>
            </w:pPr>
          </w:p>
        </w:tc>
      </w:tr>
      <w:tr>
        <w:trPr>
          <w:trHeight w:val="189"/>
        </w:trPr>
        <w:tc>
          <w:tcPr>
            <w:tcW w:w="3640" w:type="dxa"/>
            <w:vAlign w:val="bottom"/>
            <w:tcBorders>
              <w:bottom w:val="single" w:sz="8" w:color="04568A"/>
            </w:tcBorders>
            <w:shd w:val="clear" w:color="auto" w:fill="E4E9F2"/>
          </w:tcPr>
          <w:p>
            <w:pPr>
              <w:spacing w:after="0"/>
              <w:rPr>
                <w:sz w:val="16"/>
                <w:szCs w:val="16"/>
                <w:color w:val="auto"/>
              </w:rPr>
            </w:pPr>
          </w:p>
        </w:tc>
        <w:tc>
          <w:tcPr>
            <w:tcW w:w="760" w:type="dxa"/>
            <w:vAlign w:val="bottom"/>
            <w:tcBorders>
              <w:bottom w:val="single" w:sz="8" w:color="04568A"/>
            </w:tcBorders>
            <w:shd w:val="clear" w:color="auto" w:fill="E4E9F2"/>
          </w:tcPr>
          <w:p>
            <w:pPr>
              <w:jc w:val="right"/>
              <w:ind w:right="48"/>
              <w:spacing w:after="0"/>
              <w:rPr>
                <w:sz w:val="20"/>
                <w:szCs w:val="20"/>
                <w:color w:val="auto"/>
              </w:rPr>
            </w:pPr>
            <w:r>
              <w:rPr>
                <w:rFonts w:ascii="Arial" w:cs="Arial" w:eastAsia="Arial" w:hAnsi="Arial"/>
                <w:sz w:val="14"/>
                <w:szCs w:val="14"/>
                <w:color w:val="auto"/>
              </w:rPr>
              <w:t>2019</w:t>
            </w:r>
          </w:p>
        </w:tc>
        <w:tc>
          <w:tcPr>
            <w:tcW w:w="780" w:type="dxa"/>
            <w:vAlign w:val="bottom"/>
            <w:tcBorders>
              <w:bottom w:val="single" w:sz="8" w:color="04568A"/>
            </w:tcBorders>
            <w:shd w:val="clear" w:color="auto" w:fill="E4E9F2"/>
          </w:tcPr>
          <w:p>
            <w:pPr>
              <w:jc w:val="right"/>
              <w:ind w:right="68"/>
              <w:spacing w:after="0"/>
              <w:rPr>
                <w:sz w:val="20"/>
                <w:szCs w:val="20"/>
                <w:color w:val="auto"/>
              </w:rPr>
            </w:pPr>
            <w:r>
              <w:rPr>
                <w:rFonts w:ascii="Arial" w:cs="Arial" w:eastAsia="Arial" w:hAnsi="Arial"/>
                <w:sz w:val="14"/>
                <w:szCs w:val="14"/>
                <w:color w:val="auto"/>
              </w:rPr>
              <w:t>402,613</w:t>
            </w:r>
          </w:p>
        </w:tc>
        <w:tc>
          <w:tcPr>
            <w:tcW w:w="760" w:type="dxa"/>
            <w:vAlign w:val="bottom"/>
            <w:tcBorders>
              <w:bottom w:val="single" w:sz="8" w:color="04568A"/>
            </w:tcBorders>
            <w:shd w:val="clear" w:color="auto" w:fill="E4E9F2"/>
          </w:tcPr>
          <w:p>
            <w:pPr>
              <w:jc w:val="right"/>
              <w:ind w:right="88"/>
              <w:spacing w:after="0"/>
              <w:rPr>
                <w:sz w:val="20"/>
                <w:szCs w:val="20"/>
                <w:color w:val="auto"/>
              </w:rPr>
            </w:pPr>
            <w:r>
              <w:rPr>
                <w:rFonts w:ascii="Arial" w:cs="Arial" w:eastAsia="Arial" w:hAnsi="Arial"/>
                <w:sz w:val="14"/>
                <w:szCs w:val="14"/>
                <w:color w:val="auto"/>
              </w:rPr>
              <w:t>—</w:t>
            </w:r>
          </w:p>
        </w:tc>
        <w:tc>
          <w:tcPr>
            <w:tcW w:w="940" w:type="dxa"/>
            <w:vAlign w:val="bottom"/>
            <w:tcBorders>
              <w:bottom w:val="single" w:sz="8" w:color="04568A"/>
            </w:tcBorders>
            <w:shd w:val="clear" w:color="auto" w:fill="E4E9F2"/>
          </w:tcPr>
          <w:p>
            <w:pPr>
              <w:jc w:val="right"/>
              <w:ind w:right="28"/>
              <w:spacing w:after="0"/>
              <w:rPr>
                <w:sz w:val="20"/>
                <w:szCs w:val="20"/>
                <w:color w:val="auto"/>
              </w:rPr>
            </w:pPr>
            <w:r>
              <w:rPr>
                <w:rFonts w:ascii="Arial" w:cs="Arial" w:eastAsia="Arial" w:hAnsi="Arial"/>
                <w:sz w:val="14"/>
                <w:szCs w:val="14"/>
                <w:color w:val="auto"/>
              </w:rPr>
              <w:t>1,321,567</w:t>
            </w:r>
          </w:p>
        </w:tc>
        <w:tc>
          <w:tcPr>
            <w:tcW w:w="940" w:type="dxa"/>
            <w:vAlign w:val="bottom"/>
            <w:tcBorders>
              <w:bottom w:val="single" w:sz="8" w:color="04568A"/>
            </w:tcBorders>
            <w:shd w:val="clear" w:color="auto" w:fill="E4E9F2"/>
          </w:tcPr>
          <w:p>
            <w:pPr>
              <w:jc w:val="right"/>
              <w:spacing w:after="0" w:line="190" w:lineRule="exact"/>
              <w:rPr>
                <w:sz w:val="20"/>
                <w:szCs w:val="20"/>
                <w:color w:val="auto"/>
              </w:rPr>
            </w:pPr>
            <w:r>
              <w:rPr>
                <w:rFonts w:ascii="Arial" w:cs="Arial" w:eastAsia="Arial" w:hAnsi="Arial"/>
                <w:sz w:val="13"/>
                <w:szCs w:val="13"/>
                <w:color w:val="auto"/>
              </w:rPr>
              <w:t>802,741</w:t>
            </w:r>
            <w:r>
              <w:rPr>
                <w:rFonts w:ascii="Arial" w:cs="Arial" w:eastAsia="Arial" w:hAnsi="Arial"/>
                <w:sz w:val="21"/>
                <w:szCs w:val="21"/>
                <w:color w:val="auto"/>
                <w:vertAlign w:val="superscript"/>
              </w:rPr>
              <w:t>(2)</w:t>
            </w:r>
          </w:p>
        </w:tc>
        <w:tc>
          <w:tcPr>
            <w:tcW w:w="1160" w:type="dxa"/>
            <w:vAlign w:val="bottom"/>
            <w:tcBorders>
              <w:bottom w:val="single" w:sz="8" w:color="04568A"/>
            </w:tcBorders>
            <w:shd w:val="clear" w:color="auto" w:fill="E4E9F2"/>
          </w:tcPr>
          <w:p>
            <w:pPr>
              <w:jc w:val="right"/>
              <w:ind w:right="48"/>
              <w:spacing w:after="0"/>
              <w:rPr>
                <w:sz w:val="20"/>
                <w:szCs w:val="20"/>
                <w:color w:val="auto"/>
              </w:rPr>
            </w:pPr>
            <w:r>
              <w:rPr>
                <w:rFonts w:ascii="Arial" w:cs="Arial" w:eastAsia="Arial" w:hAnsi="Arial"/>
                <w:sz w:val="14"/>
                <w:szCs w:val="14"/>
                <w:color w:val="auto"/>
              </w:rPr>
              <w:t>—</w:t>
            </w:r>
          </w:p>
        </w:tc>
        <w:tc>
          <w:tcPr>
            <w:tcW w:w="1420" w:type="dxa"/>
            <w:vAlign w:val="bottom"/>
            <w:tcBorders>
              <w:bottom w:val="single" w:sz="8" w:color="04568A"/>
            </w:tcBorders>
            <w:shd w:val="clear" w:color="auto" w:fill="E4E9F2"/>
          </w:tcPr>
          <w:p>
            <w:pPr>
              <w:jc w:val="right"/>
              <w:ind w:right="68"/>
              <w:spacing w:after="0"/>
              <w:rPr>
                <w:sz w:val="20"/>
                <w:szCs w:val="20"/>
                <w:color w:val="auto"/>
              </w:rPr>
            </w:pPr>
            <w:r>
              <w:rPr>
                <w:rFonts w:ascii="Arial" w:cs="Arial" w:eastAsia="Arial" w:hAnsi="Arial"/>
                <w:sz w:val="14"/>
                <w:szCs w:val="14"/>
                <w:color w:val="auto"/>
              </w:rPr>
              <w:t>15,008</w:t>
            </w:r>
          </w:p>
        </w:tc>
        <w:tc>
          <w:tcPr>
            <w:tcW w:w="84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4"/>
                <w:szCs w:val="14"/>
                <w:color w:val="auto"/>
              </w:rPr>
              <w:t>2,541,929</w:t>
            </w:r>
          </w:p>
        </w:tc>
        <w:tc>
          <w:tcPr>
            <w:tcW w:w="0" w:type="dxa"/>
            <w:vAlign w:val="bottom"/>
          </w:tcPr>
          <w:p>
            <w:pPr>
              <w:spacing w:after="0"/>
              <w:rPr>
                <w:sz w:val="1"/>
                <w:szCs w:val="1"/>
                <w:color w:val="auto"/>
              </w:rPr>
            </w:pPr>
          </w:p>
        </w:tc>
      </w:tr>
    </w:tbl>
    <w:p>
      <w:pPr>
        <w:spacing w:after="0" w:line="58" w:lineRule="exact"/>
        <w:rPr>
          <w:sz w:val="20"/>
          <w:szCs w:val="20"/>
          <w:color w:val="auto"/>
        </w:rPr>
      </w:pPr>
    </w:p>
    <w:p>
      <w:pPr>
        <w:jc w:val="both"/>
        <w:ind w:left="280" w:hanging="272"/>
        <w:spacing w:after="0" w:line="250" w:lineRule="auto"/>
        <w:tabs>
          <w:tab w:leader="none" w:pos="280" w:val="left"/>
        </w:tabs>
        <w:numPr>
          <w:ilvl w:val="0"/>
          <w:numId w:val="32"/>
        </w:numPr>
        <w:rPr>
          <w:rFonts w:ascii="Arial" w:cs="Arial" w:eastAsia="Arial" w:hAnsi="Arial"/>
          <w:sz w:val="14"/>
          <w:szCs w:val="14"/>
          <w:i w:val="1"/>
          <w:iCs w:val="1"/>
          <w:color w:val="auto"/>
        </w:rPr>
      </w:pPr>
      <w:r>
        <w:rPr>
          <w:rFonts w:ascii="Arial" w:cs="Arial" w:eastAsia="Arial" w:hAnsi="Arial"/>
          <w:sz w:val="14"/>
          <w:szCs w:val="14"/>
          <w:i w:val="1"/>
          <w:iCs w:val="1"/>
          <w:color w:val="auto"/>
        </w:rPr>
        <w:t>These amounts reflect the aggregate grant date fair value of each restricted stock unit award and PSU award granted during the fiscal year, computed in accordance with FASB ASC Topic 718. The valuation assumptions used in determining such amounts are described in Note 23 to the financial statements included in our Annual Report on Form 10-K for the year ended December 31, 2021. For the PSU awards granted in 2021, the value of the awards as of the grant date, assuming that the highest level of performance achievement would be achieved (which is 200% of target), for Mr. Chirag Patel, Mr. Chintu Patel, Mr. Konidaris, Mr. Boyer, Mr. Todisco and Ms. Shah would be $6,532,812, $6,532,812, $2,041,511, $1,769,310, $1,497,110 and $1,633,203, respectively.</w:t>
      </w:r>
    </w:p>
    <w:p>
      <w:pPr>
        <w:spacing w:after="0" w:line="25" w:lineRule="exact"/>
        <w:rPr>
          <w:rFonts w:ascii="Arial" w:cs="Arial" w:eastAsia="Arial" w:hAnsi="Arial"/>
          <w:sz w:val="14"/>
          <w:szCs w:val="14"/>
          <w:i w:val="1"/>
          <w:iCs w:val="1"/>
          <w:color w:val="auto"/>
        </w:rPr>
      </w:pPr>
    </w:p>
    <w:p>
      <w:pPr>
        <w:jc w:val="both"/>
        <w:ind w:left="280" w:hanging="272"/>
        <w:spacing w:after="0" w:line="249" w:lineRule="auto"/>
        <w:tabs>
          <w:tab w:leader="none" w:pos="280" w:val="left"/>
        </w:tabs>
        <w:numPr>
          <w:ilvl w:val="0"/>
          <w:numId w:val="32"/>
        </w:numPr>
        <w:rPr>
          <w:rFonts w:ascii="Arial" w:cs="Arial" w:eastAsia="Arial" w:hAnsi="Arial"/>
          <w:sz w:val="14"/>
          <w:szCs w:val="14"/>
          <w:i w:val="1"/>
          <w:iCs w:val="1"/>
          <w:color w:val="auto"/>
        </w:rPr>
      </w:pPr>
      <w:r>
        <w:rPr>
          <w:rFonts w:ascii="Arial" w:cs="Arial" w:eastAsia="Arial" w:hAnsi="Arial"/>
          <w:sz w:val="14"/>
          <w:szCs w:val="14"/>
          <w:i w:val="1"/>
          <w:iCs w:val="1"/>
          <w:color w:val="auto"/>
        </w:rPr>
        <w:t>These amounts include the incremental fair value associated with a one-time option repricing. On October 10, 2019, the Compensation Committee and stockholders of the Company approved a one-time option repricing pursuant to which the exercise price of each relevant option was amended to reduce such exercise price to $2.75. “Relevant Options” were all outstanding stock options as of October 10, 2019 (vested or unvested) that were granted between May 7, 2018 and July 15, 2019 to acquire shares of our Class A common stock that have exercise prices above $3.51, the closing price of a share of the Class A common stock as reported on the New York Stock Exchange on November 13, 2019. The incremental fair value, computed as of the repricing date in accordance with FASB ASC Topic 718 for the Relevant Options held by Mr. Boyer and Ms. Shah, totaled $380,201 and $169,411, respectively.</w:t>
      </w:r>
    </w:p>
    <w:p>
      <w:pPr>
        <w:spacing w:after="0" w:line="23" w:lineRule="exact"/>
        <w:rPr>
          <w:rFonts w:ascii="Arial" w:cs="Arial" w:eastAsia="Arial" w:hAnsi="Arial"/>
          <w:sz w:val="14"/>
          <w:szCs w:val="14"/>
          <w:i w:val="1"/>
          <w:iCs w:val="1"/>
          <w:color w:val="auto"/>
        </w:rPr>
      </w:pPr>
    </w:p>
    <w:p>
      <w:pPr>
        <w:ind w:left="280" w:hanging="272"/>
        <w:spacing w:after="0"/>
        <w:tabs>
          <w:tab w:leader="none" w:pos="280" w:val="left"/>
        </w:tabs>
        <w:numPr>
          <w:ilvl w:val="0"/>
          <w:numId w:val="32"/>
        </w:numPr>
        <w:rPr>
          <w:rFonts w:ascii="Arial" w:cs="Arial" w:eastAsia="Arial" w:hAnsi="Arial"/>
          <w:sz w:val="14"/>
          <w:szCs w:val="14"/>
          <w:i w:val="1"/>
          <w:iCs w:val="1"/>
          <w:color w:val="auto"/>
        </w:rPr>
      </w:pPr>
      <w:r>
        <w:rPr>
          <w:rFonts w:ascii="Arial" w:cs="Arial" w:eastAsia="Arial" w:hAnsi="Arial"/>
          <w:sz w:val="14"/>
          <w:szCs w:val="14"/>
          <w:i w:val="1"/>
          <w:iCs w:val="1"/>
          <w:color w:val="auto"/>
        </w:rPr>
        <w:t>The amounts shown in this column for 2021 consist of the following components:</w:t>
      </w:r>
    </w:p>
    <w:p>
      <w:pPr>
        <w:spacing w:after="0" w:line="186" w:lineRule="exact"/>
        <w:rPr>
          <w:sz w:val="20"/>
          <w:szCs w:val="20"/>
          <w:color w:val="auto"/>
        </w:rPr>
      </w:pPr>
    </w:p>
    <w:tbl>
      <w:tblPr>
        <w:tblLayout w:type="fixed"/>
        <w:tblInd w:w="280" w:type="dxa"/>
        <w:tblCellMar>
          <w:top w:w="0" w:type="dxa"/>
          <w:left w:w="0" w:type="dxa"/>
          <w:bottom w:w="0" w:type="dxa"/>
          <w:right w:w="0" w:type="dxa"/>
        </w:tblCellMar>
      </w:tblPr>
      <w:tr>
        <w:trPr>
          <w:trHeight w:val="162"/>
        </w:trPr>
        <w:tc>
          <w:tcPr>
            <w:tcW w:w="3720" w:type="dxa"/>
            <w:vAlign w:val="bottom"/>
          </w:tcPr>
          <w:p>
            <w:pPr>
              <w:spacing w:after="0"/>
              <w:rPr>
                <w:sz w:val="14"/>
                <w:szCs w:val="14"/>
                <w:color w:val="auto"/>
              </w:rPr>
            </w:pPr>
          </w:p>
        </w:tc>
        <w:tc>
          <w:tcPr>
            <w:tcW w:w="3300" w:type="dxa"/>
            <w:vAlign w:val="bottom"/>
          </w:tcPr>
          <w:p>
            <w:pPr>
              <w:spacing w:after="0"/>
              <w:rPr>
                <w:sz w:val="14"/>
                <w:szCs w:val="14"/>
                <w:color w:val="auto"/>
              </w:rPr>
            </w:pPr>
          </w:p>
        </w:tc>
        <w:tc>
          <w:tcPr>
            <w:tcW w:w="1500" w:type="dxa"/>
            <w:vAlign w:val="bottom"/>
          </w:tcPr>
          <w:p>
            <w:pPr>
              <w:jc w:val="right"/>
              <w:ind w:right="148"/>
              <w:spacing w:after="0"/>
              <w:rPr>
                <w:sz w:val="20"/>
                <w:szCs w:val="20"/>
                <w:color w:val="auto"/>
              </w:rPr>
            </w:pPr>
            <w:r>
              <w:rPr>
                <w:rFonts w:ascii="Arial" w:cs="Arial" w:eastAsia="Arial" w:hAnsi="Arial"/>
                <w:sz w:val="14"/>
                <w:szCs w:val="14"/>
                <w:b w:val="1"/>
                <w:bCs w:val="1"/>
                <w:color w:val="04568A"/>
              </w:rPr>
              <w:t>Life and</w:t>
            </w:r>
          </w:p>
        </w:tc>
        <w:tc>
          <w:tcPr>
            <w:tcW w:w="1560" w:type="dxa"/>
            <w:vAlign w:val="bottom"/>
            <w:vMerge w:val="restart"/>
          </w:tcPr>
          <w:p>
            <w:pPr>
              <w:jc w:val="right"/>
              <w:ind w:right="189"/>
              <w:spacing w:after="0"/>
              <w:rPr>
                <w:sz w:val="20"/>
                <w:szCs w:val="20"/>
                <w:color w:val="auto"/>
              </w:rPr>
            </w:pPr>
            <w:r>
              <w:rPr>
                <w:rFonts w:ascii="Arial" w:cs="Arial" w:eastAsia="Arial" w:hAnsi="Arial"/>
                <w:sz w:val="14"/>
                <w:szCs w:val="14"/>
                <w:b w:val="1"/>
                <w:bCs w:val="1"/>
                <w:color w:val="04568A"/>
              </w:rPr>
              <w:t>Cost for</w:t>
            </w:r>
          </w:p>
        </w:tc>
        <w:tc>
          <w:tcPr>
            <w:tcW w:w="8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3720" w:type="dxa"/>
            <w:vAlign w:val="bottom"/>
          </w:tcPr>
          <w:p>
            <w:pPr>
              <w:spacing w:after="0"/>
              <w:rPr>
                <w:sz w:val="12"/>
                <w:szCs w:val="12"/>
                <w:color w:val="auto"/>
              </w:rPr>
            </w:pPr>
          </w:p>
        </w:tc>
        <w:tc>
          <w:tcPr>
            <w:tcW w:w="3300" w:type="dxa"/>
            <w:vAlign w:val="bottom"/>
          </w:tcPr>
          <w:p>
            <w:pPr>
              <w:spacing w:after="0"/>
              <w:rPr>
                <w:sz w:val="12"/>
                <w:szCs w:val="12"/>
                <w:color w:val="auto"/>
              </w:rPr>
            </w:pPr>
          </w:p>
        </w:tc>
        <w:tc>
          <w:tcPr>
            <w:tcW w:w="1500" w:type="dxa"/>
            <w:vAlign w:val="bottom"/>
          </w:tcPr>
          <w:p>
            <w:pPr>
              <w:jc w:val="right"/>
              <w:ind w:right="148"/>
              <w:spacing w:after="0" w:line="148" w:lineRule="exact"/>
              <w:rPr>
                <w:sz w:val="20"/>
                <w:szCs w:val="20"/>
                <w:color w:val="auto"/>
              </w:rPr>
            </w:pPr>
            <w:r>
              <w:rPr>
                <w:rFonts w:ascii="Arial" w:cs="Arial" w:eastAsia="Arial" w:hAnsi="Arial"/>
                <w:sz w:val="14"/>
                <w:szCs w:val="14"/>
                <w:b w:val="1"/>
                <w:bCs w:val="1"/>
                <w:color w:val="04568A"/>
              </w:rPr>
              <w:t>Disability</w:t>
            </w:r>
          </w:p>
        </w:tc>
        <w:tc>
          <w:tcPr>
            <w:tcW w:w="1560" w:type="dxa"/>
            <w:vAlign w:val="bottom"/>
            <w:vMerge w:val="continue"/>
          </w:tcPr>
          <w:p>
            <w:pPr>
              <w:spacing w:after="0"/>
              <w:rPr>
                <w:sz w:val="12"/>
                <w:szCs w:val="12"/>
                <w:color w:val="auto"/>
              </w:rPr>
            </w:pPr>
          </w:p>
        </w:tc>
        <w:tc>
          <w:tcPr>
            <w:tcW w:w="8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3720" w:type="dxa"/>
            <w:vAlign w:val="bottom"/>
          </w:tcPr>
          <w:p>
            <w:pPr>
              <w:spacing w:after="0"/>
              <w:rPr>
                <w:sz w:val="14"/>
                <w:szCs w:val="14"/>
                <w:color w:val="auto"/>
              </w:rPr>
            </w:pPr>
          </w:p>
        </w:tc>
        <w:tc>
          <w:tcPr>
            <w:tcW w:w="3300" w:type="dxa"/>
            <w:vAlign w:val="bottom"/>
          </w:tcPr>
          <w:p>
            <w:pPr>
              <w:jc w:val="right"/>
              <w:ind w:right="168"/>
              <w:spacing w:after="0"/>
              <w:rPr>
                <w:sz w:val="20"/>
                <w:szCs w:val="20"/>
                <w:color w:val="auto"/>
              </w:rPr>
            </w:pPr>
            <w:r>
              <w:rPr>
                <w:rFonts w:ascii="Arial" w:cs="Arial" w:eastAsia="Arial" w:hAnsi="Arial"/>
                <w:sz w:val="14"/>
                <w:szCs w:val="14"/>
                <w:b w:val="1"/>
                <w:bCs w:val="1"/>
                <w:color w:val="04568A"/>
              </w:rPr>
              <w:t>Company</w:t>
            </w:r>
          </w:p>
        </w:tc>
        <w:tc>
          <w:tcPr>
            <w:tcW w:w="1500" w:type="dxa"/>
            <w:vAlign w:val="bottom"/>
          </w:tcPr>
          <w:p>
            <w:pPr>
              <w:jc w:val="right"/>
              <w:ind w:right="148"/>
              <w:spacing w:after="0"/>
              <w:rPr>
                <w:sz w:val="20"/>
                <w:szCs w:val="20"/>
                <w:color w:val="auto"/>
              </w:rPr>
            </w:pPr>
            <w:r>
              <w:rPr>
                <w:rFonts w:ascii="Arial" w:cs="Arial" w:eastAsia="Arial" w:hAnsi="Arial"/>
                <w:sz w:val="14"/>
                <w:szCs w:val="14"/>
                <w:b w:val="1"/>
                <w:bCs w:val="1"/>
                <w:color w:val="04568A"/>
              </w:rPr>
              <w:t>Insurance</w:t>
            </w:r>
          </w:p>
        </w:tc>
        <w:tc>
          <w:tcPr>
            <w:tcW w:w="1560" w:type="dxa"/>
            <w:vAlign w:val="bottom"/>
          </w:tcPr>
          <w:p>
            <w:pPr>
              <w:jc w:val="right"/>
              <w:ind w:right="189"/>
              <w:spacing w:after="0"/>
              <w:rPr>
                <w:sz w:val="20"/>
                <w:szCs w:val="20"/>
                <w:color w:val="auto"/>
              </w:rPr>
            </w:pPr>
            <w:r>
              <w:rPr>
                <w:rFonts w:ascii="Arial" w:cs="Arial" w:eastAsia="Arial" w:hAnsi="Arial"/>
                <w:sz w:val="14"/>
                <w:szCs w:val="14"/>
                <w:b w:val="1"/>
                <w:bCs w:val="1"/>
                <w:color w:val="04568A"/>
              </w:rPr>
              <w:t>Personal Use</w:t>
            </w:r>
          </w:p>
        </w:tc>
        <w:tc>
          <w:tcPr>
            <w:tcW w:w="8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720" w:type="dxa"/>
            <w:vAlign w:val="bottom"/>
          </w:tcPr>
          <w:p>
            <w:pPr>
              <w:spacing w:after="0"/>
              <w:rPr>
                <w:sz w:val="14"/>
                <w:szCs w:val="14"/>
                <w:color w:val="auto"/>
              </w:rPr>
            </w:pPr>
          </w:p>
        </w:tc>
        <w:tc>
          <w:tcPr>
            <w:tcW w:w="3300" w:type="dxa"/>
            <w:vAlign w:val="bottom"/>
          </w:tcPr>
          <w:p>
            <w:pPr>
              <w:jc w:val="right"/>
              <w:ind w:right="168"/>
              <w:spacing w:after="0"/>
              <w:rPr>
                <w:sz w:val="20"/>
                <w:szCs w:val="20"/>
                <w:color w:val="auto"/>
              </w:rPr>
            </w:pPr>
            <w:r>
              <w:rPr>
                <w:rFonts w:ascii="Arial" w:cs="Arial" w:eastAsia="Arial" w:hAnsi="Arial"/>
                <w:sz w:val="14"/>
                <w:szCs w:val="14"/>
                <w:b w:val="1"/>
                <w:bCs w:val="1"/>
                <w:color w:val="04568A"/>
              </w:rPr>
              <w:t>401(k)</w:t>
            </w:r>
          </w:p>
        </w:tc>
        <w:tc>
          <w:tcPr>
            <w:tcW w:w="1500" w:type="dxa"/>
            <w:vAlign w:val="bottom"/>
          </w:tcPr>
          <w:p>
            <w:pPr>
              <w:jc w:val="right"/>
              <w:ind w:right="148"/>
              <w:spacing w:after="0"/>
              <w:rPr>
                <w:sz w:val="20"/>
                <w:szCs w:val="20"/>
                <w:color w:val="auto"/>
              </w:rPr>
            </w:pPr>
            <w:r>
              <w:rPr>
                <w:rFonts w:ascii="Arial" w:cs="Arial" w:eastAsia="Arial" w:hAnsi="Arial"/>
                <w:sz w:val="14"/>
                <w:szCs w:val="14"/>
                <w:b w:val="1"/>
                <w:bCs w:val="1"/>
                <w:color w:val="04568A"/>
              </w:rPr>
              <w:t>Premiums Paid</w:t>
            </w:r>
          </w:p>
        </w:tc>
        <w:tc>
          <w:tcPr>
            <w:tcW w:w="1560" w:type="dxa"/>
            <w:vAlign w:val="bottom"/>
          </w:tcPr>
          <w:p>
            <w:pPr>
              <w:jc w:val="right"/>
              <w:ind w:right="189"/>
              <w:spacing w:after="0"/>
              <w:rPr>
                <w:sz w:val="20"/>
                <w:szCs w:val="20"/>
                <w:color w:val="auto"/>
              </w:rPr>
            </w:pPr>
            <w:r>
              <w:rPr>
                <w:rFonts w:ascii="Arial" w:cs="Arial" w:eastAsia="Arial" w:hAnsi="Arial"/>
                <w:sz w:val="14"/>
                <w:szCs w:val="14"/>
                <w:b w:val="1"/>
                <w:bCs w:val="1"/>
                <w:color w:val="04568A"/>
              </w:rPr>
              <w:t>of Driver and</w:t>
            </w:r>
          </w:p>
        </w:tc>
        <w:tc>
          <w:tcPr>
            <w:tcW w:w="8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6"/>
        </w:trPr>
        <w:tc>
          <w:tcPr>
            <w:tcW w:w="3720" w:type="dxa"/>
            <w:vAlign w:val="bottom"/>
          </w:tcPr>
          <w:p>
            <w:pPr>
              <w:spacing w:after="0"/>
              <w:rPr>
                <w:sz w:val="15"/>
                <w:szCs w:val="15"/>
                <w:color w:val="auto"/>
              </w:rPr>
            </w:pPr>
          </w:p>
        </w:tc>
        <w:tc>
          <w:tcPr>
            <w:tcW w:w="3300" w:type="dxa"/>
            <w:vAlign w:val="bottom"/>
          </w:tcPr>
          <w:p>
            <w:pPr>
              <w:jc w:val="right"/>
              <w:ind w:right="168"/>
              <w:spacing w:after="0"/>
              <w:rPr>
                <w:sz w:val="20"/>
                <w:szCs w:val="20"/>
                <w:color w:val="auto"/>
              </w:rPr>
            </w:pPr>
            <w:r>
              <w:rPr>
                <w:rFonts w:ascii="Arial" w:cs="Arial" w:eastAsia="Arial" w:hAnsi="Arial"/>
                <w:sz w:val="14"/>
                <w:szCs w:val="14"/>
                <w:b w:val="1"/>
                <w:bCs w:val="1"/>
                <w:color w:val="04568A"/>
              </w:rPr>
              <w:t>Match</w:t>
            </w:r>
          </w:p>
        </w:tc>
        <w:tc>
          <w:tcPr>
            <w:tcW w:w="1500" w:type="dxa"/>
            <w:vAlign w:val="bottom"/>
          </w:tcPr>
          <w:p>
            <w:pPr>
              <w:jc w:val="right"/>
              <w:ind w:right="148"/>
              <w:spacing w:after="0"/>
              <w:rPr>
                <w:sz w:val="20"/>
                <w:szCs w:val="20"/>
                <w:color w:val="auto"/>
              </w:rPr>
            </w:pPr>
            <w:r>
              <w:rPr>
                <w:rFonts w:ascii="Arial" w:cs="Arial" w:eastAsia="Arial" w:hAnsi="Arial"/>
                <w:sz w:val="14"/>
                <w:szCs w:val="14"/>
                <w:b w:val="1"/>
                <w:bCs w:val="1"/>
                <w:color w:val="04568A"/>
              </w:rPr>
              <w:t>by Company</w:t>
            </w:r>
          </w:p>
        </w:tc>
        <w:tc>
          <w:tcPr>
            <w:tcW w:w="1560" w:type="dxa"/>
            <w:vAlign w:val="bottom"/>
          </w:tcPr>
          <w:p>
            <w:pPr>
              <w:jc w:val="right"/>
              <w:ind w:right="189"/>
              <w:spacing w:after="0" w:line="176" w:lineRule="exact"/>
              <w:rPr>
                <w:sz w:val="20"/>
                <w:szCs w:val="20"/>
                <w:color w:val="auto"/>
              </w:rPr>
            </w:pPr>
            <w:r>
              <w:rPr>
                <w:rFonts w:ascii="Arial" w:cs="Arial" w:eastAsia="Arial" w:hAnsi="Arial"/>
                <w:sz w:val="13"/>
                <w:szCs w:val="13"/>
                <w:b w:val="1"/>
                <w:bCs w:val="1"/>
                <w:color w:val="04568A"/>
              </w:rPr>
              <w:t>Company Car</w:t>
            </w:r>
            <w:r>
              <w:rPr>
                <w:rFonts w:ascii="Arial" w:cs="Arial" w:eastAsia="Arial" w:hAnsi="Arial"/>
                <w:sz w:val="20"/>
                <w:szCs w:val="20"/>
                <w:b w:val="1"/>
                <w:bCs w:val="1"/>
                <w:color w:val="04568A"/>
                <w:vertAlign w:val="superscript"/>
              </w:rPr>
              <w:t>(1)</w:t>
            </w:r>
          </w:p>
        </w:tc>
        <w:tc>
          <w:tcPr>
            <w:tcW w:w="820" w:type="dxa"/>
            <w:vAlign w:val="bottom"/>
          </w:tcPr>
          <w:p>
            <w:pPr>
              <w:jc w:val="right"/>
              <w:ind w:right="48"/>
              <w:spacing w:after="0"/>
              <w:rPr>
                <w:sz w:val="20"/>
                <w:szCs w:val="20"/>
                <w:color w:val="auto"/>
              </w:rPr>
            </w:pPr>
            <w:r>
              <w:rPr>
                <w:rFonts w:ascii="Arial" w:cs="Arial" w:eastAsia="Arial" w:hAnsi="Arial"/>
                <w:sz w:val="14"/>
                <w:szCs w:val="14"/>
                <w:b w:val="1"/>
                <w:bCs w:val="1"/>
                <w:color w:val="04568A"/>
              </w:rPr>
              <w:t>Total</w:t>
            </w:r>
          </w:p>
        </w:tc>
        <w:tc>
          <w:tcPr>
            <w:tcW w:w="0" w:type="dxa"/>
            <w:vAlign w:val="bottom"/>
          </w:tcPr>
          <w:p>
            <w:pPr>
              <w:spacing w:after="0"/>
              <w:rPr>
                <w:sz w:val="1"/>
                <w:szCs w:val="1"/>
                <w:color w:val="auto"/>
              </w:rPr>
            </w:pPr>
          </w:p>
        </w:tc>
      </w:tr>
      <w:tr>
        <w:trPr>
          <w:trHeight w:val="175"/>
        </w:trPr>
        <w:tc>
          <w:tcPr>
            <w:tcW w:w="3720" w:type="dxa"/>
            <w:vAlign w:val="bottom"/>
            <w:tcBorders>
              <w:bottom w:val="single" w:sz="8" w:color="04568A"/>
            </w:tcBorders>
          </w:tcPr>
          <w:p>
            <w:pPr>
              <w:ind w:left="60"/>
              <w:spacing w:after="0"/>
              <w:rPr>
                <w:sz w:val="20"/>
                <w:szCs w:val="20"/>
                <w:color w:val="auto"/>
              </w:rPr>
            </w:pPr>
            <w:r>
              <w:rPr>
                <w:rFonts w:ascii="Arial" w:cs="Arial" w:eastAsia="Arial" w:hAnsi="Arial"/>
                <w:sz w:val="13"/>
                <w:szCs w:val="13"/>
                <w:b w:val="1"/>
                <w:bCs w:val="1"/>
                <w:color w:val="04568A"/>
              </w:rPr>
              <w:t>Name</w:t>
            </w:r>
          </w:p>
        </w:tc>
        <w:tc>
          <w:tcPr>
            <w:tcW w:w="3300" w:type="dxa"/>
            <w:vAlign w:val="bottom"/>
            <w:tcBorders>
              <w:bottom w:val="single" w:sz="8" w:color="04568A"/>
            </w:tcBorders>
          </w:tcPr>
          <w:p>
            <w:pPr>
              <w:jc w:val="right"/>
              <w:ind w:right="168"/>
              <w:spacing w:after="0"/>
              <w:rPr>
                <w:sz w:val="20"/>
                <w:szCs w:val="20"/>
                <w:color w:val="auto"/>
              </w:rPr>
            </w:pPr>
            <w:r>
              <w:rPr>
                <w:rFonts w:ascii="Arial" w:cs="Arial" w:eastAsia="Arial" w:hAnsi="Arial"/>
                <w:sz w:val="14"/>
                <w:szCs w:val="14"/>
                <w:b w:val="1"/>
                <w:bCs w:val="1"/>
                <w:color w:val="04568A"/>
              </w:rPr>
              <w:t>($)</w:t>
            </w:r>
          </w:p>
        </w:tc>
        <w:tc>
          <w:tcPr>
            <w:tcW w:w="1500" w:type="dxa"/>
            <w:vAlign w:val="bottom"/>
            <w:tcBorders>
              <w:bottom w:val="single" w:sz="8" w:color="04568A"/>
            </w:tcBorders>
          </w:tcPr>
          <w:p>
            <w:pPr>
              <w:jc w:val="right"/>
              <w:ind w:right="148"/>
              <w:spacing w:after="0"/>
              <w:rPr>
                <w:sz w:val="20"/>
                <w:szCs w:val="20"/>
                <w:color w:val="auto"/>
              </w:rPr>
            </w:pPr>
            <w:r>
              <w:rPr>
                <w:rFonts w:ascii="Arial" w:cs="Arial" w:eastAsia="Arial" w:hAnsi="Arial"/>
                <w:sz w:val="14"/>
                <w:szCs w:val="14"/>
                <w:b w:val="1"/>
                <w:bCs w:val="1"/>
                <w:color w:val="04568A"/>
              </w:rPr>
              <w:t>($)</w:t>
            </w:r>
          </w:p>
        </w:tc>
        <w:tc>
          <w:tcPr>
            <w:tcW w:w="1560" w:type="dxa"/>
            <w:vAlign w:val="bottom"/>
            <w:tcBorders>
              <w:bottom w:val="single" w:sz="8" w:color="04568A"/>
            </w:tcBorders>
          </w:tcPr>
          <w:p>
            <w:pPr>
              <w:jc w:val="right"/>
              <w:ind w:right="189"/>
              <w:spacing w:after="0"/>
              <w:rPr>
                <w:sz w:val="20"/>
                <w:szCs w:val="20"/>
                <w:color w:val="auto"/>
              </w:rPr>
            </w:pPr>
            <w:r>
              <w:rPr>
                <w:rFonts w:ascii="Arial" w:cs="Arial" w:eastAsia="Arial" w:hAnsi="Arial"/>
                <w:sz w:val="14"/>
                <w:szCs w:val="14"/>
                <w:b w:val="1"/>
                <w:bCs w:val="1"/>
                <w:color w:val="04568A"/>
              </w:rPr>
              <w:t>($)</w:t>
            </w:r>
          </w:p>
        </w:tc>
        <w:tc>
          <w:tcPr>
            <w:tcW w:w="820" w:type="dxa"/>
            <w:vAlign w:val="bottom"/>
            <w:tcBorders>
              <w:bottom w:val="single" w:sz="8" w:color="04568A"/>
            </w:tcBorders>
          </w:tcPr>
          <w:p>
            <w:pPr>
              <w:jc w:val="right"/>
              <w:ind w:right="48"/>
              <w:spacing w:after="0"/>
              <w:rPr>
                <w:sz w:val="20"/>
                <w:szCs w:val="20"/>
                <w:color w:val="auto"/>
              </w:rPr>
            </w:pPr>
            <w:r>
              <w:rPr>
                <w:rFonts w:ascii="Arial" w:cs="Arial" w:eastAsia="Arial" w:hAnsi="Arial"/>
                <w:sz w:val="14"/>
                <w:szCs w:val="14"/>
                <w:b w:val="1"/>
                <w:bCs w:val="1"/>
                <w:color w:val="04568A"/>
              </w:rPr>
              <w:t>($)</w:t>
            </w:r>
          </w:p>
        </w:tc>
        <w:tc>
          <w:tcPr>
            <w:tcW w:w="0" w:type="dxa"/>
            <w:vAlign w:val="bottom"/>
          </w:tcPr>
          <w:p>
            <w:pPr>
              <w:spacing w:after="0"/>
              <w:rPr>
                <w:sz w:val="1"/>
                <w:szCs w:val="1"/>
                <w:color w:val="auto"/>
              </w:rPr>
            </w:pPr>
          </w:p>
        </w:tc>
      </w:tr>
      <w:tr>
        <w:trPr>
          <w:trHeight w:val="155"/>
        </w:trPr>
        <w:tc>
          <w:tcPr>
            <w:tcW w:w="3720" w:type="dxa"/>
            <w:vAlign w:val="bottom"/>
          </w:tcPr>
          <w:p>
            <w:pPr>
              <w:ind w:left="60"/>
              <w:spacing w:after="0"/>
              <w:rPr>
                <w:sz w:val="20"/>
                <w:szCs w:val="20"/>
                <w:color w:val="auto"/>
              </w:rPr>
            </w:pPr>
            <w:r>
              <w:rPr>
                <w:rFonts w:ascii="Arial" w:cs="Arial" w:eastAsia="Arial" w:hAnsi="Arial"/>
                <w:sz w:val="13"/>
                <w:szCs w:val="13"/>
                <w:color w:val="auto"/>
              </w:rPr>
              <w:t>Chirag Patel</w:t>
            </w:r>
          </w:p>
        </w:tc>
        <w:tc>
          <w:tcPr>
            <w:tcW w:w="3300" w:type="dxa"/>
            <w:vAlign w:val="bottom"/>
          </w:tcPr>
          <w:p>
            <w:pPr>
              <w:jc w:val="right"/>
              <w:ind w:right="168"/>
              <w:spacing w:after="0" w:line="155" w:lineRule="exact"/>
              <w:rPr>
                <w:sz w:val="20"/>
                <w:szCs w:val="20"/>
                <w:color w:val="auto"/>
              </w:rPr>
            </w:pPr>
            <w:r>
              <w:rPr>
                <w:rFonts w:ascii="Arial" w:cs="Arial" w:eastAsia="Arial" w:hAnsi="Arial"/>
                <w:sz w:val="14"/>
                <w:szCs w:val="14"/>
                <w:color w:val="auto"/>
              </w:rPr>
              <w:t>14,500</w:t>
            </w:r>
          </w:p>
        </w:tc>
        <w:tc>
          <w:tcPr>
            <w:tcW w:w="1500" w:type="dxa"/>
            <w:vAlign w:val="bottom"/>
          </w:tcPr>
          <w:p>
            <w:pPr>
              <w:jc w:val="right"/>
              <w:ind w:right="148"/>
              <w:spacing w:after="0" w:line="155" w:lineRule="exact"/>
              <w:rPr>
                <w:sz w:val="20"/>
                <w:szCs w:val="20"/>
                <w:color w:val="auto"/>
              </w:rPr>
            </w:pPr>
            <w:r>
              <w:rPr>
                <w:rFonts w:ascii="Arial" w:cs="Arial" w:eastAsia="Arial" w:hAnsi="Arial"/>
                <w:sz w:val="14"/>
                <w:szCs w:val="14"/>
                <w:color w:val="auto"/>
              </w:rPr>
              <w:t>2,143</w:t>
            </w:r>
          </w:p>
        </w:tc>
        <w:tc>
          <w:tcPr>
            <w:tcW w:w="1560" w:type="dxa"/>
            <w:vAlign w:val="bottom"/>
          </w:tcPr>
          <w:p>
            <w:pPr>
              <w:jc w:val="right"/>
              <w:ind w:right="189"/>
              <w:spacing w:after="0" w:line="155" w:lineRule="exact"/>
              <w:rPr>
                <w:sz w:val="20"/>
                <w:szCs w:val="20"/>
                <w:color w:val="auto"/>
              </w:rPr>
            </w:pPr>
            <w:r>
              <w:rPr>
                <w:rFonts w:ascii="Arial" w:cs="Arial" w:eastAsia="Arial" w:hAnsi="Arial"/>
                <w:sz w:val="14"/>
                <w:szCs w:val="14"/>
                <w:color w:val="auto"/>
              </w:rPr>
              <w:t>20,529</w:t>
            </w:r>
          </w:p>
        </w:tc>
        <w:tc>
          <w:tcPr>
            <w:tcW w:w="820" w:type="dxa"/>
            <w:vAlign w:val="bottom"/>
          </w:tcPr>
          <w:p>
            <w:pPr>
              <w:jc w:val="right"/>
              <w:ind w:right="48"/>
              <w:spacing w:after="0" w:line="155" w:lineRule="exact"/>
              <w:rPr>
                <w:sz w:val="20"/>
                <w:szCs w:val="20"/>
                <w:color w:val="auto"/>
              </w:rPr>
            </w:pPr>
            <w:r>
              <w:rPr>
                <w:rFonts w:ascii="Arial" w:cs="Arial" w:eastAsia="Arial" w:hAnsi="Arial"/>
                <w:sz w:val="14"/>
                <w:szCs w:val="14"/>
                <w:color w:val="auto"/>
              </w:rPr>
              <w:t>37,172</w:t>
            </w:r>
          </w:p>
        </w:tc>
        <w:tc>
          <w:tcPr>
            <w:tcW w:w="0" w:type="dxa"/>
            <w:vAlign w:val="bottom"/>
          </w:tcPr>
          <w:p>
            <w:pPr>
              <w:spacing w:after="0"/>
              <w:rPr>
                <w:sz w:val="1"/>
                <w:szCs w:val="1"/>
                <w:color w:val="auto"/>
              </w:rPr>
            </w:pPr>
          </w:p>
        </w:tc>
      </w:tr>
      <w:tr>
        <w:trPr>
          <w:trHeight w:val="162"/>
        </w:trPr>
        <w:tc>
          <w:tcPr>
            <w:tcW w:w="3720" w:type="dxa"/>
            <w:vAlign w:val="bottom"/>
            <w:shd w:val="clear" w:color="auto" w:fill="E4E9F2"/>
          </w:tcPr>
          <w:p>
            <w:pPr>
              <w:ind w:left="60"/>
              <w:spacing w:after="0"/>
              <w:rPr>
                <w:sz w:val="20"/>
                <w:szCs w:val="20"/>
                <w:color w:val="auto"/>
              </w:rPr>
            </w:pPr>
            <w:r>
              <w:rPr>
                <w:rFonts w:ascii="Arial" w:cs="Arial" w:eastAsia="Arial" w:hAnsi="Arial"/>
                <w:sz w:val="13"/>
                <w:szCs w:val="13"/>
                <w:color w:val="auto"/>
              </w:rPr>
              <w:t>Chintu Patel</w:t>
            </w:r>
          </w:p>
        </w:tc>
        <w:tc>
          <w:tcPr>
            <w:tcW w:w="3300" w:type="dxa"/>
            <w:vAlign w:val="bottom"/>
            <w:shd w:val="clear" w:color="auto" w:fill="E4E9F2"/>
          </w:tcPr>
          <w:p>
            <w:pPr>
              <w:jc w:val="right"/>
              <w:ind w:right="168"/>
              <w:spacing w:after="0"/>
              <w:rPr>
                <w:sz w:val="20"/>
                <w:szCs w:val="20"/>
                <w:color w:val="auto"/>
              </w:rPr>
            </w:pPr>
            <w:r>
              <w:rPr>
                <w:rFonts w:ascii="Arial" w:cs="Arial" w:eastAsia="Arial" w:hAnsi="Arial"/>
                <w:sz w:val="14"/>
                <w:szCs w:val="14"/>
                <w:color w:val="auto"/>
              </w:rPr>
              <w:t>14,500</w:t>
            </w:r>
          </w:p>
        </w:tc>
        <w:tc>
          <w:tcPr>
            <w:tcW w:w="1500" w:type="dxa"/>
            <w:vAlign w:val="bottom"/>
            <w:shd w:val="clear" w:color="auto" w:fill="E4E9F2"/>
          </w:tcPr>
          <w:p>
            <w:pPr>
              <w:jc w:val="right"/>
              <w:ind w:right="148"/>
              <w:spacing w:after="0"/>
              <w:rPr>
                <w:sz w:val="20"/>
                <w:szCs w:val="20"/>
                <w:color w:val="auto"/>
              </w:rPr>
            </w:pPr>
            <w:r>
              <w:rPr>
                <w:rFonts w:ascii="Arial" w:cs="Arial" w:eastAsia="Arial" w:hAnsi="Arial"/>
                <w:sz w:val="14"/>
                <w:szCs w:val="14"/>
                <w:color w:val="auto"/>
              </w:rPr>
              <w:t>2,143</w:t>
            </w:r>
          </w:p>
        </w:tc>
        <w:tc>
          <w:tcPr>
            <w:tcW w:w="1560" w:type="dxa"/>
            <w:vAlign w:val="bottom"/>
            <w:shd w:val="clear" w:color="auto" w:fill="E4E9F2"/>
          </w:tcPr>
          <w:p>
            <w:pPr>
              <w:jc w:val="right"/>
              <w:ind w:right="189"/>
              <w:spacing w:after="0"/>
              <w:rPr>
                <w:sz w:val="20"/>
                <w:szCs w:val="20"/>
                <w:color w:val="auto"/>
              </w:rPr>
            </w:pPr>
            <w:r>
              <w:rPr>
                <w:rFonts w:ascii="Arial" w:cs="Arial" w:eastAsia="Arial" w:hAnsi="Arial"/>
                <w:sz w:val="14"/>
                <w:szCs w:val="14"/>
                <w:color w:val="auto"/>
              </w:rPr>
              <w:t>34,238</w:t>
            </w:r>
          </w:p>
        </w:tc>
        <w:tc>
          <w:tcPr>
            <w:tcW w:w="820" w:type="dxa"/>
            <w:vAlign w:val="bottom"/>
            <w:shd w:val="clear" w:color="auto" w:fill="E4E9F2"/>
          </w:tcPr>
          <w:p>
            <w:pPr>
              <w:jc w:val="right"/>
              <w:ind w:right="48"/>
              <w:spacing w:after="0"/>
              <w:rPr>
                <w:sz w:val="20"/>
                <w:szCs w:val="20"/>
                <w:color w:val="auto"/>
              </w:rPr>
            </w:pPr>
            <w:r>
              <w:rPr>
                <w:rFonts w:ascii="Arial" w:cs="Arial" w:eastAsia="Arial" w:hAnsi="Arial"/>
                <w:sz w:val="14"/>
                <w:szCs w:val="14"/>
                <w:color w:val="auto"/>
              </w:rPr>
              <w:t>50,881</w:t>
            </w:r>
          </w:p>
        </w:tc>
        <w:tc>
          <w:tcPr>
            <w:tcW w:w="0" w:type="dxa"/>
            <w:vAlign w:val="bottom"/>
          </w:tcPr>
          <w:p>
            <w:pPr>
              <w:spacing w:after="0"/>
              <w:rPr>
                <w:sz w:val="1"/>
                <w:szCs w:val="1"/>
                <w:color w:val="auto"/>
              </w:rPr>
            </w:pPr>
          </w:p>
        </w:tc>
      </w:tr>
      <w:tr>
        <w:trPr>
          <w:trHeight w:val="162"/>
        </w:trPr>
        <w:tc>
          <w:tcPr>
            <w:tcW w:w="3720" w:type="dxa"/>
            <w:vAlign w:val="bottom"/>
          </w:tcPr>
          <w:p>
            <w:pPr>
              <w:ind w:left="60"/>
              <w:spacing w:after="0"/>
              <w:rPr>
                <w:sz w:val="20"/>
                <w:szCs w:val="20"/>
                <w:color w:val="auto"/>
              </w:rPr>
            </w:pPr>
            <w:r>
              <w:rPr>
                <w:rFonts w:ascii="Arial" w:cs="Arial" w:eastAsia="Arial" w:hAnsi="Arial"/>
                <w:sz w:val="13"/>
                <w:szCs w:val="13"/>
                <w:color w:val="auto"/>
              </w:rPr>
              <w:t>Anastasios Konidaris</w:t>
            </w:r>
          </w:p>
        </w:tc>
        <w:tc>
          <w:tcPr>
            <w:tcW w:w="3300" w:type="dxa"/>
            <w:vAlign w:val="bottom"/>
          </w:tcPr>
          <w:p>
            <w:pPr>
              <w:jc w:val="right"/>
              <w:ind w:right="168"/>
              <w:spacing w:after="0"/>
              <w:rPr>
                <w:sz w:val="20"/>
                <w:szCs w:val="20"/>
                <w:color w:val="auto"/>
              </w:rPr>
            </w:pPr>
            <w:r>
              <w:rPr>
                <w:rFonts w:ascii="Arial" w:cs="Arial" w:eastAsia="Arial" w:hAnsi="Arial"/>
                <w:sz w:val="14"/>
                <w:szCs w:val="14"/>
                <w:color w:val="auto"/>
              </w:rPr>
              <w:t>14,500</w:t>
            </w:r>
          </w:p>
        </w:tc>
        <w:tc>
          <w:tcPr>
            <w:tcW w:w="1500" w:type="dxa"/>
            <w:vAlign w:val="bottom"/>
          </w:tcPr>
          <w:p>
            <w:pPr>
              <w:jc w:val="right"/>
              <w:ind w:right="148"/>
              <w:spacing w:after="0"/>
              <w:rPr>
                <w:sz w:val="20"/>
                <w:szCs w:val="20"/>
                <w:color w:val="auto"/>
              </w:rPr>
            </w:pPr>
            <w:r>
              <w:rPr>
                <w:rFonts w:ascii="Arial" w:cs="Arial" w:eastAsia="Arial" w:hAnsi="Arial"/>
                <w:sz w:val="14"/>
                <w:szCs w:val="14"/>
                <w:color w:val="auto"/>
              </w:rPr>
              <w:t>1,827</w:t>
            </w:r>
          </w:p>
        </w:tc>
        <w:tc>
          <w:tcPr>
            <w:tcW w:w="1560" w:type="dxa"/>
            <w:vAlign w:val="bottom"/>
          </w:tcPr>
          <w:p>
            <w:pPr>
              <w:jc w:val="right"/>
              <w:ind w:right="189"/>
              <w:spacing w:after="0"/>
              <w:rPr>
                <w:sz w:val="20"/>
                <w:szCs w:val="20"/>
                <w:color w:val="auto"/>
              </w:rPr>
            </w:pPr>
            <w:r>
              <w:rPr>
                <w:rFonts w:ascii="Arial" w:cs="Arial" w:eastAsia="Arial" w:hAnsi="Arial"/>
                <w:sz w:val="14"/>
                <w:szCs w:val="14"/>
                <w:color w:val="auto"/>
              </w:rPr>
              <w:t>—</w:t>
            </w:r>
          </w:p>
        </w:tc>
        <w:tc>
          <w:tcPr>
            <w:tcW w:w="820" w:type="dxa"/>
            <w:vAlign w:val="bottom"/>
          </w:tcPr>
          <w:p>
            <w:pPr>
              <w:jc w:val="right"/>
              <w:ind w:right="48"/>
              <w:spacing w:after="0"/>
              <w:rPr>
                <w:sz w:val="20"/>
                <w:szCs w:val="20"/>
                <w:color w:val="auto"/>
              </w:rPr>
            </w:pPr>
            <w:r>
              <w:rPr>
                <w:rFonts w:ascii="Arial" w:cs="Arial" w:eastAsia="Arial" w:hAnsi="Arial"/>
                <w:sz w:val="14"/>
                <w:szCs w:val="14"/>
                <w:color w:val="auto"/>
              </w:rPr>
              <w:t>16,327</w:t>
            </w:r>
          </w:p>
        </w:tc>
        <w:tc>
          <w:tcPr>
            <w:tcW w:w="0" w:type="dxa"/>
            <w:vAlign w:val="bottom"/>
          </w:tcPr>
          <w:p>
            <w:pPr>
              <w:spacing w:after="0"/>
              <w:rPr>
                <w:sz w:val="1"/>
                <w:szCs w:val="1"/>
                <w:color w:val="auto"/>
              </w:rPr>
            </w:pPr>
          </w:p>
        </w:tc>
      </w:tr>
      <w:tr>
        <w:trPr>
          <w:trHeight w:val="162"/>
        </w:trPr>
        <w:tc>
          <w:tcPr>
            <w:tcW w:w="3720" w:type="dxa"/>
            <w:vAlign w:val="bottom"/>
            <w:shd w:val="clear" w:color="auto" w:fill="E4E9F2"/>
          </w:tcPr>
          <w:p>
            <w:pPr>
              <w:ind w:left="60"/>
              <w:spacing w:after="0"/>
              <w:rPr>
                <w:sz w:val="20"/>
                <w:szCs w:val="20"/>
                <w:color w:val="auto"/>
              </w:rPr>
            </w:pPr>
            <w:r>
              <w:rPr>
                <w:rFonts w:ascii="Arial" w:cs="Arial" w:eastAsia="Arial" w:hAnsi="Arial"/>
                <w:sz w:val="13"/>
                <w:szCs w:val="13"/>
                <w:color w:val="auto"/>
              </w:rPr>
              <w:t>Andrew Boyer</w:t>
            </w:r>
          </w:p>
        </w:tc>
        <w:tc>
          <w:tcPr>
            <w:tcW w:w="3300" w:type="dxa"/>
            <w:vAlign w:val="bottom"/>
            <w:shd w:val="clear" w:color="auto" w:fill="E4E9F2"/>
          </w:tcPr>
          <w:p>
            <w:pPr>
              <w:jc w:val="right"/>
              <w:ind w:right="168"/>
              <w:spacing w:after="0"/>
              <w:rPr>
                <w:sz w:val="20"/>
                <w:szCs w:val="20"/>
                <w:color w:val="auto"/>
              </w:rPr>
            </w:pPr>
            <w:r>
              <w:rPr>
                <w:rFonts w:ascii="Arial" w:cs="Arial" w:eastAsia="Arial" w:hAnsi="Arial"/>
                <w:sz w:val="14"/>
                <w:szCs w:val="14"/>
                <w:color w:val="auto"/>
              </w:rPr>
              <w:t>14,500</w:t>
            </w:r>
          </w:p>
        </w:tc>
        <w:tc>
          <w:tcPr>
            <w:tcW w:w="1500" w:type="dxa"/>
            <w:vAlign w:val="bottom"/>
            <w:shd w:val="clear" w:color="auto" w:fill="E4E9F2"/>
          </w:tcPr>
          <w:p>
            <w:pPr>
              <w:jc w:val="right"/>
              <w:ind w:right="148"/>
              <w:spacing w:after="0"/>
              <w:rPr>
                <w:sz w:val="20"/>
                <w:szCs w:val="20"/>
                <w:color w:val="auto"/>
              </w:rPr>
            </w:pPr>
            <w:r>
              <w:rPr>
                <w:rFonts w:ascii="Arial" w:cs="Arial" w:eastAsia="Arial" w:hAnsi="Arial"/>
                <w:sz w:val="14"/>
                <w:szCs w:val="14"/>
                <w:color w:val="auto"/>
              </w:rPr>
              <w:t>1,906</w:t>
            </w:r>
          </w:p>
        </w:tc>
        <w:tc>
          <w:tcPr>
            <w:tcW w:w="1560" w:type="dxa"/>
            <w:vAlign w:val="bottom"/>
            <w:shd w:val="clear" w:color="auto" w:fill="E4E9F2"/>
          </w:tcPr>
          <w:p>
            <w:pPr>
              <w:jc w:val="right"/>
              <w:ind w:right="189"/>
              <w:spacing w:after="0"/>
              <w:rPr>
                <w:sz w:val="20"/>
                <w:szCs w:val="20"/>
                <w:color w:val="auto"/>
              </w:rPr>
            </w:pPr>
            <w:r>
              <w:rPr>
                <w:rFonts w:ascii="Arial" w:cs="Arial" w:eastAsia="Arial" w:hAnsi="Arial"/>
                <w:sz w:val="14"/>
                <w:szCs w:val="14"/>
                <w:color w:val="auto"/>
              </w:rPr>
              <w:t>—</w:t>
            </w:r>
          </w:p>
        </w:tc>
        <w:tc>
          <w:tcPr>
            <w:tcW w:w="820" w:type="dxa"/>
            <w:vAlign w:val="bottom"/>
            <w:shd w:val="clear" w:color="auto" w:fill="E4E9F2"/>
          </w:tcPr>
          <w:p>
            <w:pPr>
              <w:jc w:val="right"/>
              <w:ind w:right="48"/>
              <w:spacing w:after="0"/>
              <w:rPr>
                <w:sz w:val="20"/>
                <w:szCs w:val="20"/>
                <w:color w:val="auto"/>
              </w:rPr>
            </w:pPr>
            <w:r>
              <w:rPr>
                <w:rFonts w:ascii="Arial" w:cs="Arial" w:eastAsia="Arial" w:hAnsi="Arial"/>
                <w:sz w:val="14"/>
                <w:szCs w:val="14"/>
                <w:color w:val="auto"/>
              </w:rPr>
              <w:t>16,406</w:t>
            </w:r>
          </w:p>
        </w:tc>
        <w:tc>
          <w:tcPr>
            <w:tcW w:w="0" w:type="dxa"/>
            <w:vAlign w:val="bottom"/>
          </w:tcPr>
          <w:p>
            <w:pPr>
              <w:spacing w:after="0"/>
              <w:rPr>
                <w:sz w:val="1"/>
                <w:szCs w:val="1"/>
                <w:color w:val="auto"/>
              </w:rPr>
            </w:pPr>
          </w:p>
        </w:tc>
      </w:tr>
      <w:tr>
        <w:trPr>
          <w:trHeight w:val="162"/>
        </w:trPr>
        <w:tc>
          <w:tcPr>
            <w:tcW w:w="3720" w:type="dxa"/>
            <w:vAlign w:val="bottom"/>
          </w:tcPr>
          <w:p>
            <w:pPr>
              <w:ind w:left="60"/>
              <w:spacing w:after="0"/>
              <w:rPr>
                <w:sz w:val="20"/>
                <w:szCs w:val="20"/>
                <w:color w:val="auto"/>
              </w:rPr>
            </w:pPr>
            <w:r>
              <w:rPr>
                <w:rFonts w:ascii="Arial" w:cs="Arial" w:eastAsia="Arial" w:hAnsi="Arial"/>
                <w:sz w:val="13"/>
                <w:szCs w:val="13"/>
                <w:color w:val="auto"/>
              </w:rPr>
              <w:t>Joseph Todisco</w:t>
            </w:r>
          </w:p>
        </w:tc>
        <w:tc>
          <w:tcPr>
            <w:tcW w:w="3300" w:type="dxa"/>
            <w:vAlign w:val="bottom"/>
          </w:tcPr>
          <w:p>
            <w:pPr>
              <w:jc w:val="right"/>
              <w:ind w:right="168"/>
              <w:spacing w:after="0"/>
              <w:rPr>
                <w:sz w:val="20"/>
                <w:szCs w:val="20"/>
                <w:color w:val="auto"/>
              </w:rPr>
            </w:pPr>
            <w:r>
              <w:rPr>
                <w:rFonts w:ascii="Arial" w:cs="Arial" w:eastAsia="Arial" w:hAnsi="Arial"/>
                <w:sz w:val="14"/>
                <w:szCs w:val="14"/>
                <w:color w:val="auto"/>
              </w:rPr>
              <w:t>14,500</w:t>
            </w:r>
          </w:p>
        </w:tc>
        <w:tc>
          <w:tcPr>
            <w:tcW w:w="1500" w:type="dxa"/>
            <w:vAlign w:val="bottom"/>
          </w:tcPr>
          <w:p>
            <w:pPr>
              <w:jc w:val="right"/>
              <w:ind w:right="148"/>
              <w:spacing w:after="0"/>
              <w:rPr>
                <w:sz w:val="20"/>
                <w:szCs w:val="20"/>
                <w:color w:val="auto"/>
              </w:rPr>
            </w:pPr>
            <w:r>
              <w:rPr>
                <w:rFonts w:ascii="Arial" w:cs="Arial" w:eastAsia="Arial" w:hAnsi="Arial"/>
                <w:sz w:val="14"/>
                <w:szCs w:val="14"/>
                <w:color w:val="auto"/>
              </w:rPr>
              <w:t>1,787</w:t>
            </w:r>
          </w:p>
        </w:tc>
        <w:tc>
          <w:tcPr>
            <w:tcW w:w="1560" w:type="dxa"/>
            <w:vAlign w:val="bottom"/>
          </w:tcPr>
          <w:p>
            <w:pPr>
              <w:jc w:val="right"/>
              <w:ind w:right="189"/>
              <w:spacing w:after="0"/>
              <w:rPr>
                <w:sz w:val="20"/>
                <w:szCs w:val="20"/>
                <w:color w:val="auto"/>
              </w:rPr>
            </w:pPr>
            <w:r>
              <w:rPr>
                <w:rFonts w:ascii="Arial" w:cs="Arial" w:eastAsia="Arial" w:hAnsi="Arial"/>
                <w:sz w:val="14"/>
                <w:szCs w:val="14"/>
                <w:color w:val="auto"/>
              </w:rPr>
              <w:t>—</w:t>
            </w:r>
          </w:p>
        </w:tc>
        <w:tc>
          <w:tcPr>
            <w:tcW w:w="820" w:type="dxa"/>
            <w:vAlign w:val="bottom"/>
          </w:tcPr>
          <w:p>
            <w:pPr>
              <w:jc w:val="right"/>
              <w:ind w:right="48"/>
              <w:spacing w:after="0"/>
              <w:rPr>
                <w:sz w:val="20"/>
                <w:szCs w:val="20"/>
                <w:color w:val="auto"/>
              </w:rPr>
            </w:pPr>
            <w:r>
              <w:rPr>
                <w:rFonts w:ascii="Arial" w:cs="Arial" w:eastAsia="Arial" w:hAnsi="Arial"/>
                <w:sz w:val="14"/>
                <w:szCs w:val="14"/>
                <w:color w:val="auto"/>
              </w:rPr>
              <w:t>16,287</w:t>
            </w:r>
          </w:p>
        </w:tc>
        <w:tc>
          <w:tcPr>
            <w:tcW w:w="0" w:type="dxa"/>
            <w:vAlign w:val="bottom"/>
          </w:tcPr>
          <w:p>
            <w:pPr>
              <w:spacing w:after="0"/>
              <w:rPr>
                <w:sz w:val="1"/>
                <w:szCs w:val="1"/>
                <w:color w:val="auto"/>
              </w:rPr>
            </w:pPr>
          </w:p>
        </w:tc>
      </w:tr>
      <w:tr>
        <w:trPr>
          <w:trHeight w:val="162"/>
        </w:trPr>
        <w:tc>
          <w:tcPr>
            <w:tcW w:w="372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3"/>
                <w:szCs w:val="13"/>
                <w:color w:val="auto"/>
              </w:rPr>
              <w:t>Nikita Shah</w:t>
            </w:r>
          </w:p>
        </w:tc>
        <w:tc>
          <w:tcPr>
            <w:tcW w:w="3300" w:type="dxa"/>
            <w:vAlign w:val="bottom"/>
            <w:tcBorders>
              <w:bottom w:val="single" w:sz="8" w:color="04568A"/>
            </w:tcBorders>
            <w:shd w:val="clear" w:color="auto" w:fill="E4E9F2"/>
          </w:tcPr>
          <w:p>
            <w:pPr>
              <w:jc w:val="right"/>
              <w:ind w:right="168"/>
              <w:spacing w:after="0"/>
              <w:rPr>
                <w:sz w:val="20"/>
                <w:szCs w:val="20"/>
                <w:color w:val="auto"/>
              </w:rPr>
            </w:pPr>
            <w:r>
              <w:rPr>
                <w:rFonts w:ascii="Arial" w:cs="Arial" w:eastAsia="Arial" w:hAnsi="Arial"/>
                <w:sz w:val="14"/>
                <w:szCs w:val="14"/>
                <w:color w:val="auto"/>
              </w:rPr>
              <w:t>14,500</w:t>
            </w:r>
          </w:p>
        </w:tc>
        <w:tc>
          <w:tcPr>
            <w:tcW w:w="1500" w:type="dxa"/>
            <w:vAlign w:val="bottom"/>
            <w:tcBorders>
              <w:bottom w:val="single" w:sz="8" w:color="04568A"/>
            </w:tcBorders>
            <w:shd w:val="clear" w:color="auto" w:fill="E4E9F2"/>
          </w:tcPr>
          <w:p>
            <w:pPr>
              <w:jc w:val="right"/>
              <w:ind w:right="148"/>
              <w:spacing w:after="0"/>
              <w:rPr>
                <w:sz w:val="20"/>
                <w:szCs w:val="20"/>
                <w:color w:val="auto"/>
              </w:rPr>
            </w:pPr>
            <w:r>
              <w:rPr>
                <w:rFonts w:ascii="Arial" w:cs="Arial" w:eastAsia="Arial" w:hAnsi="Arial"/>
                <w:sz w:val="14"/>
                <w:szCs w:val="14"/>
                <w:color w:val="auto"/>
              </w:rPr>
              <w:t>1,669</w:t>
            </w:r>
          </w:p>
        </w:tc>
        <w:tc>
          <w:tcPr>
            <w:tcW w:w="1560" w:type="dxa"/>
            <w:vAlign w:val="bottom"/>
            <w:tcBorders>
              <w:bottom w:val="single" w:sz="8" w:color="04568A"/>
            </w:tcBorders>
            <w:shd w:val="clear" w:color="auto" w:fill="E4E9F2"/>
          </w:tcPr>
          <w:p>
            <w:pPr>
              <w:jc w:val="right"/>
              <w:ind w:right="189"/>
              <w:spacing w:after="0"/>
              <w:rPr>
                <w:sz w:val="20"/>
                <w:szCs w:val="20"/>
                <w:color w:val="auto"/>
              </w:rPr>
            </w:pPr>
            <w:r>
              <w:rPr>
                <w:rFonts w:ascii="Arial" w:cs="Arial" w:eastAsia="Arial" w:hAnsi="Arial"/>
                <w:sz w:val="14"/>
                <w:szCs w:val="14"/>
                <w:color w:val="auto"/>
              </w:rPr>
              <w:t>—</w:t>
            </w:r>
          </w:p>
        </w:tc>
        <w:tc>
          <w:tcPr>
            <w:tcW w:w="820" w:type="dxa"/>
            <w:vAlign w:val="bottom"/>
            <w:tcBorders>
              <w:bottom w:val="single" w:sz="8" w:color="04568A"/>
            </w:tcBorders>
            <w:shd w:val="clear" w:color="auto" w:fill="E4E9F2"/>
          </w:tcPr>
          <w:p>
            <w:pPr>
              <w:jc w:val="right"/>
              <w:ind w:right="48"/>
              <w:spacing w:after="0"/>
              <w:rPr>
                <w:sz w:val="20"/>
                <w:szCs w:val="20"/>
                <w:color w:val="auto"/>
              </w:rPr>
            </w:pPr>
            <w:r>
              <w:rPr>
                <w:rFonts w:ascii="Arial" w:cs="Arial" w:eastAsia="Arial" w:hAnsi="Arial"/>
                <w:sz w:val="14"/>
                <w:szCs w:val="14"/>
                <w:color w:val="auto"/>
              </w:rPr>
              <w:t>16,169</w:t>
            </w:r>
          </w:p>
        </w:tc>
        <w:tc>
          <w:tcPr>
            <w:tcW w:w="0" w:type="dxa"/>
            <w:vAlign w:val="bottom"/>
          </w:tcPr>
          <w:p>
            <w:pPr>
              <w:spacing w:after="0"/>
              <w:rPr>
                <w:sz w:val="1"/>
                <w:szCs w:val="1"/>
                <w:color w:val="auto"/>
              </w:rPr>
            </w:pPr>
          </w:p>
        </w:tc>
      </w:tr>
    </w:tbl>
    <w:p>
      <w:pPr>
        <w:spacing w:after="0" w:line="58" w:lineRule="exact"/>
        <w:rPr>
          <w:sz w:val="20"/>
          <w:szCs w:val="20"/>
          <w:color w:val="auto"/>
        </w:rPr>
      </w:pPr>
    </w:p>
    <w:p>
      <w:pPr>
        <w:jc w:val="both"/>
        <w:ind w:left="540" w:right="60" w:hanging="262"/>
        <w:spacing w:after="0" w:line="260" w:lineRule="auto"/>
        <w:tabs>
          <w:tab w:leader="none" w:pos="540" w:val="left"/>
        </w:tabs>
        <w:numPr>
          <w:ilvl w:val="0"/>
          <w:numId w:val="33"/>
        </w:numPr>
        <w:rPr>
          <w:rFonts w:ascii="Arial" w:cs="Arial" w:eastAsia="Arial" w:hAnsi="Arial"/>
          <w:sz w:val="14"/>
          <w:szCs w:val="14"/>
          <w:i w:val="1"/>
          <w:iCs w:val="1"/>
          <w:color w:val="auto"/>
        </w:rPr>
      </w:pPr>
      <w:r>
        <w:rPr>
          <w:rFonts w:ascii="Arial" w:cs="Arial" w:eastAsia="Arial" w:hAnsi="Arial"/>
          <w:sz w:val="14"/>
          <w:szCs w:val="14"/>
          <w:i w:val="1"/>
          <w:iCs w:val="1"/>
          <w:color w:val="auto"/>
        </w:rPr>
        <w:t>We own a car and employ a driver for the exclusive use of each of Mr. Chirag Patel and Mr. Chintu Patel. Although the majority of the driver’s services (and, therefore, the costs associated with the car) are for business purposes, we allow for use of the car and driver for personal purposes - generally for daily commute - as we believe this accommodation enables increased productivity during this time.</w:t>
      </w:r>
    </w:p>
    <w:p>
      <w:pPr>
        <w:spacing w:after="0" w:line="143"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39" w:name="page40"/>
    <w:bookmarkEnd w:id="39"/>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Grants of Plan Based Awards in 2021</w:t>
      </w:r>
    </w:p>
    <w:p>
      <w:pPr>
        <w:spacing w:after="0" w:line="237" w:lineRule="exact"/>
        <w:rPr>
          <w:sz w:val="20"/>
          <w:szCs w:val="20"/>
          <w:color w:val="auto"/>
        </w:rPr>
      </w:pPr>
    </w:p>
    <w:p>
      <w:pPr>
        <w:spacing w:after="0"/>
        <w:rPr>
          <w:sz w:val="20"/>
          <w:szCs w:val="20"/>
          <w:color w:val="auto"/>
        </w:rPr>
      </w:pPr>
      <w:r>
        <w:rPr>
          <w:rFonts w:ascii="Arial" w:cs="Arial" w:eastAsia="Arial" w:hAnsi="Arial"/>
          <w:sz w:val="16"/>
          <w:szCs w:val="16"/>
          <w:color w:val="auto"/>
        </w:rPr>
        <w:t>The following tables set forth information about non-equity and equity awards granted to the named executive officers in fiscal 2021.</w:t>
      </w:r>
    </w:p>
    <w:p>
      <w:pPr>
        <w:spacing w:after="0" w:line="233"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33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tcPr>
          <w:p>
            <w:pPr>
              <w:jc w:val="right"/>
              <w:ind w:right="108"/>
              <w:spacing w:after="0"/>
              <w:rPr>
                <w:sz w:val="20"/>
                <w:szCs w:val="20"/>
                <w:color w:val="auto"/>
              </w:rPr>
            </w:pPr>
            <w:r>
              <w:rPr>
                <w:rFonts w:ascii="Arial" w:cs="Arial" w:eastAsia="Arial" w:hAnsi="Arial"/>
                <w:sz w:val="14"/>
                <w:szCs w:val="14"/>
                <w:b w:val="1"/>
                <w:bCs w:val="1"/>
                <w:color w:val="04568A"/>
              </w:rPr>
              <w:t>All Other</w:t>
            </w:r>
          </w:p>
        </w:tc>
        <w:tc>
          <w:tcPr>
            <w:tcW w:w="9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3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2540" w:type="dxa"/>
            <w:vAlign w:val="bottom"/>
            <w:gridSpan w:val="4"/>
            <w:vMerge w:val="restart"/>
          </w:tcPr>
          <w:p>
            <w:pPr>
              <w:jc w:val="center"/>
              <w:ind w:right="200"/>
              <w:spacing w:after="0"/>
              <w:rPr>
                <w:sz w:val="20"/>
                <w:szCs w:val="20"/>
                <w:color w:val="auto"/>
              </w:rPr>
            </w:pPr>
            <w:r>
              <w:rPr>
                <w:rFonts w:ascii="Arial" w:cs="Arial" w:eastAsia="Arial" w:hAnsi="Arial"/>
                <w:sz w:val="14"/>
                <w:szCs w:val="14"/>
                <w:b w:val="1"/>
                <w:bCs w:val="1"/>
                <w:color w:val="04568A"/>
              </w:rPr>
              <w:t>Estimated Future Payouts</w:t>
            </w:r>
          </w:p>
        </w:tc>
        <w:tc>
          <w:tcPr>
            <w:tcW w:w="8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tcPr>
          <w:p>
            <w:pPr>
              <w:jc w:val="right"/>
              <w:ind w:right="108"/>
              <w:spacing w:after="0"/>
              <w:rPr>
                <w:sz w:val="20"/>
                <w:szCs w:val="20"/>
                <w:color w:val="auto"/>
              </w:rPr>
            </w:pPr>
            <w:r>
              <w:rPr>
                <w:rFonts w:ascii="Arial" w:cs="Arial" w:eastAsia="Arial" w:hAnsi="Arial"/>
                <w:sz w:val="14"/>
                <w:szCs w:val="14"/>
                <w:b w:val="1"/>
                <w:bCs w:val="1"/>
                <w:color w:val="04568A"/>
              </w:rPr>
              <w:t>Stock</w:t>
            </w:r>
          </w:p>
        </w:tc>
        <w:tc>
          <w:tcPr>
            <w:tcW w:w="900" w:type="dxa"/>
            <w:vAlign w:val="bottom"/>
          </w:tcPr>
          <w:p>
            <w:pPr>
              <w:jc w:val="right"/>
              <w:spacing w:after="0"/>
              <w:rPr>
                <w:sz w:val="20"/>
                <w:szCs w:val="20"/>
                <w:color w:val="auto"/>
              </w:rPr>
            </w:pPr>
            <w:r>
              <w:rPr>
                <w:rFonts w:ascii="Arial" w:cs="Arial" w:eastAsia="Arial" w:hAnsi="Arial"/>
                <w:sz w:val="14"/>
                <w:szCs w:val="14"/>
                <w:b w:val="1"/>
                <w:bCs w:val="1"/>
                <w:color w:val="04568A"/>
              </w:rPr>
              <w:t>Grant</w:t>
            </w:r>
          </w:p>
        </w:tc>
        <w:tc>
          <w:tcPr>
            <w:tcW w:w="0" w:type="dxa"/>
            <w:vAlign w:val="bottom"/>
          </w:tcPr>
          <w:p>
            <w:pPr>
              <w:spacing w:after="0"/>
              <w:rPr>
                <w:sz w:val="1"/>
                <w:szCs w:val="1"/>
                <w:color w:val="auto"/>
              </w:rPr>
            </w:pPr>
          </w:p>
        </w:tc>
      </w:tr>
      <w:tr>
        <w:trPr>
          <w:trHeight w:val="148"/>
        </w:trPr>
        <w:tc>
          <w:tcPr>
            <w:tcW w:w="33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540" w:type="dxa"/>
            <w:vAlign w:val="bottom"/>
            <w:gridSpan w:val="4"/>
            <w:vMerge w:val="continue"/>
          </w:tcPr>
          <w:p>
            <w:pPr>
              <w:spacing w:after="0"/>
              <w:rPr>
                <w:sz w:val="12"/>
                <w:szCs w:val="12"/>
                <w:color w:val="auto"/>
              </w:rPr>
            </w:pPr>
          </w:p>
        </w:tc>
        <w:tc>
          <w:tcPr>
            <w:tcW w:w="8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tcPr>
          <w:p>
            <w:pPr>
              <w:jc w:val="right"/>
              <w:ind w:right="108"/>
              <w:spacing w:after="0" w:line="148" w:lineRule="exact"/>
              <w:rPr>
                <w:sz w:val="20"/>
                <w:szCs w:val="20"/>
                <w:color w:val="auto"/>
              </w:rPr>
            </w:pPr>
            <w:r>
              <w:rPr>
                <w:rFonts w:ascii="Arial" w:cs="Arial" w:eastAsia="Arial" w:hAnsi="Arial"/>
                <w:sz w:val="14"/>
                <w:szCs w:val="14"/>
                <w:b w:val="1"/>
                <w:bCs w:val="1"/>
                <w:color w:val="04568A"/>
              </w:rPr>
              <w:t>Awards:</w:t>
            </w:r>
          </w:p>
        </w:tc>
        <w:tc>
          <w:tcPr>
            <w:tcW w:w="900" w:type="dxa"/>
            <w:vAlign w:val="bottom"/>
          </w:tcPr>
          <w:p>
            <w:pPr>
              <w:jc w:val="right"/>
              <w:spacing w:after="0" w:line="148" w:lineRule="exact"/>
              <w:rPr>
                <w:sz w:val="20"/>
                <w:szCs w:val="20"/>
                <w:color w:val="auto"/>
              </w:rPr>
            </w:pPr>
            <w:r>
              <w:rPr>
                <w:rFonts w:ascii="Arial" w:cs="Arial" w:eastAsia="Arial" w:hAnsi="Arial"/>
                <w:sz w:val="14"/>
                <w:szCs w:val="14"/>
                <w:b w:val="1"/>
                <w:bCs w:val="1"/>
                <w:color w:val="04568A"/>
              </w:rPr>
              <w:t>Date Fair</w:t>
            </w:r>
          </w:p>
        </w:tc>
        <w:tc>
          <w:tcPr>
            <w:tcW w:w="0" w:type="dxa"/>
            <w:vAlign w:val="bottom"/>
          </w:tcPr>
          <w:p>
            <w:pPr>
              <w:spacing w:after="0"/>
              <w:rPr>
                <w:sz w:val="1"/>
                <w:szCs w:val="1"/>
                <w:color w:val="auto"/>
              </w:rPr>
            </w:pPr>
          </w:p>
        </w:tc>
      </w:tr>
      <w:tr>
        <w:trPr>
          <w:trHeight w:val="162"/>
        </w:trPr>
        <w:tc>
          <w:tcPr>
            <w:tcW w:w="33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254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04568A"/>
              </w:rPr>
              <w:t>Under Non-Equity Incentive</w:t>
            </w:r>
          </w:p>
        </w:tc>
        <w:tc>
          <w:tcPr>
            <w:tcW w:w="2520" w:type="dxa"/>
            <w:vAlign w:val="bottom"/>
            <w:gridSpan w:val="4"/>
          </w:tcPr>
          <w:p>
            <w:pPr>
              <w:jc w:val="right"/>
              <w:ind w:right="240"/>
              <w:spacing w:after="0"/>
              <w:rPr>
                <w:sz w:val="20"/>
                <w:szCs w:val="20"/>
                <w:color w:val="auto"/>
              </w:rPr>
            </w:pPr>
            <w:r>
              <w:rPr>
                <w:rFonts w:ascii="Arial" w:cs="Arial" w:eastAsia="Arial" w:hAnsi="Arial"/>
                <w:sz w:val="14"/>
                <w:szCs w:val="14"/>
                <w:b w:val="1"/>
                <w:bCs w:val="1"/>
                <w:color w:val="04568A"/>
              </w:rPr>
              <w:t>Estimated Future Payouts Under</w:t>
            </w:r>
          </w:p>
        </w:tc>
        <w:tc>
          <w:tcPr>
            <w:tcW w:w="1080" w:type="dxa"/>
            <w:vAlign w:val="bottom"/>
          </w:tcPr>
          <w:p>
            <w:pPr>
              <w:jc w:val="right"/>
              <w:ind w:right="108"/>
              <w:spacing w:after="0"/>
              <w:rPr>
                <w:sz w:val="20"/>
                <w:szCs w:val="20"/>
                <w:color w:val="auto"/>
              </w:rPr>
            </w:pPr>
            <w:r>
              <w:rPr>
                <w:rFonts w:ascii="Arial" w:cs="Arial" w:eastAsia="Arial" w:hAnsi="Arial"/>
                <w:sz w:val="14"/>
                <w:szCs w:val="14"/>
                <w:b w:val="1"/>
                <w:bCs w:val="1"/>
                <w:color w:val="04568A"/>
              </w:rPr>
              <w:t>Number of</w:t>
            </w:r>
          </w:p>
        </w:tc>
        <w:tc>
          <w:tcPr>
            <w:tcW w:w="900" w:type="dxa"/>
            <w:vAlign w:val="bottom"/>
          </w:tcPr>
          <w:p>
            <w:pPr>
              <w:jc w:val="right"/>
              <w:spacing w:after="0"/>
              <w:rPr>
                <w:sz w:val="20"/>
                <w:szCs w:val="20"/>
                <w:color w:val="auto"/>
              </w:rPr>
            </w:pPr>
            <w:r>
              <w:rPr>
                <w:rFonts w:ascii="Arial" w:cs="Arial" w:eastAsia="Arial" w:hAnsi="Arial"/>
                <w:sz w:val="14"/>
                <w:szCs w:val="14"/>
                <w:b w:val="1"/>
                <w:bCs w:val="1"/>
                <w:color w:val="04568A"/>
              </w:rPr>
              <w:t>Value of</w:t>
            </w:r>
          </w:p>
        </w:tc>
        <w:tc>
          <w:tcPr>
            <w:tcW w:w="0" w:type="dxa"/>
            <w:vAlign w:val="bottom"/>
          </w:tcPr>
          <w:p>
            <w:pPr>
              <w:spacing w:after="0"/>
              <w:rPr>
                <w:sz w:val="1"/>
                <w:szCs w:val="1"/>
                <w:color w:val="auto"/>
              </w:rPr>
            </w:pPr>
          </w:p>
        </w:tc>
      </w:tr>
      <w:tr>
        <w:trPr>
          <w:trHeight w:val="175"/>
        </w:trPr>
        <w:tc>
          <w:tcPr>
            <w:tcW w:w="336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680" w:type="dxa"/>
            <w:vAlign w:val="bottom"/>
            <w:gridSpan w:val="2"/>
          </w:tcPr>
          <w:p>
            <w:pPr>
              <w:jc w:val="center"/>
              <w:ind w:left="609"/>
              <w:spacing w:after="0" w:line="176" w:lineRule="exact"/>
              <w:rPr>
                <w:sz w:val="20"/>
                <w:szCs w:val="20"/>
                <w:color w:val="auto"/>
              </w:rPr>
            </w:pPr>
            <w:r>
              <w:rPr>
                <w:rFonts w:ascii="Arial" w:cs="Arial" w:eastAsia="Arial" w:hAnsi="Arial"/>
                <w:sz w:val="13"/>
                <w:szCs w:val="13"/>
                <w:b w:val="1"/>
                <w:bCs w:val="1"/>
                <w:color w:val="04568A"/>
              </w:rPr>
              <w:t>Plan Awards</w:t>
            </w:r>
            <w:r>
              <w:rPr>
                <w:rFonts w:ascii="Arial" w:cs="Arial" w:eastAsia="Arial" w:hAnsi="Arial"/>
                <w:sz w:val="20"/>
                <w:szCs w:val="20"/>
                <w:b w:val="1"/>
                <w:bCs w:val="1"/>
                <w:color w:val="04568A"/>
                <w:vertAlign w:val="superscript"/>
              </w:rPr>
              <w:t>(1)</w:t>
            </w:r>
          </w:p>
        </w:tc>
        <w:tc>
          <w:tcPr>
            <w:tcW w:w="6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520" w:type="dxa"/>
            <w:vAlign w:val="bottom"/>
            <w:gridSpan w:val="4"/>
          </w:tcPr>
          <w:p>
            <w:pPr>
              <w:jc w:val="right"/>
              <w:ind w:right="280"/>
              <w:spacing w:after="0" w:line="176" w:lineRule="exact"/>
              <w:rPr>
                <w:sz w:val="20"/>
                <w:szCs w:val="20"/>
                <w:color w:val="auto"/>
              </w:rPr>
            </w:pPr>
            <w:r>
              <w:rPr>
                <w:rFonts w:ascii="Arial" w:cs="Arial" w:eastAsia="Arial" w:hAnsi="Arial"/>
                <w:sz w:val="13"/>
                <w:szCs w:val="13"/>
                <w:b w:val="1"/>
                <w:bCs w:val="1"/>
                <w:color w:val="04568A"/>
              </w:rPr>
              <w:t>Equity Incentive Plan Awards</w:t>
            </w:r>
            <w:r>
              <w:rPr>
                <w:rFonts w:ascii="Arial" w:cs="Arial" w:eastAsia="Arial" w:hAnsi="Arial"/>
                <w:sz w:val="20"/>
                <w:szCs w:val="20"/>
                <w:b w:val="1"/>
                <w:bCs w:val="1"/>
                <w:color w:val="04568A"/>
                <w:vertAlign w:val="superscript"/>
              </w:rPr>
              <w:t>(2)</w:t>
            </w:r>
          </w:p>
        </w:tc>
        <w:tc>
          <w:tcPr>
            <w:tcW w:w="1080" w:type="dxa"/>
            <w:vAlign w:val="bottom"/>
          </w:tcPr>
          <w:p>
            <w:pPr>
              <w:jc w:val="right"/>
              <w:ind w:right="108"/>
              <w:spacing w:after="0"/>
              <w:rPr>
                <w:sz w:val="20"/>
                <w:szCs w:val="20"/>
                <w:color w:val="auto"/>
              </w:rPr>
            </w:pPr>
            <w:r>
              <w:rPr>
                <w:rFonts w:ascii="Arial" w:cs="Arial" w:eastAsia="Arial" w:hAnsi="Arial"/>
                <w:sz w:val="14"/>
                <w:szCs w:val="14"/>
                <w:b w:val="1"/>
                <w:bCs w:val="1"/>
                <w:color w:val="04568A"/>
              </w:rPr>
              <w:t>Shares of</w:t>
            </w:r>
          </w:p>
        </w:tc>
        <w:tc>
          <w:tcPr>
            <w:tcW w:w="900" w:type="dxa"/>
            <w:vAlign w:val="bottom"/>
          </w:tcPr>
          <w:p>
            <w:pPr>
              <w:jc w:val="right"/>
              <w:spacing w:after="0"/>
              <w:rPr>
                <w:sz w:val="20"/>
                <w:szCs w:val="20"/>
                <w:color w:val="auto"/>
              </w:rPr>
            </w:pPr>
            <w:r>
              <w:rPr>
                <w:rFonts w:ascii="Arial" w:cs="Arial" w:eastAsia="Arial" w:hAnsi="Arial"/>
                <w:sz w:val="14"/>
                <w:szCs w:val="14"/>
                <w:b w:val="1"/>
                <w:bCs w:val="1"/>
                <w:color w:val="04568A"/>
              </w:rPr>
              <w:t>Stock and</w:t>
            </w:r>
          </w:p>
        </w:tc>
        <w:tc>
          <w:tcPr>
            <w:tcW w:w="0" w:type="dxa"/>
            <w:vAlign w:val="bottom"/>
          </w:tcPr>
          <w:p>
            <w:pPr>
              <w:spacing w:after="0"/>
              <w:rPr>
                <w:sz w:val="1"/>
                <w:szCs w:val="1"/>
                <w:color w:val="auto"/>
              </w:rPr>
            </w:pPr>
          </w:p>
        </w:tc>
      </w:tr>
      <w:tr>
        <w:trPr>
          <w:trHeight w:val="141"/>
        </w:trPr>
        <w:tc>
          <w:tcPr>
            <w:tcW w:w="33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20" w:type="dxa"/>
            <w:vAlign w:val="bottom"/>
            <w:tcBorders>
              <w:top w:val="single" w:sz="8" w:color="04568A"/>
            </w:tcBorders>
          </w:tcPr>
          <w:p>
            <w:pPr>
              <w:spacing w:after="0"/>
              <w:rPr>
                <w:sz w:val="12"/>
                <w:szCs w:val="12"/>
                <w:color w:val="auto"/>
              </w:rPr>
            </w:pPr>
          </w:p>
        </w:tc>
        <w:tc>
          <w:tcPr>
            <w:tcW w:w="860" w:type="dxa"/>
            <w:vAlign w:val="bottom"/>
            <w:tcBorders>
              <w:top w:val="single" w:sz="8" w:color="04568A"/>
            </w:tcBorders>
          </w:tcPr>
          <w:p>
            <w:pPr>
              <w:spacing w:after="0"/>
              <w:rPr>
                <w:sz w:val="12"/>
                <w:szCs w:val="12"/>
                <w:color w:val="auto"/>
              </w:rPr>
            </w:pPr>
          </w:p>
        </w:tc>
        <w:tc>
          <w:tcPr>
            <w:tcW w:w="660" w:type="dxa"/>
            <w:vAlign w:val="bottom"/>
            <w:tcBorders>
              <w:top w:val="single" w:sz="8" w:color="04568A"/>
            </w:tcBorders>
          </w:tcPr>
          <w:p>
            <w:pPr>
              <w:spacing w:after="0"/>
              <w:rPr>
                <w:sz w:val="12"/>
                <w:szCs w:val="12"/>
                <w:color w:val="auto"/>
              </w:rPr>
            </w:pPr>
          </w:p>
        </w:tc>
        <w:tc>
          <w:tcPr>
            <w:tcW w:w="200" w:type="dxa"/>
            <w:vAlign w:val="bottom"/>
          </w:tcPr>
          <w:p>
            <w:pPr>
              <w:spacing w:after="0"/>
              <w:rPr>
                <w:sz w:val="12"/>
                <w:szCs w:val="12"/>
                <w:color w:val="auto"/>
              </w:rPr>
            </w:pPr>
          </w:p>
        </w:tc>
        <w:tc>
          <w:tcPr>
            <w:tcW w:w="820" w:type="dxa"/>
            <w:vAlign w:val="bottom"/>
            <w:tcBorders>
              <w:top w:val="single" w:sz="8" w:color="04568A"/>
            </w:tcBorders>
          </w:tcPr>
          <w:p>
            <w:pPr>
              <w:spacing w:after="0"/>
              <w:rPr>
                <w:sz w:val="12"/>
                <w:szCs w:val="12"/>
                <w:color w:val="auto"/>
              </w:rPr>
            </w:pPr>
          </w:p>
        </w:tc>
        <w:tc>
          <w:tcPr>
            <w:tcW w:w="740" w:type="dxa"/>
            <w:vAlign w:val="bottom"/>
            <w:tcBorders>
              <w:top w:val="single" w:sz="8" w:color="04568A"/>
            </w:tcBorders>
          </w:tcPr>
          <w:p>
            <w:pPr>
              <w:spacing w:after="0"/>
              <w:rPr>
                <w:sz w:val="12"/>
                <w:szCs w:val="12"/>
                <w:color w:val="auto"/>
              </w:rPr>
            </w:pPr>
          </w:p>
        </w:tc>
        <w:tc>
          <w:tcPr>
            <w:tcW w:w="780" w:type="dxa"/>
            <w:vAlign w:val="bottom"/>
            <w:tcBorders>
              <w:top w:val="single" w:sz="8" w:color="04568A"/>
            </w:tcBorders>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tcPr>
          <w:p>
            <w:pPr>
              <w:jc w:val="right"/>
              <w:ind w:right="108"/>
              <w:spacing w:after="0" w:line="141" w:lineRule="exact"/>
              <w:rPr>
                <w:sz w:val="20"/>
                <w:szCs w:val="20"/>
                <w:color w:val="auto"/>
              </w:rPr>
            </w:pPr>
            <w:r>
              <w:rPr>
                <w:rFonts w:ascii="Arial" w:cs="Arial" w:eastAsia="Arial" w:hAnsi="Arial"/>
                <w:sz w:val="14"/>
                <w:szCs w:val="14"/>
                <w:b w:val="1"/>
                <w:bCs w:val="1"/>
                <w:color w:val="04568A"/>
              </w:rPr>
              <w:t>Stock or</w:t>
            </w:r>
          </w:p>
        </w:tc>
        <w:tc>
          <w:tcPr>
            <w:tcW w:w="900" w:type="dxa"/>
            <w:vAlign w:val="bottom"/>
          </w:tcPr>
          <w:p>
            <w:pPr>
              <w:jc w:val="right"/>
              <w:spacing w:after="0" w:line="141" w:lineRule="exact"/>
              <w:rPr>
                <w:sz w:val="20"/>
                <w:szCs w:val="20"/>
                <w:color w:val="auto"/>
              </w:rPr>
            </w:pPr>
            <w:r>
              <w:rPr>
                <w:rFonts w:ascii="Arial" w:cs="Arial" w:eastAsia="Arial" w:hAnsi="Arial"/>
                <w:sz w:val="14"/>
                <w:szCs w:val="14"/>
                <w:b w:val="1"/>
                <w:bCs w:val="1"/>
                <w:color w:val="04568A"/>
              </w:rPr>
              <w:t>Option</w:t>
            </w:r>
          </w:p>
        </w:tc>
        <w:tc>
          <w:tcPr>
            <w:tcW w:w="0" w:type="dxa"/>
            <w:vAlign w:val="bottom"/>
          </w:tcPr>
          <w:p>
            <w:pPr>
              <w:spacing w:after="0"/>
              <w:rPr>
                <w:sz w:val="1"/>
                <w:szCs w:val="1"/>
                <w:color w:val="auto"/>
              </w:rPr>
            </w:pPr>
          </w:p>
        </w:tc>
      </w:tr>
      <w:tr>
        <w:trPr>
          <w:trHeight w:val="190"/>
        </w:trPr>
        <w:tc>
          <w:tcPr>
            <w:tcW w:w="3360" w:type="dxa"/>
            <w:vAlign w:val="bottom"/>
          </w:tcPr>
          <w:p>
            <w:pPr>
              <w:spacing w:after="0"/>
              <w:rPr>
                <w:sz w:val="16"/>
                <w:szCs w:val="16"/>
                <w:color w:val="auto"/>
              </w:rPr>
            </w:pPr>
          </w:p>
        </w:tc>
        <w:tc>
          <w:tcPr>
            <w:tcW w:w="840" w:type="dxa"/>
            <w:vAlign w:val="bottom"/>
          </w:tcPr>
          <w:p>
            <w:pPr>
              <w:jc w:val="right"/>
              <w:ind w:right="128"/>
              <w:spacing w:after="0"/>
              <w:rPr>
                <w:sz w:val="20"/>
                <w:szCs w:val="20"/>
                <w:color w:val="auto"/>
              </w:rPr>
            </w:pPr>
            <w:r>
              <w:rPr>
                <w:rFonts w:ascii="Arial" w:cs="Arial" w:eastAsia="Arial" w:hAnsi="Arial"/>
                <w:sz w:val="14"/>
                <w:szCs w:val="14"/>
                <w:b w:val="1"/>
                <w:bCs w:val="1"/>
                <w:color w:val="04568A"/>
              </w:rPr>
              <w:t>Grant</w:t>
            </w:r>
          </w:p>
        </w:tc>
        <w:tc>
          <w:tcPr>
            <w:tcW w:w="820" w:type="dxa"/>
            <w:vAlign w:val="bottom"/>
          </w:tcPr>
          <w:p>
            <w:pPr>
              <w:jc w:val="right"/>
              <w:ind w:right="49"/>
              <w:spacing w:after="0"/>
              <w:rPr>
                <w:sz w:val="20"/>
                <w:szCs w:val="20"/>
                <w:color w:val="auto"/>
              </w:rPr>
            </w:pPr>
            <w:r>
              <w:rPr>
                <w:rFonts w:ascii="Arial" w:cs="Arial" w:eastAsia="Arial" w:hAnsi="Arial"/>
                <w:sz w:val="14"/>
                <w:szCs w:val="14"/>
                <w:b w:val="1"/>
                <w:bCs w:val="1"/>
                <w:color w:val="04568A"/>
              </w:rPr>
              <w:t>Threshold</w:t>
            </w:r>
          </w:p>
        </w:tc>
        <w:tc>
          <w:tcPr>
            <w:tcW w:w="860" w:type="dxa"/>
            <w:vAlign w:val="bottom"/>
          </w:tcPr>
          <w:p>
            <w:pPr>
              <w:jc w:val="right"/>
              <w:ind w:right="148"/>
              <w:spacing w:after="0"/>
              <w:rPr>
                <w:sz w:val="20"/>
                <w:szCs w:val="20"/>
                <w:color w:val="auto"/>
              </w:rPr>
            </w:pPr>
            <w:r>
              <w:rPr>
                <w:rFonts w:ascii="Arial" w:cs="Arial" w:eastAsia="Arial" w:hAnsi="Arial"/>
                <w:sz w:val="14"/>
                <w:szCs w:val="14"/>
                <w:b w:val="1"/>
                <w:bCs w:val="1"/>
                <w:color w:val="04568A"/>
              </w:rPr>
              <w:t>Target</w:t>
            </w:r>
          </w:p>
        </w:tc>
        <w:tc>
          <w:tcPr>
            <w:tcW w:w="8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04568A"/>
                <w:w w:val="99"/>
              </w:rPr>
              <w:t>Maximum</w:t>
            </w:r>
          </w:p>
        </w:tc>
        <w:tc>
          <w:tcPr>
            <w:tcW w:w="820" w:type="dxa"/>
            <w:vAlign w:val="bottom"/>
          </w:tcPr>
          <w:p>
            <w:pPr>
              <w:jc w:val="right"/>
              <w:ind w:right="49"/>
              <w:spacing w:after="0"/>
              <w:rPr>
                <w:sz w:val="20"/>
                <w:szCs w:val="20"/>
                <w:color w:val="auto"/>
              </w:rPr>
            </w:pPr>
            <w:r>
              <w:rPr>
                <w:rFonts w:ascii="Arial" w:cs="Arial" w:eastAsia="Arial" w:hAnsi="Arial"/>
                <w:sz w:val="14"/>
                <w:szCs w:val="14"/>
                <w:b w:val="1"/>
                <w:bCs w:val="1"/>
                <w:color w:val="04568A"/>
              </w:rPr>
              <w:t>Threshold</w:t>
            </w:r>
          </w:p>
        </w:tc>
        <w:tc>
          <w:tcPr>
            <w:tcW w:w="740" w:type="dxa"/>
            <w:vAlign w:val="bottom"/>
          </w:tcPr>
          <w:p>
            <w:pPr>
              <w:jc w:val="right"/>
              <w:ind w:right="28"/>
              <w:spacing w:after="0"/>
              <w:rPr>
                <w:sz w:val="20"/>
                <w:szCs w:val="20"/>
                <w:color w:val="auto"/>
              </w:rPr>
            </w:pPr>
            <w:r>
              <w:rPr>
                <w:rFonts w:ascii="Arial" w:cs="Arial" w:eastAsia="Arial" w:hAnsi="Arial"/>
                <w:sz w:val="14"/>
                <w:szCs w:val="14"/>
                <w:b w:val="1"/>
                <w:bCs w:val="1"/>
                <w:color w:val="04568A"/>
              </w:rPr>
              <w:t>Target</w:t>
            </w:r>
          </w:p>
        </w:tc>
        <w:tc>
          <w:tcPr>
            <w:tcW w:w="96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04568A"/>
              </w:rPr>
              <w:t>Maximum</w:t>
            </w:r>
          </w:p>
        </w:tc>
        <w:tc>
          <w:tcPr>
            <w:tcW w:w="1080" w:type="dxa"/>
            <w:vAlign w:val="bottom"/>
          </w:tcPr>
          <w:p>
            <w:pPr>
              <w:jc w:val="right"/>
              <w:ind w:right="108"/>
              <w:spacing w:after="0" w:line="190" w:lineRule="exact"/>
              <w:rPr>
                <w:sz w:val="20"/>
                <w:szCs w:val="20"/>
                <w:color w:val="auto"/>
              </w:rPr>
            </w:pPr>
            <w:r>
              <w:rPr>
                <w:rFonts w:ascii="Arial" w:cs="Arial" w:eastAsia="Arial" w:hAnsi="Arial"/>
                <w:sz w:val="14"/>
                <w:szCs w:val="14"/>
                <w:b w:val="1"/>
                <w:bCs w:val="1"/>
                <w:color w:val="04568A"/>
              </w:rPr>
              <w:t>Units</w:t>
            </w:r>
            <w:r>
              <w:rPr>
                <w:rFonts w:ascii="Arial" w:cs="Arial" w:eastAsia="Arial" w:hAnsi="Arial"/>
                <w:sz w:val="22"/>
                <w:szCs w:val="22"/>
                <w:b w:val="1"/>
                <w:bCs w:val="1"/>
                <w:color w:val="04568A"/>
                <w:vertAlign w:val="superscript"/>
              </w:rPr>
              <w:t>(3)</w:t>
            </w:r>
          </w:p>
        </w:tc>
        <w:tc>
          <w:tcPr>
            <w:tcW w:w="900" w:type="dxa"/>
            <w:vAlign w:val="bottom"/>
          </w:tcPr>
          <w:p>
            <w:pPr>
              <w:jc w:val="right"/>
              <w:spacing w:after="0" w:line="190" w:lineRule="exact"/>
              <w:rPr>
                <w:sz w:val="20"/>
                <w:szCs w:val="20"/>
                <w:color w:val="auto"/>
              </w:rPr>
            </w:pPr>
            <w:r>
              <w:rPr>
                <w:rFonts w:ascii="Arial" w:cs="Arial" w:eastAsia="Arial" w:hAnsi="Arial"/>
                <w:sz w:val="14"/>
                <w:szCs w:val="14"/>
                <w:b w:val="1"/>
                <w:bCs w:val="1"/>
                <w:color w:val="04568A"/>
              </w:rPr>
              <w:t>Awards</w:t>
            </w:r>
            <w:r>
              <w:rPr>
                <w:rFonts w:ascii="Arial" w:cs="Arial" w:eastAsia="Arial" w:hAnsi="Arial"/>
                <w:sz w:val="22"/>
                <w:szCs w:val="22"/>
                <w:b w:val="1"/>
                <w:bCs w:val="1"/>
                <w:color w:val="04568A"/>
                <w:vertAlign w:val="superscript"/>
              </w:rPr>
              <w:t>(4)</w:t>
            </w:r>
          </w:p>
        </w:tc>
        <w:tc>
          <w:tcPr>
            <w:tcW w:w="0" w:type="dxa"/>
            <w:vAlign w:val="bottom"/>
          </w:tcPr>
          <w:p>
            <w:pPr>
              <w:spacing w:after="0"/>
              <w:rPr>
                <w:sz w:val="1"/>
                <w:szCs w:val="1"/>
                <w:color w:val="auto"/>
              </w:rPr>
            </w:pPr>
          </w:p>
        </w:tc>
      </w:tr>
      <w:tr>
        <w:trPr>
          <w:trHeight w:val="175"/>
        </w:trPr>
        <w:tc>
          <w:tcPr>
            <w:tcW w:w="3360" w:type="dxa"/>
            <w:vAlign w:val="bottom"/>
            <w:tcBorders>
              <w:bottom w:val="single" w:sz="8" w:color="04568A"/>
            </w:tcBorders>
          </w:tcPr>
          <w:p>
            <w:pPr>
              <w:ind w:left="60"/>
              <w:spacing w:after="0"/>
              <w:rPr>
                <w:sz w:val="20"/>
                <w:szCs w:val="20"/>
                <w:color w:val="auto"/>
              </w:rPr>
            </w:pPr>
            <w:r>
              <w:rPr>
                <w:rFonts w:ascii="Arial" w:cs="Arial" w:eastAsia="Arial" w:hAnsi="Arial"/>
                <w:sz w:val="14"/>
                <w:szCs w:val="14"/>
                <w:b w:val="1"/>
                <w:bCs w:val="1"/>
                <w:color w:val="04568A"/>
              </w:rPr>
              <w:t>Name</w:t>
            </w:r>
          </w:p>
        </w:tc>
        <w:tc>
          <w:tcPr>
            <w:tcW w:w="840" w:type="dxa"/>
            <w:vAlign w:val="bottom"/>
            <w:tcBorders>
              <w:bottom w:val="single" w:sz="8" w:color="04568A"/>
            </w:tcBorders>
          </w:tcPr>
          <w:p>
            <w:pPr>
              <w:jc w:val="right"/>
              <w:ind w:right="128"/>
              <w:spacing w:after="0"/>
              <w:rPr>
                <w:sz w:val="20"/>
                <w:szCs w:val="20"/>
                <w:color w:val="auto"/>
              </w:rPr>
            </w:pPr>
            <w:r>
              <w:rPr>
                <w:rFonts w:ascii="Arial" w:cs="Arial" w:eastAsia="Arial" w:hAnsi="Arial"/>
                <w:sz w:val="14"/>
                <w:szCs w:val="14"/>
                <w:b w:val="1"/>
                <w:bCs w:val="1"/>
                <w:color w:val="04568A"/>
              </w:rPr>
              <w:t>Date</w:t>
            </w:r>
          </w:p>
        </w:tc>
        <w:tc>
          <w:tcPr>
            <w:tcW w:w="820" w:type="dxa"/>
            <w:vAlign w:val="bottom"/>
            <w:tcBorders>
              <w:bottom w:val="single" w:sz="8" w:color="04568A"/>
            </w:tcBorders>
          </w:tcPr>
          <w:p>
            <w:pPr>
              <w:jc w:val="right"/>
              <w:ind w:right="49"/>
              <w:spacing w:after="0"/>
              <w:rPr>
                <w:sz w:val="20"/>
                <w:szCs w:val="20"/>
                <w:color w:val="auto"/>
              </w:rPr>
            </w:pPr>
            <w:r>
              <w:rPr>
                <w:rFonts w:ascii="Arial" w:cs="Arial" w:eastAsia="Arial" w:hAnsi="Arial"/>
                <w:sz w:val="14"/>
                <w:szCs w:val="14"/>
                <w:b w:val="1"/>
                <w:bCs w:val="1"/>
                <w:color w:val="04568A"/>
              </w:rPr>
              <w:t>($)</w:t>
            </w:r>
          </w:p>
        </w:tc>
        <w:tc>
          <w:tcPr>
            <w:tcW w:w="860" w:type="dxa"/>
            <w:vAlign w:val="bottom"/>
            <w:tcBorders>
              <w:bottom w:val="single" w:sz="8" w:color="04568A"/>
            </w:tcBorders>
          </w:tcPr>
          <w:p>
            <w:pPr>
              <w:jc w:val="right"/>
              <w:ind w:right="148"/>
              <w:spacing w:after="0"/>
              <w:rPr>
                <w:sz w:val="20"/>
                <w:szCs w:val="20"/>
                <w:color w:val="auto"/>
              </w:rPr>
            </w:pPr>
            <w:r>
              <w:rPr>
                <w:rFonts w:ascii="Arial" w:cs="Arial" w:eastAsia="Arial" w:hAnsi="Arial"/>
                <w:sz w:val="14"/>
                <w:szCs w:val="14"/>
                <w:b w:val="1"/>
                <w:bCs w:val="1"/>
                <w:color w:val="04568A"/>
              </w:rPr>
              <w:t>($)</w:t>
            </w:r>
          </w:p>
        </w:tc>
        <w:tc>
          <w:tcPr>
            <w:tcW w:w="860" w:type="dxa"/>
            <w:vAlign w:val="bottom"/>
            <w:tcBorders>
              <w:bottom w:val="single" w:sz="8" w:color="04568A"/>
            </w:tcBorders>
            <w:gridSpan w:val="2"/>
          </w:tcPr>
          <w:p>
            <w:pPr>
              <w:jc w:val="right"/>
              <w:ind w:right="200"/>
              <w:spacing w:after="0"/>
              <w:rPr>
                <w:sz w:val="20"/>
                <w:szCs w:val="20"/>
                <w:color w:val="auto"/>
              </w:rPr>
            </w:pPr>
            <w:r>
              <w:rPr>
                <w:rFonts w:ascii="Arial" w:cs="Arial" w:eastAsia="Arial" w:hAnsi="Arial"/>
                <w:sz w:val="14"/>
                <w:szCs w:val="14"/>
                <w:b w:val="1"/>
                <w:bCs w:val="1"/>
                <w:color w:val="04568A"/>
              </w:rPr>
              <w:t>($)</w:t>
            </w:r>
          </w:p>
        </w:tc>
        <w:tc>
          <w:tcPr>
            <w:tcW w:w="820" w:type="dxa"/>
            <w:vAlign w:val="bottom"/>
            <w:tcBorders>
              <w:bottom w:val="single" w:sz="8" w:color="04568A"/>
            </w:tcBorders>
          </w:tcPr>
          <w:p>
            <w:pPr>
              <w:jc w:val="right"/>
              <w:ind w:right="49"/>
              <w:spacing w:after="0"/>
              <w:rPr>
                <w:sz w:val="20"/>
                <w:szCs w:val="20"/>
                <w:color w:val="auto"/>
              </w:rPr>
            </w:pPr>
            <w:r>
              <w:rPr>
                <w:rFonts w:ascii="Arial" w:cs="Arial" w:eastAsia="Arial" w:hAnsi="Arial"/>
                <w:sz w:val="14"/>
                <w:szCs w:val="14"/>
                <w:b w:val="1"/>
                <w:bCs w:val="1"/>
                <w:color w:val="04568A"/>
              </w:rPr>
              <w:t>(#)</w:t>
            </w:r>
          </w:p>
        </w:tc>
        <w:tc>
          <w:tcPr>
            <w:tcW w:w="740" w:type="dxa"/>
            <w:vAlign w:val="bottom"/>
            <w:tcBorders>
              <w:bottom w:val="single" w:sz="8" w:color="04568A"/>
            </w:tcBorders>
          </w:tcPr>
          <w:p>
            <w:pPr>
              <w:jc w:val="right"/>
              <w:ind w:right="28"/>
              <w:spacing w:after="0"/>
              <w:rPr>
                <w:sz w:val="20"/>
                <w:szCs w:val="20"/>
                <w:color w:val="auto"/>
              </w:rPr>
            </w:pPr>
            <w:r>
              <w:rPr>
                <w:rFonts w:ascii="Arial" w:cs="Arial" w:eastAsia="Arial" w:hAnsi="Arial"/>
                <w:sz w:val="14"/>
                <w:szCs w:val="14"/>
                <w:b w:val="1"/>
                <w:bCs w:val="1"/>
                <w:color w:val="04568A"/>
              </w:rPr>
              <w:t>(#)</w:t>
            </w:r>
          </w:p>
        </w:tc>
        <w:tc>
          <w:tcPr>
            <w:tcW w:w="960" w:type="dxa"/>
            <w:vAlign w:val="bottom"/>
            <w:tcBorders>
              <w:bottom w:val="single" w:sz="8" w:color="04568A"/>
            </w:tcBorders>
            <w:gridSpan w:val="2"/>
          </w:tcPr>
          <w:p>
            <w:pPr>
              <w:jc w:val="right"/>
              <w:ind w:right="180"/>
              <w:spacing w:after="0"/>
              <w:rPr>
                <w:sz w:val="20"/>
                <w:szCs w:val="20"/>
                <w:color w:val="auto"/>
              </w:rPr>
            </w:pPr>
            <w:r>
              <w:rPr>
                <w:rFonts w:ascii="Arial" w:cs="Arial" w:eastAsia="Arial" w:hAnsi="Arial"/>
                <w:sz w:val="14"/>
                <w:szCs w:val="14"/>
                <w:b w:val="1"/>
                <w:bCs w:val="1"/>
                <w:color w:val="04568A"/>
              </w:rPr>
              <w:t>(#)</w:t>
            </w:r>
          </w:p>
        </w:tc>
        <w:tc>
          <w:tcPr>
            <w:tcW w:w="1080" w:type="dxa"/>
            <w:vAlign w:val="bottom"/>
            <w:tcBorders>
              <w:bottom w:val="single" w:sz="8" w:color="04568A"/>
            </w:tcBorders>
          </w:tcPr>
          <w:p>
            <w:pPr>
              <w:jc w:val="right"/>
              <w:ind w:right="108"/>
              <w:spacing w:after="0"/>
              <w:rPr>
                <w:sz w:val="20"/>
                <w:szCs w:val="20"/>
                <w:color w:val="auto"/>
              </w:rPr>
            </w:pPr>
            <w:r>
              <w:rPr>
                <w:rFonts w:ascii="Arial" w:cs="Arial" w:eastAsia="Arial" w:hAnsi="Arial"/>
                <w:sz w:val="14"/>
                <w:szCs w:val="14"/>
                <w:b w:val="1"/>
                <w:bCs w:val="1"/>
                <w:color w:val="04568A"/>
              </w:rPr>
              <w:t>(#)</w:t>
            </w:r>
          </w:p>
        </w:tc>
        <w:tc>
          <w:tcPr>
            <w:tcW w:w="900" w:type="dxa"/>
            <w:vAlign w:val="bottom"/>
            <w:tcBorders>
              <w:bottom w:val="single" w:sz="8" w:color="04568A"/>
            </w:tcBorders>
          </w:tcPr>
          <w:p>
            <w:pPr>
              <w:jc w:val="right"/>
              <w:spacing w:after="0"/>
              <w:rPr>
                <w:sz w:val="20"/>
                <w:szCs w:val="20"/>
                <w:color w:val="auto"/>
              </w:rPr>
            </w:pPr>
            <w:r>
              <w:rPr>
                <w:rFonts w:ascii="Arial" w:cs="Arial" w:eastAsia="Arial" w:hAnsi="Arial"/>
                <w:sz w:val="14"/>
                <w:szCs w:val="14"/>
                <w:b w:val="1"/>
                <w:bCs w:val="1"/>
                <w:color w:val="04568A"/>
              </w:rPr>
              <w:t>($)</w:t>
            </w:r>
          </w:p>
        </w:tc>
        <w:tc>
          <w:tcPr>
            <w:tcW w:w="0" w:type="dxa"/>
            <w:vAlign w:val="bottom"/>
          </w:tcPr>
          <w:p>
            <w:pPr>
              <w:spacing w:after="0"/>
              <w:rPr>
                <w:sz w:val="1"/>
                <w:szCs w:val="1"/>
                <w:color w:val="auto"/>
              </w:rPr>
            </w:pPr>
          </w:p>
        </w:tc>
      </w:tr>
      <w:tr>
        <w:trPr>
          <w:trHeight w:val="160"/>
        </w:trPr>
        <w:tc>
          <w:tcPr>
            <w:tcW w:w="3360" w:type="dxa"/>
            <w:vAlign w:val="bottom"/>
          </w:tcPr>
          <w:p>
            <w:pPr>
              <w:ind w:left="60"/>
              <w:spacing w:after="0"/>
              <w:rPr>
                <w:sz w:val="20"/>
                <w:szCs w:val="20"/>
                <w:color w:val="auto"/>
              </w:rPr>
            </w:pPr>
            <w:r>
              <w:rPr>
                <w:rFonts w:ascii="Arial" w:cs="Arial" w:eastAsia="Arial" w:hAnsi="Arial"/>
                <w:sz w:val="14"/>
                <w:szCs w:val="14"/>
                <w:b w:val="1"/>
                <w:bCs w:val="1"/>
                <w:color w:val="auto"/>
              </w:rPr>
              <w:t>Chirag Patel</w:t>
            </w:r>
          </w:p>
        </w:tc>
        <w:tc>
          <w:tcPr>
            <w:tcW w:w="84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360" w:type="dxa"/>
            <w:vAlign w:val="bottom"/>
          </w:tcPr>
          <w:p>
            <w:pPr>
              <w:ind w:left="160"/>
              <w:spacing w:after="0"/>
              <w:rPr>
                <w:sz w:val="20"/>
                <w:szCs w:val="20"/>
                <w:color w:val="auto"/>
              </w:rPr>
            </w:pPr>
            <w:r>
              <w:rPr>
                <w:rFonts w:ascii="Arial" w:cs="Arial" w:eastAsia="Arial" w:hAnsi="Arial"/>
                <w:sz w:val="14"/>
                <w:szCs w:val="14"/>
                <w:color w:val="auto"/>
              </w:rPr>
              <w:t>2021 Annual Cash Incentive</w:t>
            </w:r>
          </w:p>
        </w:tc>
        <w:tc>
          <w:tcPr>
            <w:tcW w:w="840" w:type="dxa"/>
            <w:vAlign w:val="bottom"/>
          </w:tcPr>
          <w:p>
            <w:pPr>
              <w:spacing w:after="0"/>
              <w:rPr>
                <w:sz w:val="14"/>
                <w:szCs w:val="14"/>
                <w:color w:val="auto"/>
              </w:rPr>
            </w:pPr>
          </w:p>
        </w:tc>
        <w:tc>
          <w:tcPr>
            <w:tcW w:w="820" w:type="dxa"/>
            <w:vAlign w:val="bottom"/>
          </w:tcPr>
          <w:p>
            <w:pPr>
              <w:jc w:val="right"/>
              <w:ind w:right="49"/>
              <w:spacing w:after="0"/>
              <w:rPr>
                <w:sz w:val="20"/>
                <w:szCs w:val="20"/>
                <w:color w:val="auto"/>
              </w:rPr>
            </w:pPr>
            <w:r>
              <w:rPr>
                <w:rFonts w:ascii="Arial" w:cs="Arial" w:eastAsia="Arial" w:hAnsi="Arial"/>
                <w:sz w:val="14"/>
                <w:szCs w:val="14"/>
                <w:color w:val="auto"/>
              </w:rPr>
              <w:t>375,000</w:t>
            </w:r>
          </w:p>
        </w:tc>
        <w:tc>
          <w:tcPr>
            <w:tcW w:w="860" w:type="dxa"/>
            <w:vAlign w:val="bottom"/>
          </w:tcPr>
          <w:p>
            <w:pPr>
              <w:jc w:val="right"/>
              <w:ind w:right="148"/>
              <w:spacing w:after="0"/>
              <w:rPr>
                <w:sz w:val="20"/>
                <w:szCs w:val="20"/>
                <w:color w:val="auto"/>
              </w:rPr>
            </w:pPr>
            <w:r>
              <w:rPr>
                <w:rFonts w:ascii="Arial" w:cs="Arial" w:eastAsia="Arial" w:hAnsi="Arial"/>
                <w:sz w:val="14"/>
                <w:szCs w:val="14"/>
                <w:color w:val="auto"/>
              </w:rPr>
              <w:t>750,000</w:t>
            </w:r>
          </w:p>
        </w:tc>
        <w:tc>
          <w:tcPr>
            <w:tcW w:w="860" w:type="dxa"/>
            <w:vAlign w:val="bottom"/>
            <w:gridSpan w:val="2"/>
          </w:tcPr>
          <w:p>
            <w:pPr>
              <w:jc w:val="right"/>
              <w:ind w:right="200"/>
              <w:spacing w:after="0"/>
              <w:rPr>
                <w:sz w:val="20"/>
                <w:szCs w:val="20"/>
                <w:color w:val="auto"/>
              </w:rPr>
            </w:pPr>
            <w:r>
              <w:rPr>
                <w:rFonts w:ascii="Arial" w:cs="Arial" w:eastAsia="Arial" w:hAnsi="Arial"/>
                <w:sz w:val="14"/>
                <w:szCs w:val="14"/>
                <w:color w:val="auto"/>
              </w:rPr>
              <w:t>1,125,000</w:t>
            </w:r>
          </w:p>
        </w:tc>
        <w:tc>
          <w:tcPr>
            <w:tcW w:w="8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7"/>
        </w:trPr>
        <w:tc>
          <w:tcPr>
            <w:tcW w:w="3360" w:type="dxa"/>
            <w:vAlign w:val="bottom"/>
            <w:tcBorders>
              <w:bottom w:val="single" w:sz="8" w:color="04568A"/>
            </w:tcBorders>
          </w:tcPr>
          <w:p>
            <w:pPr>
              <w:ind w:left="160"/>
              <w:spacing w:after="0" w:line="157" w:lineRule="exact"/>
              <w:rPr>
                <w:sz w:val="20"/>
                <w:szCs w:val="20"/>
                <w:color w:val="auto"/>
              </w:rPr>
            </w:pPr>
            <w:r>
              <w:rPr>
                <w:rFonts w:ascii="Arial" w:cs="Arial" w:eastAsia="Arial" w:hAnsi="Arial"/>
                <w:sz w:val="14"/>
                <w:szCs w:val="14"/>
                <w:color w:val="auto"/>
              </w:rPr>
              <w:t>PSU Grant</w:t>
            </w:r>
          </w:p>
        </w:tc>
        <w:tc>
          <w:tcPr>
            <w:tcW w:w="840" w:type="dxa"/>
            <w:vAlign w:val="bottom"/>
            <w:tcBorders>
              <w:bottom w:val="single" w:sz="8" w:color="04568A"/>
            </w:tcBorders>
          </w:tcPr>
          <w:p>
            <w:pPr>
              <w:jc w:val="right"/>
              <w:ind w:right="128"/>
              <w:spacing w:after="0" w:line="157" w:lineRule="exact"/>
              <w:rPr>
                <w:sz w:val="20"/>
                <w:szCs w:val="20"/>
                <w:color w:val="auto"/>
              </w:rPr>
            </w:pPr>
            <w:r>
              <w:rPr>
                <w:rFonts w:ascii="Arial" w:cs="Arial" w:eastAsia="Arial" w:hAnsi="Arial"/>
                <w:sz w:val="14"/>
                <w:szCs w:val="14"/>
                <w:color w:val="auto"/>
              </w:rPr>
              <w:t>3/1/21</w:t>
            </w:r>
          </w:p>
        </w:tc>
        <w:tc>
          <w:tcPr>
            <w:tcW w:w="820" w:type="dxa"/>
            <w:vAlign w:val="bottom"/>
            <w:tcBorders>
              <w:bottom w:val="single" w:sz="8" w:color="04568A"/>
            </w:tcBorders>
          </w:tcPr>
          <w:p>
            <w:pPr>
              <w:spacing w:after="0"/>
              <w:rPr>
                <w:sz w:val="13"/>
                <w:szCs w:val="13"/>
                <w:color w:val="auto"/>
              </w:rPr>
            </w:pPr>
          </w:p>
        </w:tc>
        <w:tc>
          <w:tcPr>
            <w:tcW w:w="860" w:type="dxa"/>
            <w:vAlign w:val="bottom"/>
            <w:tcBorders>
              <w:bottom w:val="single" w:sz="8" w:color="04568A"/>
            </w:tcBorders>
          </w:tcPr>
          <w:p>
            <w:pPr>
              <w:spacing w:after="0"/>
              <w:rPr>
                <w:sz w:val="13"/>
                <w:szCs w:val="13"/>
                <w:color w:val="auto"/>
              </w:rPr>
            </w:pPr>
          </w:p>
        </w:tc>
        <w:tc>
          <w:tcPr>
            <w:tcW w:w="660" w:type="dxa"/>
            <w:vAlign w:val="bottom"/>
            <w:tcBorders>
              <w:bottom w:val="single" w:sz="8" w:color="04568A"/>
            </w:tcBorders>
          </w:tcPr>
          <w:p>
            <w:pPr>
              <w:spacing w:after="0"/>
              <w:rPr>
                <w:sz w:val="13"/>
                <w:szCs w:val="13"/>
                <w:color w:val="auto"/>
              </w:rPr>
            </w:pPr>
          </w:p>
        </w:tc>
        <w:tc>
          <w:tcPr>
            <w:tcW w:w="200" w:type="dxa"/>
            <w:vAlign w:val="bottom"/>
            <w:tcBorders>
              <w:bottom w:val="single" w:sz="8" w:color="04568A"/>
            </w:tcBorders>
          </w:tcPr>
          <w:p>
            <w:pPr>
              <w:spacing w:after="0"/>
              <w:rPr>
                <w:sz w:val="13"/>
                <w:szCs w:val="13"/>
                <w:color w:val="auto"/>
              </w:rPr>
            </w:pPr>
          </w:p>
        </w:tc>
        <w:tc>
          <w:tcPr>
            <w:tcW w:w="820" w:type="dxa"/>
            <w:vAlign w:val="bottom"/>
            <w:tcBorders>
              <w:bottom w:val="single" w:sz="8" w:color="04568A"/>
            </w:tcBorders>
          </w:tcPr>
          <w:p>
            <w:pPr>
              <w:jc w:val="right"/>
              <w:ind w:right="49"/>
              <w:spacing w:after="0" w:line="157" w:lineRule="exact"/>
              <w:rPr>
                <w:sz w:val="20"/>
                <w:szCs w:val="20"/>
                <w:color w:val="auto"/>
              </w:rPr>
            </w:pPr>
            <w:r>
              <w:rPr>
                <w:rFonts w:ascii="Arial" w:cs="Arial" w:eastAsia="Arial" w:hAnsi="Arial"/>
                <w:sz w:val="14"/>
                <w:szCs w:val="14"/>
                <w:color w:val="auto"/>
              </w:rPr>
              <w:t>231,660</w:t>
            </w:r>
          </w:p>
        </w:tc>
        <w:tc>
          <w:tcPr>
            <w:tcW w:w="740" w:type="dxa"/>
            <w:vAlign w:val="bottom"/>
            <w:tcBorders>
              <w:bottom w:val="single" w:sz="8" w:color="04568A"/>
            </w:tcBorders>
          </w:tcPr>
          <w:p>
            <w:pPr>
              <w:jc w:val="right"/>
              <w:ind w:right="28"/>
              <w:spacing w:after="0" w:line="157" w:lineRule="exact"/>
              <w:rPr>
                <w:sz w:val="20"/>
                <w:szCs w:val="20"/>
                <w:color w:val="auto"/>
              </w:rPr>
            </w:pPr>
            <w:r>
              <w:rPr>
                <w:rFonts w:ascii="Arial" w:cs="Arial" w:eastAsia="Arial" w:hAnsi="Arial"/>
                <w:sz w:val="14"/>
                <w:szCs w:val="14"/>
                <w:color w:val="auto"/>
              </w:rPr>
              <w:t>463,320</w:t>
            </w:r>
          </w:p>
        </w:tc>
        <w:tc>
          <w:tcPr>
            <w:tcW w:w="960" w:type="dxa"/>
            <w:vAlign w:val="bottom"/>
            <w:tcBorders>
              <w:bottom w:val="single" w:sz="8" w:color="04568A"/>
            </w:tcBorders>
            <w:gridSpan w:val="2"/>
          </w:tcPr>
          <w:p>
            <w:pPr>
              <w:jc w:val="right"/>
              <w:ind w:right="180"/>
              <w:spacing w:after="0" w:line="157" w:lineRule="exact"/>
              <w:rPr>
                <w:sz w:val="20"/>
                <w:szCs w:val="20"/>
                <w:color w:val="auto"/>
              </w:rPr>
            </w:pPr>
            <w:r>
              <w:rPr>
                <w:rFonts w:ascii="Arial" w:cs="Arial" w:eastAsia="Arial" w:hAnsi="Arial"/>
                <w:sz w:val="14"/>
                <w:szCs w:val="14"/>
                <w:color w:val="auto"/>
              </w:rPr>
              <w:t>926,640</w:t>
            </w:r>
          </w:p>
        </w:tc>
        <w:tc>
          <w:tcPr>
            <w:tcW w:w="1080" w:type="dxa"/>
            <w:vAlign w:val="bottom"/>
            <w:tcBorders>
              <w:bottom w:val="single" w:sz="8" w:color="04568A"/>
            </w:tcBorders>
          </w:tcPr>
          <w:p>
            <w:pPr>
              <w:spacing w:after="0"/>
              <w:rPr>
                <w:sz w:val="13"/>
                <w:szCs w:val="13"/>
                <w:color w:val="auto"/>
              </w:rPr>
            </w:pPr>
          </w:p>
        </w:tc>
        <w:tc>
          <w:tcPr>
            <w:tcW w:w="900" w:type="dxa"/>
            <w:vAlign w:val="bottom"/>
            <w:tcBorders>
              <w:bottom w:val="single" w:sz="8" w:color="04568A"/>
            </w:tcBorders>
          </w:tcPr>
          <w:p>
            <w:pPr>
              <w:jc w:val="right"/>
              <w:spacing w:after="0" w:line="157" w:lineRule="exact"/>
              <w:rPr>
                <w:sz w:val="20"/>
                <w:szCs w:val="20"/>
                <w:color w:val="auto"/>
              </w:rPr>
            </w:pPr>
            <w:r>
              <w:rPr>
                <w:rFonts w:ascii="Arial" w:cs="Arial" w:eastAsia="Arial" w:hAnsi="Arial"/>
                <w:sz w:val="14"/>
                <w:szCs w:val="14"/>
                <w:color w:val="auto"/>
              </w:rPr>
              <w:t>3,266,406</w:t>
            </w:r>
          </w:p>
        </w:tc>
        <w:tc>
          <w:tcPr>
            <w:tcW w:w="0" w:type="dxa"/>
            <w:vAlign w:val="bottom"/>
          </w:tcPr>
          <w:p>
            <w:pPr>
              <w:spacing w:after="0"/>
              <w:rPr>
                <w:sz w:val="1"/>
                <w:szCs w:val="1"/>
                <w:color w:val="auto"/>
              </w:rPr>
            </w:pPr>
          </w:p>
        </w:tc>
      </w:tr>
      <w:tr>
        <w:trPr>
          <w:trHeight w:val="156"/>
        </w:trPr>
        <w:tc>
          <w:tcPr>
            <w:tcW w:w="3360" w:type="dxa"/>
            <w:vAlign w:val="bottom"/>
            <w:shd w:val="clear" w:color="auto" w:fill="E4E9F2"/>
          </w:tcPr>
          <w:p>
            <w:pPr>
              <w:ind w:left="60"/>
              <w:spacing w:after="0" w:line="155" w:lineRule="exact"/>
              <w:rPr>
                <w:sz w:val="20"/>
                <w:szCs w:val="20"/>
                <w:color w:val="auto"/>
              </w:rPr>
            </w:pPr>
            <w:r>
              <w:rPr>
                <w:rFonts w:ascii="Arial" w:cs="Arial" w:eastAsia="Arial" w:hAnsi="Arial"/>
                <w:sz w:val="14"/>
                <w:szCs w:val="14"/>
                <w:b w:val="1"/>
                <w:bCs w:val="1"/>
                <w:color w:val="auto"/>
              </w:rPr>
              <w:t>Chintu Patel</w:t>
            </w:r>
          </w:p>
        </w:tc>
        <w:tc>
          <w:tcPr>
            <w:tcW w:w="840" w:type="dxa"/>
            <w:vAlign w:val="bottom"/>
            <w:shd w:val="clear" w:color="auto" w:fill="E4E9F2"/>
          </w:tcPr>
          <w:p>
            <w:pPr>
              <w:spacing w:after="0"/>
              <w:rPr>
                <w:sz w:val="13"/>
                <w:szCs w:val="13"/>
                <w:color w:val="auto"/>
              </w:rPr>
            </w:pPr>
          </w:p>
        </w:tc>
        <w:tc>
          <w:tcPr>
            <w:tcW w:w="820" w:type="dxa"/>
            <w:vAlign w:val="bottom"/>
            <w:shd w:val="clear" w:color="auto" w:fill="E4E9F2"/>
          </w:tcPr>
          <w:p>
            <w:pPr>
              <w:spacing w:after="0"/>
              <w:rPr>
                <w:sz w:val="13"/>
                <w:szCs w:val="13"/>
                <w:color w:val="auto"/>
              </w:rPr>
            </w:pPr>
          </w:p>
        </w:tc>
        <w:tc>
          <w:tcPr>
            <w:tcW w:w="860" w:type="dxa"/>
            <w:vAlign w:val="bottom"/>
            <w:shd w:val="clear" w:color="auto" w:fill="E4E9F2"/>
          </w:tcPr>
          <w:p>
            <w:pPr>
              <w:spacing w:after="0"/>
              <w:rPr>
                <w:sz w:val="13"/>
                <w:szCs w:val="13"/>
                <w:color w:val="auto"/>
              </w:rPr>
            </w:pPr>
          </w:p>
        </w:tc>
        <w:tc>
          <w:tcPr>
            <w:tcW w:w="660" w:type="dxa"/>
            <w:vAlign w:val="bottom"/>
            <w:shd w:val="clear" w:color="auto" w:fill="E4E9F2"/>
          </w:tcPr>
          <w:p>
            <w:pPr>
              <w:spacing w:after="0"/>
              <w:rPr>
                <w:sz w:val="13"/>
                <w:szCs w:val="13"/>
                <w:color w:val="auto"/>
              </w:rPr>
            </w:pPr>
          </w:p>
        </w:tc>
        <w:tc>
          <w:tcPr>
            <w:tcW w:w="200" w:type="dxa"/>
            <w:vAlign w:val="bottom"/>
            <w:shd w:val="clear" w:color="auto" w:fill="E4E9F2"/>
          </w:tcPr>
          <w:p>
            <w:pPr>
              <w:spacing w:after="0"/>
              <w:rPr>
                <w:sz w:val="13"/>
                <w:szCs w:val="13"/>
                <w:color w:val="auto"/>
              </w:rPr>
            </w:pPr>
          </w:p>
        </w:tc>
        <w:tc>
          <w:tcPr>
            <w:tcW w:w="820" w:type="dxa"/>
            <w:vAlign w:val="bottom"/>
            <w:shd w:val="clear" w:color="auto" w:fill="E4E9F2"/>
          </w:tcPr>
          <w:p>
            <w:pPr>
              <w:spacing w:after="0"/>
              <w:rPr>
                <w:sz w:val="13"/>
                <w:szCs w:val="13"/>
                <w:color w:val="auto"/>
              </w:rPr>
            </w:pPr>
          </w:p>
        </w:tc>
        <w:tc>
          <w:tcPr>
            <w:tcW w:w="740" w:type="dxa"/>
            <w:vAlign w:val="bottom"/>
            <w:shd w:val="clear" w:color="auto" w:fill="E4E9F2"/>
          </w:tcPr>
          <w:p>
            <w:pPr>
              <w:spacing w:after="0"/>
              <w:rPr>
                <w:sz w:val="13"/>
                <w:szCs w:val="13"/>
                <w:color w:val="auto"/>
              </w:rPr>
            </w:pPr>
          </w:p>
        </w:tc>
        <w:tc>
          <w:tcPr>
            <w:tcW w:w="780" w:type="dxa"/>
            <w:vAlign w:val="bottom"/>
            <w:shd w:val="clear" w:color="auto" w:fill="E4E9F2"/>
          </w:tcPr>
          <w:p>
            <w:pPr>
              <w:spacing w:after="0"/>
              <w:rPr>
                <w:sz w:val="13"/>
                <w:szCs w:val="13"/>
                <w:color w:val="auto"/>
              </w:rPr>
            </w:pPr>
          </w:p>
        </w:tc>
        <w:tc>
          <w:tcPr>
            <w:tcW w:w="180" w:type="dxa"/>
            <w:vAlign w:val="bottom"/>
            <w:shd w:val="clear" w:color="auto" w:fill="E4E9F2"/>
          </w:tcPr>
          <w:p>
            <w:pPr>
              <w:spacing w:after="0"/>
              <w:rPr>
                <w:sz w:val="13"/>
                <w:szCs w:val="13"/>
                <w:color w:val="auto"/>
              </w:rPr>
            </w:pPr>
          </w:p>
        </w:tc>
        <w:tc>
          <w:tcPr>
            <w:tcW w:w="1080" w:type="dxa"/>
            <w:vAlign w:val="bottom"/>
            <w:shd w:val="clear" w:color="auto" w:fill="E4E9F2"/>
          </w:tcPr>
          <w:p>
            <w:pPr>
              <w:spacing w:after="0"/>
              <w:rPr>
                <w:sz w:val="13"/>
                <w:szCs w:val="13"/>
                <w:color w:val="auto"/>
              </w:rPr>
            </w:pPr>
          </w:p>
        </w:tc>
        <w:tc>
          <w:tcPr>
            <w:tcW w:w="900" w:type="dxa"/>
            <w:vAlign w:val="bottom"/>
            <w:shd w:val="clear" w:color="auto" w:fill="E4E9F2"/>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360" w:type="dxa"/>
            <w:vAlign w:val="bottom"/>
            <w:shd w:val="clear" w:color="auto" w:fill="E4E9F2"/>
          </w:tcPr>
          <w:p>
            <w:pPr>
              <w:ind w:left="160"/>
              <w:spacing w:after="0"/>
              <w:rPr>
                <w:sz w:val="20"/>
                <w:szCs w:val="20"/>
                <w:color w:val="auto"/>
              </w:rPr>
            </w:pPr>
            <w:r>
              <w:rPr>
                <w:rFonts w:ascii="Arial" w:cs="Arial" w:eastAsia="Arial" w:hAnsi="Arial"/>
                <w:sz w:val="14"/>
                <w:szCs w:val="14"/>
                <w:color w:val="auto"/>
              </w:rPr>
              <w:t>2021 Annual Cash Incentive</w:t>
            </w:r>
          </w:p>
        </w:tc>
        <w:tc>
          <w:tcPr>
            <w:tcW w:w="840" w:type="dxa"/>
            <w:vAlign w:val="bottom"/>
            <w:shd w:val="clear" w:color="auto" w:fill="E4E9F2"/>
          </w:tcPr>
          <w:p>
            <w:pPr>
              <w:spacing w:after="0"/>
              <w:rPr>
                <w:sz w:val="14"/>
                <w:szCs w:val="14"/>
                <w:color w:val="auto"/>
              </w:rPr>
            </w:pPr>
          </w:p>
        </w:tc>
        <w:tc>
          <w:tcPr>
            <w:tcW w:w="820" w:type="dxa"/>
            <w:vAlign w:val="bottom"/>
            <w:shd w:val="clear" w:color="auto" w:fill="E4E9F2"/>
          </w:tcPr>
          <w:p>
            <w:pPr>
              <w:jc w:val="right"/>
              <w:ind w:right="49"/>
              <w:spacing w:after="0"/>
              <w:rPr>
                <w:sz w:val="20"/>
                <w:szCs w:val="20"/>
                <w:color w:val="auto"/>
              </w:rPr>
            </w:pPr>
            <w:r>
              <w:rPr>
                <w:rFonts w:ascii="Arial" w:cs="Arial" w:eastAsia="Arial" w:hAnsi="Arial"/>
                <w:sz w:val="14"/>
                <w:szCs w:val="14"/>
                <w:color w:val="auto"/>
              </w:rPr>
              <w:t>375,000</w:t>
            </w:r>
          </w:p>
        </w:tc>
        <w:tc>
          <w:tcPr>
            <w:tcW w:w="860" w:type="dxa"/>
            <w:vAlign w:val="bottom"/>
            <w:shd w:val="clear" w:color="auto" w:fill="E4E9F2"/>
          </w:tcPr>
          <w:p>
            <w:pPr>
              <w:jc w:val="right"/>
              <w:ind w:right="148"/>
              <w:spacing w:after="0"/>
              <w:rPr>
                <w:sz w:val="20"/>
                <w:szCs w:val="20"/>
                <w:color w:val="auto"/>
              </w:rPr>
            </w:pPr>
            <w:r>
              <w:rPr>
                <w:rFonts w:ascii="Arial" w:cs="Arial" w:eastAsia="Arial" w:hAnsi="Arial"/>
                <w:sz w:val="14"/>
                <w:szCs w:val="14"/>
                <w:color w:val="auto"/>
              </w:rPr>
              <w:t>750,000</w:t>
            </w:r>
          </w:p>
        </w:tc>
        <w:tc>
          <w:tcPr>
            <w:tcW w:w="860" w:type="dxa"/>
            <w:vAlign w:val="bottom"/>
            <w:gridSpan w:val="2"/>
            <w:shd w:val="clear" w:color="auto" w:fill="E4E9F2"/>
          </w:tcPr>
          <w:p>
            <w:pPr>
              <w:jc w:val="right"/>
              <w:ind w:right="200"/>
              <w:spacing w:after="0"/>
              <w:rPr>
                <w:sz w:val="20"/>
                <w:szCs w:val="20"/>
                <w:color w:val="auto"/>
              </w:rPr>
            </w:pPr>
            <w:r>
              <w:rPr>
                <w:rFonts w:ascii="Arial" w:cs="Arial" w:eastAsia="Arial" w:hAnsi="Arial"/>
                <w:sz w:val="14"/>
                <w:szCs w:val="14"/>
                <w:color w:val="auto"/>
              </w:rPr>
              <w:t>1,125,000</w:t>
            </w:r>
          </w:p>
        </w:tc>
        <w:tc>
          <w:tcPr>
            <w:tcW w:w="820" w:type="dxa"/>
            <w:vAlign w:val="bottom"/>
            <w:shd w:val="clear" w:color="auto" w:fill="E4E9F2"/>
          </w:tcPr>
          <w:p>
            <w:pPr>
              <w:spacing w:after="0"/>
              <w:rPr>
                <w:sz w:val="14"/>
                <w:szCs w:val="14"/>
                <w:color w:val="auto"/>
              </w:rPr>
            </w:pPr>
          </w:p>
        </w:tc>
        <w:tc>
          <w:tcPr>
            <w:tcW w:w="740" w:type="dxa"/>
            <w:vAlign w:val="bottom"/>
            <w:shd w:val="clear" w:color="auto" w:fill="E4E9F2"/>
          </w:tcPr>
          <w:p>
            <w:pPr>
              <w:spacing w:after="0"/>
              <w:rPr>
                <w:sz w:val="14"/>
                <w:szCs w:val="14"/>
                <w:color w:val="auto"/>
              </w:rPr>
            </w:pPr>
          </w:p>
        </w:tc>
        <w:tc>
          <w:tcPr>
            <w:tcW w:w="780" w:type="dxa"/>
            <w:vAlign w:val="bottom"/>
            <w:shd w:val="clear" w:color="auto" w:fill="E4E9F2"/>
          </w:tcPr>
          <w:p>
            <w:pPr>
              <w:spacing w:after="0"/>
              <w:rPr>
                <w:sz w:val="14"/>
                <w:szCs w:val="14"/>
                <w:color w:val="auto"/>
              </w:rPr>
            </w:pPr>
          </w:p>
        </w:tc>
        <w:tc>
          <w:tcPr>
            <w:tcW w:w="180" w:type="dxa"/>
            <w:vAlign w:val="bottom"/>
            <w:shd w:val="clear" w:color="auto" w:fill="E4E9F2"/>
          </w:tcPr>
          <w:p>
            <w:pPr>
              <w:spacing w:after="0"/>
              <w:rPr>
                <w:sz w:val="14"/>
                <w:szCs w:val="14"/>
                <w:color w:val="auto"/>
              </w:rPr>
            </w:pPr>
          </w:p>
        </w:tc>
        <w:tc>
          <w:tcPr>
            <w:tcW w:w="1080" w:type="dxa"/>
            <w:vAlign w:val="bottom"/>
            <w:shd w:val="clear" w:color="auto" w:fill="E4E9F2"/>
          </w:tcPr>
          <w:p>
            <w:pPr>
              <w:spacing w:after="0"/>
              <w:rPr>
                <w:sz w:val="14"/>
                <w:szCs w:val="14"/>
                <w:color w:val="auto"/>
              </w:rPr>
            </w:pPr>
          </w:p>
        </w:tc>
        <w:tc>
          <w:tcPr>
            <w:tcW w:w="900" w:type="dxa"/>
            <w:vAlign w:val="bottom"/>
            <w:shd w:val="clear" w:color="auto" w:fill="E4E9F2"/>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360" w:type="dxa"/>
            <w:vAlign w:val="bottom"/>
            <w:tcBorders>
              <w:bottom w:val="single" w:sz="8" w:color="04568A"/>
            </w:tcBorders>
            <w:shd w:val="clear" w:color="auto" w:fill="E4E9F2"/>
          </w:tcPr>
          <w:p>
            <w:pPr>
              <w:ind w:left="160"/>
              <w:spacing w:after="0"/>
              <w:rPr>
                <w:sz w:val="20"/>
                <w:szCs w:val="20"/>
                <w:color w:val="auto"/>
              </w:rPr>
            </w:pPr>
            <w:r>
              <w:rPr>
                <w:rFonts w:ascii="Arial" w:cs="Arial" w:eastAsia="Arial" w:hAnsi="Arial"/>
                <w:sz w:val="14"/>
                <w:szCs w:val="14"/>
                <w:color w:val="auto"/>
              </w:rPr>
              <w:t>PSU Grant</w:t>
            </w:r>
          </w:p>
        </w:tc>
        <w:tc>
          <w:tcPr>
            <w:tcW w:w="840" w:type="dxa"/>
            <w:vAlign w:val="bottom"/>
            <w:tcBorders>
              <w:bottom w:val="single" w:sz="8" w:color="04568A"/>
            </w:tcBorders>
            <w:shd w:val="clear" w:color="auto" w:fill="E4E9F2"/>
          </w:tcPr>
          <w:p>
            <w:pPr>
              <w:jc w:val="right"/>
              <w:ind w:right="128"/>
              <w:spacing w:after="0"/>
              <w:rPr>
                <w:sz w:val="20"/>
                <w:szCs w:val="20"/>
                <w:color w:val="auto"/>
              </w:rPr>
            </w:pPr>
            <w:r>
              <w:rPr>
                <w:rFonts w:ascii="Arial" w:cs="Arial" w:eastAsia="Arial" w:hAnsi="Arial"/>
                <w:sz w:val="14"/>
                <w:szCs w:val="14"/>
                <w:color w:val="auto"/>
              </w:rPr>
              <w:t>3/1/21</w:t>
            </w:r>
          </w:p>
        </w:tc>
        <w:tc>
          <w:tcPr>
            <w:tcW w:w="820" w:type="dxa"/>
            <w:vAlign w:val="bottom"/>
            <w:tcBorders>
              <w:bottom w:val="single" w:sz="8" w:color="04568A"/>
            </w:tcBorders>
            <w:shd w:val="clear" w:color="auto" w:fill="E4E9F2"/>
          </w:tcPr>
          <w:p>
            <w:pPr>
              <w:spacing w:after="0"/>
              <w:rPr>
                <w:sz w:val="14"/>
                <w:szCs w:val="14"/>
                <w:color w:val="auto"/>
              </w:rPr>
            </w:pPr>
          </w:p>
        </w:tc>
        <w:tc>
          <w:tcPr>
            <w:tcW w:w="860" w:type="dxa"/>
            <w:vAlign w:val="bottom"/>
            <w:tcBorders>
              <w:bottom w:val="single" w:sz="8" w:color="04568A"/>
            </w:tcBorders>
            <w:shd w:val="clear" w:color="auto" w:fill="E4E9F2"/>
          </w:tcPr>
          <w:p>
            <w:pPr>
              <w:spacing w:after="0"/>
              <w:rPr>
                <w:sz w:val="14"/>
                <w:szCs w:val="14"/>
                <w:color w:val="auto"/>
              </w:rPr>
            </w:pPr>
          </w:p>
        </w:tc>
        <w:tc>
          <w:tcPr>
            <w:tcW w:w="660" w:type="dxa"/>
            <w:vAlign w:val="bottom"/>
            <w:tcBorders>
              <w:bottom w:val="single" w:sz="8" w:color="04568A"/>
            </w:tcBorders>
            <w:shd w:val="clear" w:color="auto" w:fill="E4E9F2"/>
          </w:tcPr>
          <w:p>
            <w:pPr>
              <w:spacing w:after="0"/>
              <w:rPr>
                <w:sz w:val="14"/>
                <w:szCs w:val="14"/>
                <w:color w:val="auto"/>
              </w:rPr>
            </w:pPr>
          </w:p>
        </w:tc>
        <w:tc>
          <w:tcPr>
            <w:tcW w:w="200" w:type="dxa"/>
            <w:vAlign w:val="bottom"/>
            <w:tcBorders>
              <w:bottom w:val="single" w:sz="8" w:color="04568A"/>
            </w:tcBorders>
            <w:shd w:val="clear" w:color="auto" w:fill="E4E9F2"/>
          </w:tcPr>
          <w:p>
            <w:pPr>
              <w:spacing w:after="0"/>
              <w:rPr>
                <w:sz w:val="14"/>
                <w:szCs w:val="14"/>
                <w:color w:val="auto"/>
              </w:rPr>
            </w:pPr>
          </w:p>
        </w:tc>
        <w:tc>
          <w:tcPr>
            <w:tcW w:w="820" w:type="dxa"/>
            <w:vAlign w:val="bottom"/>
            <w:tcBorders>
              <w:bottom w:val="single" w:sz="8" w:color="04568A"/>
            </w:tcBorders>
            <w:shd w:val="clear" w:color="auto" w:fill="E4E9F2"/>
          </w:tcPr>
          <w:p>
            <w:pPr>
              <w:jc w:val="right"/>
              <w:ind w:right="49"/>
              <w:spacing w:after="0"/>
              <w:rPr>
                <w:sz w:val="20"/>
                <w:szCs w:val="20"/>
                <w:color w:val="auto"/>
              </w:rPr>
            </w:pPr>
            <w:r>
              <w:rPr>
                <w:rFonts w:ascii="Arial" w:cs="Arial" w:eastAsia="Arial" w:hAnsi="Arial"/>
                <w:sz w:val="14"/>
                <w:szCs w:val="14"/>
                <w:color w:val="auto"/>
              </w:rPr>
              <w:t>231,660</w:t>
            </w:r>
          </w:p>
        </w:tc>
        <w:tc>
          <w:tcPr>
            <w:tcW w:w="740" w:type="dxa"/>
            <w:vAlign w:val="bottom"/>
            <w:tcBorders>
              <w:bottom w:val="single" w:sz="8" w:color="04568A"/>
            </w:tcBorders>
            <w:shd w:val="clear" w:color="auto" w:fill="E4E9F2"/>
          </w:tcPr>
          <w:p>
            <w:pPr>
              <w:jc w:val="right"/>
              <w:ind w:right="28"/>
              <w:spacing w:after="0"/>
              <w:rPr>
                <w:sz w:val="20"/>
                <w:szCs w:val="20"/>
                <w:color w:val="auto"/>
              </w:rPr>
            </w:pPr>
            <w:r>
              <w:rPr>
                <w:rFonts w:ascii="Arial" w:cs="Arial" w:eastAsia="Arial" w:hAnsi="Arial"/>
                <w:sz w:val="14"/>
                <w:szCs w:val="14"/>
                <w:color w:val="auto"/>
              </w:rPr>
              <w:t>463,320</w:t>
            </w:r>
          </w:p>
        </w:tc>
        <w:tc>
          <w:tcPr>
            <w:tcW w:w="960" w:type="dxa"/>
            <w:vAlign w:val="bottom"/>
            <w:tcBorders>
              <w:bottom w:val="single" w:sz="8" w:color="04568A"/>
            </w:tcBorders>
            <w:gridSpan w:val="2"/>
            <w:shd w:val="clear" w:color="auto" w:fill="E4E9F2"/>
          </w:tcPr>
          <w:p>
            <w:pPr>
              <w:jc w:val="right"/>
              <w:ind w:right="180"/>
              <w:spacing w:after="0"/>
              <w:rPr>
                <w:sz w:val="20"/>
                <w:szCs w:val="20"/>
                <w:color w:val="auto"/>
              </w:rPr>
            </w:pPr>
            <w:r>
              <w:rPr>
                <w:rFonts w:ascii="Arial" w:cs="Arial" w:eastAsia="Arial" w:hAnsi="Arial"/>
                <w:sz w:val="14"/>
                <w:szCs w:val="14"/>
                <w:color w:val="auto"/>
              </w:rPr>
              <w:t>926,640</w:t>
            </w:r>
          </w:p>
        </w:tc>
        <w:tc>
          <w:tcPr>
            <w:tcW w:w="1080" w:type="dxa"/>
            <w:vAlign w:val="bottom"/>
            <w:tcBorders>
              <w:bottom w:val="single" w:sz="8" w:color="04568A"/>
            </w:tcBorders>
            <w:shd w:val="clear" w:color="auto" w:fill="E4E9F2"/>
          </w:tcPr>
          <w:p>
            <w:pPr>
              <w:spacing w:after="0"/>
              <w:rPr>
                <w:sz w:val="14"/>
                <w:szCs w:val="14"/>
                <w:color w:val="auto"/>
              </w:rPr>
            </w:pPr>
          </w:p>
        </w:tc>
        <w:tc>
          <w:tcPr>
            <w:tcW w:w="90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4"/>
                <w:szCs w:val="14"/>
                <w:color w:val="auto"/>
              </w:rPr>
              <w:t>3,266,406</w:t>
            </w:r>
          </w:p>
        </w:tc>
        <w:tc>
          <w:tcPr>
            <w:tcW w:w="0" w:type="dxa"/>
            <w:vAlign w:val="bottom"/>
          </w:tcPr>
          <w:p>
            <w:pPr>
              <w:spacing w:after="0"/>
              <w:rPr>
                <w:sz w:val="1"/>
                <w:szCs w:val="1"/>
                <w:color w:val="auto"/>
              </w:rPr>
            </w:pPr>
          </w:p>
        </w:tc>
      </w:tr>
      <w:tr>
        <w:trPr>
          <w:trHeight w:val="160"/>
        </w:trPr>
        <w:tc>
          <w:tcPr>
            <w:tcW w:w="3360" w:type="dxa"/>
            <w:vAlign w:val="bottom"/>
          </w:tcPr>
          <w:p>
            <w:pPr>
              <w:ind w:left="60"/>
              <w:spacing w:after="0"/>
              <w:rPr>
                <w:sz w:val="20"/>
                <w:szCs w:val="20"/>
                <w:color w:val="auto"/>
              </w:rPr>
            </w:pPr>
            <w:r>
              <w:rPr>
                <w:rFonts w:ascii="Arial" w:cs="Arial" w:eastAsia="Arial" w:hAnsi="Arial"/>
                <w:sz w:val="14"/>
                <w:szCs w:val="14"/>
                <w:b w:val="1"/>
                <w:bCs w:val="1"/>
                <w:color w:val="auto"/>
              </w:rPr>
              <w:t>Anastasios Konidaris</w:t>
            </w:r>
          </w:p>
        </w:tc>
        <w:tc>
          <w:tcPr>
            <w:tcW w:w="84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360" w:type="dxa"/>
            <w:vAlign w:val="bottom"/>
          </w:tcPr>
          <w:p>
            <w:pPr>
              <w:ind w:left="160"/>
              <w:spacing w:after="0"/>
              <w:rPr>
                <w:sz w:val="20"/>
                <w:szCs w:val="20"/>
                <w:color w:val="auto"/>
              </w:rPr>
            </w:pPr>
            <w:r>
              <w:rPr>
                <w:rFonts w:ascii="Arial" w:cs="Arial" w:eastAsia="Arial" w:hAnsi="Arial"/>
                <w:sz w:val="14"/>
                <w:szCs w:val="14"/>
                <w:color w:val="auto"/>
              </w:rPr>
              <w:t>2021 Annual Cash Incentive</w:t>
            </w:r>
          </w:p>
        </w:tc>
        <w:tc>
          <w:tcPr>
            <w:tcW w:w="840" w:type="dxa"/>
            <w:vAlign w:val="bottom"/>
          </w:tcPr>
          <w:p>
            <w:pPr>
              <w:spacing w:after="0"/>
              <w:rPr>
                <w:sz w:val="14"/>
                <w:szCs w:val="14"/>
                <w:color w:val="auto"/>
              </w:rPr>
            </w:pPr>
          </w:p>
        </w:tc>
        <w:tc>
          <w:tcPr>
            <w:tcW w:w="820" w:type="dxa"/>
            <w:vAlign w:val="bottom"/>
          </w:tcPr>
          <w:p>
            <w:pPr>
              <w:jc w:val="right"/>
              <w:ind w:right="49"/>
              <w:spacing w:after="0"/>
              <w:rPr>
                <w:sz w:val="20"/>
                <w:szCs w:val="20"/>
                <w:color w:val="auto"/>
              </w:rPr>
            </w:pPr>
            <w:r>
              <w:rPr>
                <w:rFonts w:ascii="Arial" w:cs="Arial" w:eastAsia="Arial" w:hAnsi="Arial"/>
                <w:sz w:val="14"/>
                <w:szCs w:val="14"/>
                <w:color w:val="auto"/>
              </w:rPr>
              <w:t>151,250</w:t>
            </w:r>
          </w:p>
        </w:tc>
        <w:tc>
          <w:tcPr>
            <w:tcW w:w="860" w:type="dxa"/>
            <w:vAlign w:val="bottom"/>
          </w:tcPr>
          <w:p>
            <w:pPr>
              <w:jc w:val="right"/>
              <w:ind w:right="148"/>
              <w:spacing w:after="0"/>
              <w:rPr>
                <w:sz w:val="20"/>
                <w:szCs w:val="20"/>
                <w:color w:val="auto"/>
              </w:rPr>
            </w:pPr>
            <w:r>
              <w:rPr>
                <w:rFonts w:ascii="Arial" w:cs="Arial" w:eastAsia="Arial" w:hAnsi="Arial"/>
                <w:sz w:val="14"/>
                <w:szCs w:val="14"/>
                <w:color w:val="auto"/>
              </w:rPr>
              <w:t>302,500</w:t>
            </w:r>
          </w:p>
        </w:tc>
        <w:tc>
          <w:tcPr>
            <w:tcW w:w="860" w:type="dxa"/>
            <w:vAlign w:val="bottom"/>
            <w:gridSpan w:val="2"/>
          </w:tcPr>
          <w:p>
            <w:pPr>
              <w:jc w:val="right"/>
              <w:ind w:right="200"/>
              <w:spacing w:after="0"/>
              <w:rPr>
                <w:sz w:val="20"/>
                <w:szCs w:val="20"/>
                <w:color w:val="auto"/>
              </w:rPr>
            </w:pPr>
            <w:r>
              <w:rPr>
                <w:rFonts w:ascii="Arial" w:cs="Arial" w:eastAsia="Arial" w:hAnsi="Arial"/>
                <w:sz w:val="14"/>
                <w:szCs w:val="14"/>
                <w:color w:val="auto"/>
              </w:rPr>
              <w:t>453,750</w:t>
            </w:r>
          </w:p>
        </w:tc>
        <w:tc>
          <w:tcPr>
            <w:tcW w:w="8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360" w:type="dxa"/>
            <w:vAlign w:val="bottom"/>
          </w:tcPr>
          <w:p>
            <w:pPr>
              <w:ind w:left="160"/>
              <w:spacing w:after="0"/>
              <w:rPr>
                <w:sz w:val="20"/>
                <w:szCs w:val="20"/>
                <w:color w:val="auto"/>
              </w:rPr>
            </w:pPr>
            <w:r>
              <w:rPr>
                <w:rFonts w:ascii="Arial" w:cs="Arial" w:eastAsia="Arial" w:hAnsi="Arial"/>
                <w:sz w:val="14"/>
                <w:szCs w:val="14"/>
                <w:color w:val="auto"/>
              </w:rPr>
              <w:t>PSU Grant</w:t>
            </w:r>
          </w:p>
        </w:tc>
        <w:tc>
          <w:tcPr>
            <w:tcW w:w="840" w:type="dxa"/>
            <w:vAlign w:val="bottom"/>
          </w:tcPr>
          <w:p>
            <w:pPr>
              <w:jc w:val="right"/>
              <w:ind w:right="128"/>
              <w:spacing w:after="0"/>
              <w:rPr>
                <w:sz w:val="20"/>
                <w:szCs w:val="20"/>
                <w:color w:val="auto"/>
              </w:rPr>
            </w:pPr>
            <w:r>
              <w:rPr>
                <w:rFonts w:ascii="Arial" w:cs="Arial" w:eastAsia="Arial" w:hAnsi="Arial"/>
                <w:sz w:val="14"/>
                <w:szCs w:val="14"/>
                <w:color w:val="auto"/>
              </w:rPr>
              <w:t>3/1/21</w:t>
            </w:r>
          </w:p>
        </w:tc>
        <w:tc>
          <w:tcPr>
            <w:tcW w:w="8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tcPr>
          <w:p>
            <w:pPr>
              <w:jc w:val="right"/>
              <w:ind w:right="49"/>
              <w:spacing w:after="0"/>
              <w:rPr>
                <w:sz w:val="20"/>
                <w:szCs w:val="20"/>
                <w:color w:val="auto"/>
              </w:rPr>
            </w:pPr>
            <w:r>
              <w:rPr>
                <w:rFonts w:ascii="Arial" w:cs="Arial" w:eastAsia="Arial" w:hAnsi="Arial"/>
                <w:sz w:val="14"/>
                <w:szCs w:val="14"/>
                <w:color w:val="auto"/>
              </w:rPr>
              <w:t>72,394</w:t>
            </w:r>
          </w:p>
        </w:tc>
        <w:tc>
          <w:tcPr>
            <w:tcW w:w="740" w:type="dxa"/>
            <w:vAlign w:val="bottom"/>
          </w:tcPr>
          <w:p>
            <w:pPr>
              <w:jc w:val="right"/>
              <w:ind w:right="28"/>
              <w:spacing w:after="0"/>
              <w:rPr>
                <w:sz w:val="20"/>
                <w:szCs w:val="20"/>
                <w:color w:val="auto"/>
              </w:rPr>
            </w:pPr>
            <w:r>
              <w:rPr>
                <w:rFonts w:ascii="Arial" w:cs="Arial" w:eastAsia="Arial" w:hAnsi="Arial"/>
                <w:sz w:val="14"/>
                <w:szCs w:val="14"/>
                <w:color w:val="auto"/>
              </w:rPr>
              <w:t>144,788</w:t>
            </w:r>
          </w:p>
        </w:tc>
        <w:tc>
          <w:tcPr>
            <w:tcW w:w="960" w:type="dxa"/>
            <w:vAlign w:val="bottom"/>
            <w:gridSpan w:val="2"/>
          </w:tcPr>
          <w:p>
            <w:pPr>
              <w:jc w:val="right"/>
              <w:ind w:right="180"/>
              <w:spacing w:after="0"/>
              <w:rPr>
                <w:sz w:val="20"/>
                <w:szCs w:val="20"/>
                <w:color w:val="auto"/>
              </w:rPr>
            </w:pPr>
            <w:r>
              <w:rPr>
                <w:rFonts w:ascii="Arial" w:cs="Arial" w:eastAsia="Arial" w:hAnsi="Arial"/>
                <w:sz w:val="14"/>
                <w:szCs w:val="14"/>
                <w:color w:val="auto"/>
              </w:rPr>
              <w:t>289,576</w:t>
            </w:r>
          </w:p>
        </w:tc>
        <w:tc>
          <w:tcPr>
            <w:tcW w:w="1080" w:type="dxa"/>
            <w:vAlign w:val="bottom"/>
          </w:tcPr>
          <w:p>
            <w:pPr>
              <w:spacing w:after="0"/>
              <w:rPr>
                <w:sz w:val="14"/>
                <w:szCs w:val="14"/>
                <w:color w:val="auto"/>
              </w:rPr>
            </w:pPr>
          </w:p>
        </w:tc>
        <w:tc>
          <w:tcPr>
            <w:tcW w:w="900" w:type="dxa"/>
            <w:vAlign w:val="bottom"/>
          </w:tcPr>
          <w:p>
            <w:pPr>
              <w:jc w:val="right"/>
              <w:spacing w:after="0"/>
              <w:rPr>
                <w:sz w:val="20"/>
                <w:szCs w:val="20"/>
                <w:color w:val="auto"/>
              </w:rPr>
            </w:pPr>
            <w:r>
              <w:rPr>
                <w:rFonts w:ascii="Arial" w:cs="Arial" w:eastAsia="Arial" w:hAnsi="Arial"/>
                <w:sz w:val="14"/>
                <w:szCs w:val="14"/>
                <w:color w:val="auto"/>
              </w:rPr>
              <w:t>1,020,755</w:t>
            </w:r>
          </w:p>
        </w:tc>
        <w:tc>
          <w:tcPr>
            <w:tcW w:w="0" w:type="dxa"/>
            <w:vAlign w:val="bottom"/>
          </w:tcPr>
          <w:p>
            <w:pPr>
              <w:spacing w:after="0"/>
              <w:rPr>
                <w:sz w:val="1"/>
                <w:szCs w:val="1"/>
                <w:color w:val="auto"/>
              </w:rPr>
            </w:pPr>
          </w:p>
        </w:tc>
      </w:tr>
      <w:tr>
        <w:trPr>
          <w:trHeight w:val="157"/>
        </w:trPr>
        <w:tc>
          <w:tcPr>
            <w:tcW w:w="3360" w:type="dxa"/>
            <w:vAlign w:val="bottom"/>
            <w:tcBorders>
              <w:bottom w:val="single" w:sz="8" w:color="04568A"/>
            </w:tcBorders>
          </w:tcPr>
          <w:p>
            <w:pPr>
              <w:ind w:left="160"/>
              <w:spacing w:after="0" w:line="157" w:lineRule="exact"/>
              <w:rPr>
                <w:sz w:val="20"/>
                <w:szCs w:val="20"/>
                <w:color w:val="auto"/>
              </w:rPr>
            </w:pPr>
            <w:r>
              <w:rPr>
                <w:rFonts w:ascii="Arial" w:cs="Arial" w:eastAsia="Arial" w:hAnsi="Arial"/>
                <w:sz w:val="14"/>
                <w:szCs w:val="14"/>
                <w:color w:val="auto"/>
              </w:rPr>
              <w:t>RSU Grant</w:t>
            </w:r>
          </w:p>
        </w:tc>
        <w:tc>
          <w:tcPr>
            <w:tcW w:w="840" w:type="dxa"/>
            <w:vAlign w:val="bottom"/>
            <w:tcBorders>
              <w:bottom w:val="single" w:sz="8" w:color="04568A"/>
            </w:tcBorders>
          </w:tcPr>
          <w:p>
            <w:pPr>
              <w:jc w:val="right"/>
              <w:ind w:right="128"/>
              <w:spacing w:after="0" w:line="157" w:lineRule="exact"/>
              <w:rPr>
                <w:sz w:val="20"/>
                <w:szCs w:val="20"/>
                <w:color w:val="auto"/>
              </w:rPr>
            </w:pPr>
            <w:r>
              <w:rPr>
                <w:rFonts w:ascii="Arial" w:cs="Arial" w:eastAsia="Arial" w:hAnsi="Arial"/>
                <w:sz w:val="14"/>
                <w:szCs w:val="14"/>
                <w:color w:val="auto"/>
              </w:rPr>
              <w:t>3/1/21</w:t>
            </w:r>
          </w:p>
        </w:tc>
        <w:tc>
          <w:tcPr>
            <w:tcW w:w="820" w:type="dxa"/>
            <w:vAlign w:val="bottom"/>
            <w:tcBorders>
              <w:bottom w:val="single" w:sz="8" w:color="04568A"/>
            </w:tcBorders>
          </w:tcPr>
          <w:p>
            <w:pPr>
              <w:spacing w:after="0"/>
              <w:rPr>
                <w:sz w:val="13"/>
                <w:szCs w:val="13"/>
                <w:color w:val="auto"/>
              </w:rPr>
            </w:pPr>
          </w:p>
        </w:tc>
        <w:tc>
          <w:tcPr>
            <w:tcW w:w="860" w:type="dxa"/>
            <w:vAlign w:val="bottom"/>
            <w:tcBorders>
              <w:bottom w:val="single" w:sz="8" w:color="04568A"/>
            </w:tcBorders>
          </w:tcPr>
          <w:p>
            <w:pPr>
              <w:spacing w:after="0"/>
              <w:rPr>
                <w:sz w:val="13"/>
                <w:szCs w:val="13"/>
                <w:color w:val="auto"/>
              </w:rPr>
            </w:pPr>
          </w:p>
        </w:tc>
        <w:tc>
          <w:tcPr>
            <w:tcW w:w="660" w:type="dxa"/>
            <w:vAlign w:val="bottom"/>
            <w:tcBorders>
              <w:bottom w:val="single" w:sz="8" w:color="04568A"/>
            </w:tcBorders>
          </w:tcPr>
          <w:p>
            <w:pPr>
              <w:spacing w:after="0"/>
              <w:rPr>
                <w:sz w:val="13"/>
                <w:szCs w:val="13"/>
                <w:color w:val="auto"/>
              </w:rPr>
            </w:pPr>
          </w:p>
        </w:tc>
        <w:tc>
          <w:tcPr>
            <w:tcW w:w="200" w:type="dxa"/>
            <w:vAlign w:val="bottom"/>
            <w:tcBorders>
              <w:bottom w:val="single" w:sz="8" w:color="04568A"/>
            </w:tcBorders>
          </w:tcPr>
          <w:p>
            <w:pPr>
              <w:spacing w:after="0"/>
              <w:rPr>
                <w:sz w:val="13"/>
                <w:szCs w:val="13"/>
                <w:color w:val="auto"/>
              </w:rPr>
            </w:pPr>
          </w:p>
        </w:tc>
        <w:tc>
          <w:tcPr>
            <w:tcW w:w="820" w:type="dxa"/>
            <w:vAlign w:val="bottom"/>
            <w:tcBorders>
              <w:bottom w:val="single" w:sz="8" w:color="04568A"/>
            </w:tcBorders>
          </w:tcPr>
          <w:p>
            <w:pPr>
              <w:spacing w:after="0"/>
              <w:rPr>
                <w:sz w:val="13"/>
                <w:szCs w:val="13"/>
                <w:color w:val="auto"/>
              </w:rPr>
            </w:pPr>
          </w:p>
        </w:tc>
        <w:tc>
          <w:tcPr>
            <w:tcW w:w="740" w:type="dxa"/>
            <w:vAlign w:val="bottom"/>
            <w:tcBorders>
              <w:bottom w:val="single" w:sz="8" w:color="04568A"/>
            </w:tcBorders>
          </w:tcPr>
          <w:p>
            <w:pPr>
              <w:spacing w:after="0"/>
              <w:rPr>
                <w:sz w:val="13"/>
                <w:szCs w:val="13"/>
                <w:color w:val="auto"/>
              </w:rPr>
            </w:pPr>
          </w:p>
        </w:tc>
        <w:tc>
          <w:tcPr>
            <w:tcW w:w="780" w:type="dxa"/>
            <w:vAlign w:val="bottom"/>
            <w:tcBorders>
              <w:bottom w:val="single" w:sz="8" w:color="04568A"/>
            </w:tcBorders>
          </w:tcPr>
          <w:p>
            <w:pPr>
              <w:spacing w:after="0"/>
              <w:rPr>
                <w:sz w:val="13"/>
                <w:szCs w:val="13"/>
                <w:color w:val="auto"/>
              </w:rPr>
            </w:pPr>
          </w:p>
        </w:tc>
        <w:tc>
          <w:tcPr>
            <w:tcW w:w="180" w:type="dxa"/>
            <w:vAlign w:val="bottom"/>
            <w:tcBorders>
              <w:bottom w:val="single" w:sz="8" w:color="04568A"/>
            </w:tcBorders>
          </w:tcPr>
          <w:p>
            <w:pPr>
              <w:spacing w:after="0"/>
              <w:rPr>
                <w:sz w:val="13"/>
                <w:szCs w:val="13"/>
                <w:color w:val="auto"/>
              </w:rPr>
            </w:pPr>
          </w:p>
        </w:tc>
        <w:tc>
          <w:tcPr>
            <w:tcW w:w="1080" w:type="dxa"/>
            <w:vAlign w:val="bottom"/>
            <w:tcBorders>
              <w:bottom w:val="single" w:sz="8" w:color="04568A"/>
            </w:tcBorders>
          </w:tcPr>
          <w:p>
            <w:pPr>
              <w:jc w:val="right"/>
              <w:ind w:right="108"/>
              <w:spacing w:after="0" w:line="157" w:lineRule="exact"/>
              <w:rPr>
                <w:sz w:val="20"/>
                <w:szCs w:val="20"/>
                <w:color w:val="auto"/>
              </w:rPr>
            </w:pPr>
            <w:r>
              <w:rPr>
                <w:rFonts w:ascii="Arial" w:cs="Arial" w:eastAsia="Arial" w:hAnsi="Arial"/>
                <w:sz w:val="14"/>
                <w:szCs w:val="14"/>
                <w:color w:val="auto"/>
              </w:rPr>
              <w:t>144,788</w:t>
            </w:r>
          </w:p>
        </w:tc>
        <w:tc>
          <w:tcPr>
            <w:tcW w:w="900" w:type="dxa"/>
            <w:vAlign w:val="bottom"/>
            <w:tcBorders>
              <w:bottom w:val="single" w:sz="8" w:color="04568A"/>
            </w:tcBorders>
          </w:tcPr>
          <w:p>
            <w:pPr>
              <w:jc w:val="right"/>
              <w:spacing w:after="0" w:line="157" w:lineRule="exact"/>
              <w:rPr>
                <w:sz w:val="20"/>
                <w:szCs w:val="20"/>
                <w:color w:val="auto"/>
              </w:rPr>
            </w:pPr>
            <w:r>
              <w:rPr>
                <w:rFonts w:ascii="Arial" w:cs="Arial" w:eastAsia="Arial" w:hAnsi="Arial"/>
                <w:sz w:val="14"/>
                <w:szCs w:val="14"/>
                <w:color w:val="auto"/>
              </w:rPr>
              <w:t>750,002</w:t>
            </w:r>
          </w:p>
        </w:tc>
        <w:tc>
          <w:tcPr>
            <w:tcW w:w="0" w:type="dxa"/>
            <w:vAlign w:val="bottom"/>
          </w:tcPr>
          <w:p>
            <w:pPr>
              <w:spacing w:after="0"/>
              <w:rPr>
                <w:sz w:val="1"/>
                <w:szCs w:val="1"/>
                <w:color w:val="auto"/>
              </w:rPr>
            </w:pPr>
          </w:p>
        </w:tc>
      </w:tr>
      <w:tr>
        <w:trPr>
          <w:trHeight w:val="155"/>
        </w:trPr>
        <w:tc>
          <w:tcPr>
            <w:tcW w:w="3360" w:type="dxa"/>
            <w:vAlign w:val="bottom"/>
            <w:shd w:val="clear" w:color="auto" w:fill="E4E9F2"/>
          </w:tcPr>
          <w:p>
            <w:pPr>
              <w:ind w:left="60"/>
              <w:spacing w:after="0" w:line="155" w:lineRule="exact"/>
              <w:rPr>
                <w:sz w:val="20"/>
                <w:szCs w:val="20"/>
                <w:color w:val="auto"/>
              </w:rPr>
            </w:pPr>
            <w:r>
              <w:rPr>
                <w:rFonts w:ascii="Arial" w:cs="Arial" w:eastAsia="Arial" w:hAnsi="Arial"/>
                <w:sz w:val="14"/>
                <w:szCs w:val="14"/>
                <w:b w:val="1"/>
                <w:bCs w:val="1"/>
                <w:color w:val="auto"/>
              </w:rPr>
              <w:t>Andrew Boyer</w:t>
            </w:r>
          </w:p>
        </w:tc>
        <w:tc>
          <w:tcPr>
            <w:tcW w:w="840" w:type="dxa"/>
            <w:vAlign w:val="bottom"/>
            <w:shd w:val="clear" w:color="auto" w:fill="E4E9F2"/>
          </w:tcPr>
          <w:p>
            <w:pPr>
              <w:spacing w:after="0"/>
              <w:rPr>
                <w:sz w:val="13"/>
                <w:szCs w:val="13"/>
                <w:color w:val="auto"/>
              </w:rPr>
            </w:pPr>
          </w:p>
        </w:tc>
        <w:tc>
          <w:tcPr>
            <w:tcW w:w="820" w:type="dxa"/>
            <w:vAlign w:val="bottom"/>
            <w:shd w:val="clear" w:color="auto" w:fill="E4E9F2"/>
          </w:tcPr>
          <w:p>
            <w:pPr>
              <w:spacing w:after="0"/>
              <w:rPr>
                <w:sz w:val="13"/>
                <w:szCs w:val="13"/>
                <w:color w:val="auto"/>
              </w:rPr>
            </w:pPr>
          </w:p>
        </w:tc>
        <w:tc>
          <w:tcPr>
            <w:tcW w:w="860" w:type="dxa"/>
            <w:vAlign w:val="bottom"/>
            <w:shd w:val="clear" w:color="auto" w:fill="E4E9F2"/>
          </w:tcPr>
          <w:p>
            <w:pPr>
              <w:spacing w:after="0"/>
              <w:rPr>
                <w:sz w:val="13"/>
                <w:szCs w:val="13"/>
                <w:color w:val="auto"/>
              </w:rPr>
            </w:pPr>
          </w:p>
        </w:tc>
        <w:tc>
          <w:tcPr>
            <w:tcW w:w="660" w:type="dxa"/>
            <w:vAlign w:val="bottom"/>
            <w:shd w:val="clear" w:color="auto" w:fill="E4E9F2"/>
          </w:tcPr>
          <w:p>
            <w:pPr>
              <w:spacing w:after="0"/>
              <w:rPr>
                <w:sz w:val="13"/>
                <w:szCs w:val="13"/>
                <w:color w:val="auto"/>
              </w:rPr>
            </w:pPr>
          </w:p>
        </w:tc>
        <w:tc>
          <w:tcPr>
            <w:tcW w:w="200" w:type="dxa"/>
            <w:vAlign w:val="bottom"/>
            <w:shd w:val="clear" w:color="auto" w:fill="E4E9F2"/>
          </w:tcPr>
          <w:p>
            <w:pPr>
              <w:spacing w:after="0"/>
              <w:rPr>
                <w:sz w:val="13"/>
                <w:szCs w:val="13"/>
                <w:color w:val="auto"/>
              </w:rPr>
            </w:pPr>
          </w:p>
        </w:tc>
        <w:tc>
          <w:tcPr>
            <w:tcW w:w="820" w:type="dxa"/>
            <w:vAlign w:val="bottom"/>
            <w:shd w:val="clear" w:color="auto" w:fill="E4E9F2"/>
          </w:tcPr>
          <w:p>
            <w:pPr>
              <w:spacing w:after="0"/>
              <w:rPr>
                <w:sz w:val="13"/>
                <w:szCs w:val="13"/>
                <w:color w:val="auto"/>
              </w:rPr>
            </w:pPr>
          </w:p>
        </w:tc>
        <w:tc>
          <w:tcPr>
            <w:tcW w:w="740" w:type="dxa"/>
            <w:vAlign w:val="bottom"/>
            <w:shd w:val="clear" w:color="auto" w:fill="E4E9F2"/>
          </w:tcPr>
          <w:p>
            <w:pPr>
              <w:spacing w:after="0"/>
              <w:rPr>
                <w:sz w:val="13"/>
                <w:szCs w:val="13"/>
                <w:color w:val="auto"/>
              </w:rPr>
            </w:pPr>
          </w:p>
        </w:tc>
        <w:tc>
          <w:tcPr>
            <w:tcW w:w="780" w:type="dxa"/>
            <w:vAlign w:val="bottom"/>
            <w:shd w:val="clear" w:color="auto" w:fill="E4E9F2"/>
          </w:tcPr>
          <w:p>
            <w:pPr>
              <w:spacing w:after="0"/>
              <w:rPr>
                <w:sz w:val="13"/>
                <w:szCs w:val="13"/>
                <w:color w:val="auto"/>
              </w:rPr>
            </w:pPr>
          </w:p>
        </w:tc>
        <w:tc>
          <w:tcPr>
            <w:tcW w:w="180" w:type="dxa"/>
            <w:vAlign w:val="bottom"/>
            <w:shd w:val="clear" w:color="auto" w:fill="E4E9F2"/>
          </w:tcPr>
          <w:p>
            <w:pPr>
              <w:spacing w:after="0"/>
              <w:rPr>
                <w:sz w:val="13"/>
                <w:szCs w:val="13"/>
                <w:color w:val="auto"/>
              </w:rPr>
            </w:pPr>
          </w:p>
        </w:tc>
        <w:tc>
          <w:tcPr>
            <w:tcW w:w="1080" w:type="dxa"/>
            <w:vAlign w:val="bottom"/>
            <w:shd w:val="clear" w:color="auto" w:fill="E4E9F2"/>
          </w:tcPr>
          <w:p>
            <w:pPr>
              <w:spacing w:after="0"/>
              <w:rPr>
                <w:sz w:val="13"/>
                <w:szCs w:val="13"/>
                <w:color w:val="auto"/>
              </w:rPr>
            </w:pPr>
          </w:p>
        </w:tc>
        <w:tc>
          <w:tcPr>
            <w:tcW w:w="900" w:type="dxa"/>
            <w:vAlign w:val="bottom"/>
            <w:shd w:val="clear" w:color="auto" w:fill="E4E9F2"/>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360" w:type="dxa"/>
            <w:vAlign w:val="bottom"/>
            <w:shd w:val="clear" w:color="auto" w:fill="E4E9F2"/>
          </w:tcPr>
          <w:p>
            <w:pPr>
              <w:ind w:left="160"/>
              <w:spacing w:after="0"/>
              <w:rPr>
                <w:sz w:val="20"/>
                <w:szCs w:val="20"/>
                <w:color w:val="auto"/>
              </w:rPr>
            </w:pPr>
            <w:r>
              <w:rPr>
                <w:rFonts w:ascii="Arial" w:cs="Arial" w:eastAsia="Arial" w:hAnsi="Arial"/>
                <w:sz w:val="14"/>
                <w:szCs w:val="14"/>
                <w:color w:val="auto"/>
              </w:rPr>
              <w:t>2021 Annual Cash Incentive</w:t>
            </w:r>
          </w:p>
        </w:tc>
        <w:tc>
          <w:tcPr>
            <w:tcW w:w="840" w:type="dxa"/>
            <w:vAlign w:val="bottom"/>
            <w:shd w:val="clear" w:color="auto" w:fill="E4E9F2"/>
          </w:tcPr>
          <w:p>
            <w:pPr>
              <w:spacing w:after="0"/>
              <w:rPr>
                <w:sz w:val="14"/>
                <w:szCs w:val="14"/>
                <w:color w:val="auto"/>
              </w:rPr>
            </w:pPr>
          </w:p>
        </w:tc>
        <w:tc>
          <w:tcPr>
            <w:tcW w:w="820" w:type="dxa"/>
            <w:vAlign w:val="bottom"/>
            <w:shd w:val="clear" w:color="auto" w:fill="E4E9F2"/>
          </w:tcPr>
          <w:p>
            <w:pPr>
              <w:jc w:val="right"/>
              <w:ind w:right="49"/>
              <w:spacing w:after="0"/>
              <w:rPr>
                <w:sz w:val="20"/>
                <w:szCs w:val="20"/>
                <w:color w:val="auto"/>
              </w:rPr>
            </w:pPr>
            <w:r>
              <w:rPr>
                <w:rFonts w:ascii="Arial" w:cs="Arial" w:eastAsia="Arial" w:hAnsi="Arial"/>
                <w:sz w:val="14"/>
                <w:szCs w:val="14"/>
                <w:color w:val="auto"/>
              </w:rPr>
              <w:t>240,000</w:t>
            </w:r>
          </w:p>
        </w:tc>
        <w:tc>
          <w:tcPr>
            <w:tcW w:w="860" w:type="dxa"/>
            <w:vAlign w:val="bottom"/>
            <w:shd w:val="clear" w:color="auto" w:fill="E4E9F2"/>
          </w:tcPr>
          <w:p>
            <w:pPr>
              <w:jc w:val="right"/>
              <w:ind w:right="148"/>
              <w:spacing w:after="0"/>
              <w:rPr>
                <w:sz w:val="20"/>
                <w:szCs w:val="20"/>
                <w:color w:val="auto"/>
              </w:rPr>
            </w:pPr>
            <w:r>
              <w:rPr>
                <w:rFonts w:ascii="Arial" w:cs="Arial" w:eastAsia="Arial" w:hAnsi="Arial"/>
                <w:sz w:val="14"/>
                <w:szCs w:val="14"/>
                <w:color w:val="auto"/>
              </w:rPr>
              <w:t>480,000</w:t>
            </w:r>
          </w:p>
        </w:tc>
        <w:tc>
          <w:tcPr>
            <w:tcW w:w="860" w:type="dxa"/>
            <w:vAlign w:val="bottom"/>
            <w:gridSpan w:val="2"/>
            <w:shd w:val="clear" w:color="auto" w:fill="E4E9F2"/>
          </w:tcPr>
          <w:p>
            <w:pPr>
              <w:jc w:val="right"/>
              <w:ind w:right="200"/>
              <w:spacing w:after="0"/>
              <w:rPr>
                <w:sz w:val="20"/>
                <w:szCs w:val="20"/>
                <w:color w:val="auto"/>
              </w:rPr>
            </w:pPr>
            <w:r>
              <w:rPr>
                <w:rFonts w:ascii="Arial" w:cs="Arial" w:eastAsia="Arial" w:hAnsi="Arial"/>
                <w:sz w:val="14"/>
                <w:szCs w:val="14"/>
                <w:color w:val="auto"/>
              </w:rPr>
              <w:t>720,000</w:t>
            </w:r>
          </w:p>
        </w:tc>
        <w:tc>
          <w:tcPr>
            <w:tcW w:w="820" w:type="dxa"/>
            <w:vAlign w:val="bottom"/>
            <w:shd w:val="clear" w:color="auto" w:fill="E4E9F2"/>
          </w:tcPr>
          <w:p>
            <w:pPr>
              <w:spacing w:after="0"/>
              <w:rPr>
                <w:sz w:val="14"/>
                <w:szCs w:val="14"/>
                <w:color w:val="auto"/>
              </w:rPr>
            </w:pPr>
          </w:p>
        </w:tc>
        <w:tc>
          <w:tcPr>
            <w:tcW w:w="740" w:type="dxa"/>
            <w:vAlign w:val="bottom"/>
            <w:shd w:val="clear" w:color="auto" w:fill="E4E9F2"/>
          </w:tcPr>
          <w:p>
            <w:pPr>
              <w:spacing w:after="0"/>
              <w:rPr>
                <w:sz w:val="14"/>
                <w:szCs w:val="14"/>
                <w:color w:val="auto"/>
              </w:rPr>
            </w:pPr>
          </w:p>
        </w:tc>
        <w:tc>
          <w:tcPr>
            <w:tcW w:w="780" w:type="dxa"/>
            <w:vAlign w:val="bottom"/>
            <w:shd w:val="clear" w:color="auto" w:fill="E4E9F2"/>
          </w:tcPr>
          <w:p>
            <w:pPr>
              <w:spacing w:after="0"/>
              <w:rPr>
                <w:sz w:val="14"/>
                <w:szCs w:val="14"/>
                <w:color w:val="auto"/>
              </w:rPr>
            </w:pPr>
          </w:p>
        </w:tc>
        <w:tc>
          <w:tcPr>
            <w:tcW w:w="180" w:type="dxa"/>
            <w:vAlign w:val="bottom"/>
            <w:shd w:val="clear" w:color="auto" w:fill="E4E9F2"/>
          </w:tcPr>
          <w:p>
            <w:pPr>
              <w:spacing w:after="0"/>
              <w:rPr>
                <w:sz w:val="14"/>
                <w:szCs w:val="14"/>
                <w:color w:val="auto"/>
              </w:rPr>
            </w:pPr>
          </w:p>
        </w:tc>
        <w:tc>
          <w:tcPr>
            <w:tcW w:w="1080" w:type="dxa"/>
            <w:vAlign w:val="bottom"/>
            <w:shd w:val="clear" w:color="auto" w:fill="E4E9F2"/>
          </w:tcPr>
          <w:p>
            <w:pPr>
              <w:spacing w:after="0"/>
              <w:rPr>
                <w:sz w:val="14"/>
                <w:szCs w:val="14"/>
                <w:color w:val="auto"/>
              </w:rPr>
            </w:pPr>
          </w:p>
        </w:tc>
        <w:tc>
          <w:tcPr>
            <w:tcW w:w="900" w:type="dxa"/>
            <w:vAlign w:val="bottom"/>
            <w:shd w:val="clear" w:color="auto" w:fill="E4E9F2"/>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360" w:type="dxa"/>
            <w:vAlign w:val="bottom"/>
            <w:shd w:val="clear" w:color="auto" w:fill="E4E9F2"/>
          </w:tcPr>
          <w:p>
            <w:pPr>
              <w:ind w:left="160"/>
              <w:spacing w:after="0"/>
              <w:rPr>
                <w:sz w:val="20"/>
                <w:szCs w:val="20"/>
                <w:color w:val="auto"/>
              </w:rPr>
            </w:pPr>
            <w:r>
              <w:rPr>
                <w:rFonts w:ascii="Arial" w:cs="Arial" w:eastAsia="Arial" w:hAnsi="Arial"/>
                <w:sz w:val="14"/>
                <w:szCs w:val="14"/>
                <w:color w:val="auto"/>
              </w:rPr>
              <w:t>PSU Grant</w:t>
            </w:r>
          </w:p>
        </w:tc>
        <w:tc>
          <w:tcPr>
            <w:tcW w:w="840" w:type="dxa"/>
            <w:vAlign w:val="bottom"/>
            <w:shd w:val="clear" w:color="auto" w:fill="E4E9F2"/>
          </w:tcPr>
          <w:p>
            <w:pPr>
              <w:jc w:val="right"/>
              <w:ind w:right="128"/>
              <w:spacing w:after="0"/>
              <w:rPr>
                <w:sz w:val="20"/>
                <w:szCs w:val="20"/>
                <w:color w:val="auto"/>
              </w:rPr>
            </w:pPr>
            <w:r>
              <w:rPr>
                <w:rFonts w:ascii="Arial" w:cs="Arial" w:eastAsia="Arial" w:hAnsi="Arial"/>
                <w:sz w:val="14"/>
                <w:szCs w:val="14"/>
                <w:color w:val="auto"/>
              </w:rPr>
              <w:t>3/1/21</w:t>
            </w:r>
          </w:p>
        </w:tc>
        <w:tc>
          <w:tcPr>
            <w:tcW w:w="820" w:type="dxa"/>
            <w:vAlign w:val="bottom"/>
            <w:shd w:val="clear" w:color="auto" w:fill="E4E9F2"/>
          </w:tcPr>
          <w:p>
            <w:pPr>
              <w:spacing w:after="0"/>
              <w:rPr>
                <w:sz w:val="14"/>
                <w:szCs w:val="14"/>
                <w:color w:val="auto"/>
              </w:rPr>
            </w:pPr>
          </w:p>
        </w:tc>
        <w:tc>
          <w:tcPr>
            <w:tcW w:w="860" w:type="dxa"/>
            <w:vAlign w:val="bottom"/>
            <w:shd w:val="clear" w:color="auto" w:fill="E4E9F2"/>
          </w:tcPr>
          <w:p>
            <w:pPr>
              <w:spacing w:after="0"/>
              <w:rPr>
                <w:sz w:val="14"/>
                <w:szCs w:val="14"/>
                <w:color w:val="auto"/>
              </w:rPr>
            </w:pPr>
          </w:p>
        </w:tc>
        <w:tc>
          <w:tcPr>
            <w:tcW w:w="660" w:type="dxa"/>
            <w:vAlign w:val="bottom"/>
            <w:shd w:val="clear" w:color="auto" w:fill="E4E9F2"/>
          </w:tcPr>
          <w:p>
            <w:pPr>
              <w:spacing w:after="0"/>
              <w:rPr>
                <w:sz w:val="14"/>
                <w:szCs w:val="14"/>
                <w:color w:val="auto"/>
              </w:rPr>
            </w:pPr>
          </w:p>
        </w:tc>
        <w:tc>
          <w:tcPr>
            <w:tcW w:w="200" w:type="dxa"/>
            <w:vAlign w:val="bottom"/>
            <w:shd w:val="clear" w:color="auto" w:fill="E4E9F2"/>
          </w:tcPr>
          <w:p>
            <w:pPr>
              <w:spacing w:after="0"/>
              <w:rPr>
                <w:sz w:val="14"/>
                <w:szCs w:val="14"/>
                <w:color w:val="auto"/>
              </w:rPr>
            </w:pPr>
          </w:p>
        </w:tc>
        <w:tc>
          <w:tcPr>
            <w:tcW w:w="820" w:type="dxa"/>
            <w:vAlign w:val="bottom"/>
            <w:shd w:val="clear" w:color="auto" w:fill="E4E9F2"/>
          </w:tcPr>
          <w:p>
            <w:pPr>
              <w:jc w:val="right"/>
              <w:ind w:right="49"/>
              <w:spacing w:after="0"/>
              <w:rPr>
                <w:sz w:val="20"/>
                <w:szCs w:val="20"/>
                <w:color w:val="auto"/>
              </w:rPr>
            </w:pPr>
            <w:r>
              <w:rPr>
                <w:rFonts w:ascii="Arial" w:cs="Arial" w:eastAsia="Arial" w:hAnsi="Arial"/>
                <w:sz w:val="14"/>
                <w:szCs w:val="14"/>
                <w:color w:val="auto"/>
              </w:rPr>
              <w:t>62,742</w:t>
            </w:r>
          </w:p>
        </w:tc>
        <w:tc>
          <w:tcPr>
            <w:tcW w:w="740" w:type="dxa"/>
            <w:vAlign w:val="bottom"/>
            <w:shd w:val="clear" w:color="auto" w:fill="E4E9F2"/>
          </w:tcPr>
          <w:p>
            <w:pPr>
              <w:jc w:val="right"/>
              <w:ind w:right="28"/>
              <w:spacing w:after="0"/>
              <w:rPr>
                <w:sz w:val="20"/>
                <w:szCs w:val="20"/>
                <w:color w:val="auto"/>
              </w:rPr>
            </w:pPr>
            <w:r>
              <w:rPr>
                <w:rFonts w:ascii="Arial" w:cs="Arial" w:eastAsia="Arial" w:hAnsi="Arial"/>
                <w:sz w:val="14"/>
                <w:szCs w:val="14"/>
                <w:color w:val="auto"/>
              </w:rPr>
              <w:t>125,483</w:t>
            </w:r>
          </w:p>
        </w:tc>
        <w:tc>
          <w:tcPr>
            <w:tcW w:w="960" w:type="dxa"/>
            <w:vAlign w:val="bottom"/>
            <w:gridSpan w:val="2"/>
            <w:shd w:val="clear" w:color="auto" w:fill="E4E9F2"/>
          </w:tcPr>
          <w:p>
            <w:pPr>
              <w:jc w:val="right"/>
              <w:ind w:right="180"/>
              <w:spacing w:after="0"/>
              <w:rPr>
                <w:sz w:val="20"/>
                <w:szCs w:val="20"/>
                <w:color w:val="auto"/>
              </w:rPr>
            </w:pPr>
            <w:r>
              <w:rPr>
                <w:rFonts w:ascii="Arial" w:cs="Arial" w:eastAsia="Arial" w:hAnsi="Arial"/>
                <w:sz w:val="14"/>
                <w:szCs w:val="14"/>
                <w:color w:val="auto"/>
              </w:rPr>
              <w:t>250,966</w:t>
            </w:r>
          </w:p>
        </w:tc>
        <w:tc>
          <w:tcPr>
            <w:tcW w:w="1080" w:type="dxa"/>
            <w:vAlign w:val="bottom"/>
            <w:shd w:val="clear" w:color="auto" w:fill="E4E9F2"/>
          </w:tcPr>
          <w:p>
            <w:pPr>
              <w:spacing w:after="0"/>
              <w:rPr>
                <w:sz w:val="14"/>
                <w:szCs w:val="14"/>
                <w:color w:val="auto"/>
              </w:rPr>
            </w:pPr>
          </w:p>
        </w:tc>
        <w:tc>
          <w:tcPr>
            <w:tcW w:w="900" w:type="dxa"/>
            <w:vAlign w:val="bottom"/>
            <w:shd w:val="clear" w:color="auto" w:fill="E4E9F2"/>
          </w:tcPr>
          <w:p>
            <w:pPr>
              <w:jc w:val="right"/>
              <w:spacing w:after="0"/>
              <w:rPr>
                <w:sz w:val="20"/>
                <w:szCs w:val="20"/>
                <w:color w:val="auto"/>
              </w:rPr>
            </w:pPr>
            <w:r>
              <w:rPr>
                <w:rFonts w:ascii="Arial" w:cs="Arial" w:eastAsia="Arial" w:hAnsi="Arial"/>
                <w:sz w:val="14"/>
                <w:szCs w:val="14"/>
                <w:color w:val="auto"/>
              </w:rPr>
              <w:t>884,655</w:t>
            </w:r>
          </w:p>
        </w:tc>
        <w:tc>
          <w:tcPr>
            <w:tcW w:w="0" w:type="dxa"/>
            <w:vAlign w:val="bottom"/>
          </w:tcPr>
          <w:p>
            <w:pPr>
              <w:spacing w:after="0"/>
              <w:rPr>
                <w:sz w:val="1"/>
                <w:szCs w:val="1"/>
                <w:color w:val="auto"/>
              </w:rPr>
            </w:pPr>
          </w:p>
        </w:tc>
      </w:tr>
      <w:tr>
        <w:trPr>
          <w:trHeight w:val="162"/>
        </w:trPr>
        <w:tc>
          <w:tcPr>
            <w:tcW w:w="3360" w:type="dxa"/>
            <w:vAlign w:val="bottom"/>
            <w:tcBorders>
              <w:bottom w:val="single" w:sz="8" w:color="04568A"/>
            </w:tcBorders>
            <w:shd w:val="clear" w:color="auto" w:fill="E4E9F2"/>
          </w:tcPr>
          <w:p>
            <w:pPr>
              <w:ind w:left="160"/>
              <w:spacing w:after="0"/>
              <w:rPr>
                <w:sz w:val="20"/>
                <w:szCs w:val="20"/>
                <w:color w:val="auto"/>
              </w:rPr>
            </w:pPr>
            <w:r>
              <w:rPr>
                <w:rFonts w:ascii="Arial" w:cs="Arial" w:eastAsia="Arial" w:hAnsi="Arial"/>
                <w:sz w:val="14"/>
                <w:szCs w:val="14"/>
                <w:color w:val="auto"/>
              </w:rPr>
              <w:t>RSU Grant</w:t>
            </w:r>
          </w:p>
        </w:tc>
        <w:tc>
          <w:tcPr>
            <w:tcW w:w="840" w:type="dxa"/>
            <w:vAlign w:val="bottom"/>
            <w:tcBorders>
              <w:bottom w:val="single" w:sz="8" w:color="04568A"/>
            </w:tcBorders>
            <w:shd w:val="clear" w:color="auto" w:fill="E4E9F2"/>
          </w:tcPr>
          <w:p>
            <w:pPr>
              <w:jc w:val="right"/>
              <w:ind w:right="128"/>
              <w:spacing w:after="0"/>
              <w:rPr>
                <w:sz w:val="20"/>
                <w:szCs w:val="20"/>
                <w:color w:val="auto"/>
              </w:rPr>
            </w:pPr>
            <w:r>
              <w:rPr>
                <w:rFonts w:ascii="Arial" w:cs="Arial" w:eastAsia="Arial" w:hAnsi="Arial"/>
                <w:sz w:val="14"/>
                <w:szCs w:val="14"/>
                <w:color w:val="auto"/>
              </w:rPr>
              <w:t>3/1/21</w:t>
            </w:r>
          </w:p>
        </w:tc>
        <w:tc>
          <w:tcPr>
            <w:tcW w:w="820" w:type="dxa"/>
            <w:vAlign w:val="bottom"/>
            <w:tcBorders>
              <w:bottom w:val="single" w:sz="8" w:color="04568A"/>
            </w:tcBorders>
            <w:shd w:val="clear" w:color="auto" w:fill="E4E9F2"/>
          </w:tcPr>
          <w:p>
            <w:pPr>
              <w:spacing w:after="0"/>
              <w:rPr>
                <w:sz w:val="14"/>
                <w:szCs w:val="14"/>
                <w:color w:val="auto"/>
              </w:rPr>
            </w:pPr>
          </w:p>
        </w:tc>
        <w:tc>
          <w:tcPr>
            <w:tcW w:w="860" w:type="dxa"/>
            <w:vAlign w:val="bottom"/>
            <w:tcBorders>
              <w:bottom w:val="single" w:sz="8" w:color="04568A"/>
            </w:tcBorders>
            <w:shd w:val="clear" w:color="auto" w:fill="E4E9F2"/>
          </w:tcPr>
          <w:p>
            <w:pPr>
              <w:spacing w:after="0"/>
              <w:rPr>
                <w:sz w:val="14"/>
                <w:szCs w:val="14"/>
                <w:color w:val="auto"/>
              </w:rPr>
            </w:pPr>
          </w:p>
        </w:tc>
        <w:tc>
          <w:tcPr>
            <w:tcW w:w="660" w:type="dxa"/>
            <w:vAlign w:val="bottom"/>
            <w:tcBorders>
              <w:bottom w:val="single" w:sz="8" w:color="04568A"/>
            </w:tcBorders>
            <w:shd w:val="clear" w:color="auto" w:fill="E4E9F2"/>
          </w:tcPr>
          <w:p>
            <w:pPr>
              <w:spacing w:after="0"/>
              <w:rPr>
                <w:sz w:val="14"/>
                <w:szCs w:val="14"/>
                <w:color w:val="auto"/>
              </w:rPr>
            </w:pPr>
          </w:p>
        </w:tc>
        <w:tc>
          <w:tcPr>
            <w:tcW w:w="200" w:type="dxa"/>
            <w:vAlign w:val="bottom"/>
            <w:tcBorders>
              <w:bottom w:val="single" w:sz="8" w:color="04568A"/>
            </w:tcBorders>
            <w:shd w:val="clear" w:color="auto" w:fill="E4E9F2"/>
          </w:tcPr>
          <w:p>
            <w:pPr>
              <w:spacing w:after="0"/>
              <w:rPr>
                <w:sz w:val="14"/>
                <w:szCs w:val="14"/>
                <w:color w:val="auto"/>
              </w:rPr>
            </w:pPr>
          </w:p>
        </w:tc>
        <w:tc>
          <w:tcPr>
            <w:tcW w:w="820" w:type="dxa"/>
            <w:vAlign w:val="bottom"/>
            <w:tcBorders>
              <w:bottom w:val="single" w:sz="8" w:color="04568A"/>
            </w:tcBorders>
            <w:shd w:val="clear" w:color="auto" w:fill="E4E9F2"/>
          </w:tcPr>
          <w:p>
            <w:pPr>
              <w:spacing w:after="0"/>
              <w:rPr>
                <w:sz w:val="14"/>
                <w:szCs w:val="14"/>
                <w:color w:val="auto"/>
              </w:rPr>
            </w:pPr>
          </w:p>
        </w:tc>
        <w:tc>
          <w:tcPr>
            <w:tcW w:w="740" w:type="dxa"/>
            <w:vAlign w:val="bottom"/>
            <w:tcBorders>
              <w:bottom w:val="single" w:sz="8" w:color="04568A"/>
            </w:tcBorders>
            <w:shd w:val="clear" w:color="auto" w:fill="E4E9F2"/>
          </w:tcPr>
          <w:p>
            <w:pPr>
              <w:spacing w:after="0"/>
              <w:rPr>
                <w:sz w:val="14"/>
                <w:szCs w:val="14"/>
                <w:color w:val="auto"/>
              </w:rPr>
            </w:pPr>
          </w:p>
        </w:tc>
        <w:tc>
          <w:tcPr>
            <w:tcW w:w="780" w:type="dxa"/>
            <w:vAlign w:val="bottom"/>
            <w:tcBorders>
              <w:bottom w:val="single" w:sz="8" w:color="04568A"/>
            </w:tcBorders>
            <w:shd w:val="clear" w:color="auto" w:fill="E4E9F2"/>
          </w:tcPr>
          <w:p>
            <w:pPr>
              <w:spacing w:after="0"/>
              <w:rPr>
                <w:sz w:val="14"/>
                <w:szCs w:val="14"/>
                <w:color w:val="auto"/>
              </w:rPr>
            </w:pPr>
          </w:p>
        </w:tc>
        <w:tc>
          <w:tcPr>
            <w:tcW w:w="180" w:type="dxa"/>
            <w:vAlign w:val="bottom"/>
            <w:tcBorders>
              <w:bottom w:val="single" w:sz="8" w:color="04568A"/>
            </w:tcBorders>
            <w:shd w:val="clear" w:color="auto" w:fill="E4E9F2"/>
          </w:tcPr>
          <w:p>
            <w:pPr>
              <w:spacing w:after="0"/>
              <w:rPr>
                <w:sz w:val="14"/>
                <w:szCs w:val="14"/>
                <w:color w:val="auto"/>
              </w:rPr>
            </w:pPr>
          </w:p>
        </w:tc>
        <w:tc>
          <w:tcPr>
            <w:tcW w:w="1080" w:type="dxa"/>
            <w:vAlign w:val="bottom"/>
            <w:tcBorders>
              <w:bottom w:val="single" w:sz="8" w:color="04568A"/>
            </w:tcBorders>
            <w:shd w:val="clear" w:color="auto" w:fill="E4E9F2"/>
          </w:tcPr>
          <w:p>
            <w:pPr>
              <w:jc w:val="right"/>
              <w:ind w:right="108"/>
              <w:spacing w:after="0"/>
              <w:rPr>
                <w:sz w:val="20"/>
                <w:szCs w:val="20"/>
                <w:color w:val="auto"/>
              </w:rPr>
            </w:pPr>
            <w:r>
              <w:rPr>
                <w:rFonts w:ascii="Arial" w:cs="Arial" w:eastAsia="Arial" w:hAnsi="Arial"/>
                <w:sz w:val="14"/>
                <w:szCs w:val="14"/>
                <w:color w:val="auto"/>
              </w:rPr>
              <w:t>125,483</w:t>
            </w:r>
          </w:p>
        </w:tc>
        <w:tc>
          <w:tcPr>
            <w:tcW w:w="90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4"/>
                <w:szCs w:val="14"/>
                <w:color w:val="auto"/>
              </w:rPr>
              <w:t>650,002</w:t>
            </w:r>
          </w:p>
        </w:tc>
        <w:tc>
          <w:tcPr>
            <w:tcW w:w="0" w:type="dxa"/>
            <w:vAlign w:val="bottom"/>
          </w:tcPr>
          <w:p>
            <w:pPr>
              <w:spacing w:after="0"/>
              <w:rPr>
                <w:sz w:val="1"/>
                <w:szCs w:val="1"/>
                <w:color w:val="auto"/>
              </w:rPr>
            </w:pPr>
          </w:p>
        </w:tc>
      </w:tr>
      <w:tr>
        <w:trPr>
          <w:trHeight w:val="160"/>
        </w:trPr>
        <w:tc>
          <w:tcPr>
            <w:tcW w:w="3360" w:type="dxa"/>
            <w:vAlign w:val="bottom"/>
          </w:tcPr>
          <w:p>
            <w:pPr>
              <w:ind w:left="60"/>
              <w:spacing w:after="0"/>
              <w:rPr>
                <w:sz w:val="20"/>
                <w:szCs w:val="20"/>
                <w:color w:val="auto"/>
              </w:rPr>
            </w:pPr>
            <w:r>
              <w:rPr>
                <w:rFonts w:ascii="Arial" w:cs="Arial" w:eastAsia="Arial" w:hAnsi="Arial"/>
                <w:sz w:val="14"/>
                <w:szCs w:val="14"/>
                <w:b w:val="1"/>
                <w:bCs w:val="1"/>
                <w:color w:val="auto"/>
              </w:rPr>
              <w:t>Joseph Todisco</w:t>
            </w:r>
          </w:p>
        </w:tc>
        <w:tc>
          <w:tcPr>
            <w:tcW w:w="84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360" w:type="dxa"/>
            <w:vAlign w:val="bottom"/>
          </w:tcPr>
          <w:p>
            <w:pPr>
              <w:ind w:left="160"/>
              <w:spacing w:after="0"/>
              <w:rPr>
                <w:sz w:val="20"/>
                <w:szCs w:val="20"/>
                <w:color w:val="auto"/>
              </w:rPr>
            </w:pPr>
            <w:r>
              <w:rPr>
                <w:rFonts w:ascii="Arial" w:cs="Arial" w:eastAsia="Arial" w:hAnsi="Arial"/>
                <w:sz w:val="14"/>
                <w:szCs w:val="14"/>
                <w:color w:val="auto"/>
              </w:rPr>
              <w:t>2021 Annual Cash Incentive</w:t>
            </w:r>
          </w:p>
        </w:tc>
        <w:tc>
          <w:tcPr>
            <w:tcW w:w="840" w:type="dxa"/>
            <w:vAlign w:val="bottom"/>
          </w:tcPr>
          <w:p>
            <w:pPr>
              <w:spacing w:after="0"/>
              <w:rPr>
                <w:sz w:val="14"/>
                <w:szCs w:val="14"/>
                <w:color w:val="auto"/>
              </w:rPr>
            </w:pPr>
          </w:p>
        </w:tc>
        <w:tc>
          <w:tcPr>
            <w:tcW w:w="820" w:type="dxa"/>
            <w:vAlign w:val="bottom"/>
          </w:tcPr>
          <w:p>
            <w:pPr>
              <w:jc w:val="right"/>
              <w:ind w:right="49"/>
              <w:spacing w:after="0"/>
              <w:rPr>
                <w:sz w:val="20"/>
                <w:szCs w:val="20"/>
                <w:color w:val="auto"/>
              </w:rPr>
            </w:pPr>
            <w:r>
              <w:rPr>
                <w:rFonts w:ascii="Arial" w:cs="Arial" w:eastAsia="Arial" w:hAnsi="Arial"/>
                <w:sz w:val="14"/>
                <w:szCs w:val="14"/>
                <w:color w:val="auto"/>
              </w:rPr>
              <w:t>157,500</w:t>
            </w:r>
          </w:p>
        </w:tc>
        <w:tc>
          <w:tcPr>
            <w:tcW w:w="860" w:type="dxa"/>
            <w:vAlign w:val="bottom"/>
          </w:tcPr>
          <w:p>
            <w:pPr>
              <w:jc w:val="right"/>
              <w:ind w:right="148"/>
              <w:spacing w:after="0"/>
              <w:rPr>
                <w:sz w:val="20"/>
                <w:szCs w:val="20"/>
                <w:color w:val="auto"/>
              </w:rPr>
            </w:pPr>
            <w:r>
              <w:rPr>
                <w:rFonts w:ascii="Arial" w:cs="Arial" w:eastAsia="Arial" w:hAnsi="Arial"/>
                <w:sz w:val="14"/>
                <w:szCs w:val="14"/>
                <w:color w:val="auto"/>
              </w:rPr>
              <w:t>315,000</w:t>
            </w:r>
          </w:p>
        </w:tc>
        <w:tc>
          <w:tcPr>
            <w:tcW w:w="860" w:type="dxa"/>
            <w:vAlign w:val="bottom"/>
            <w:gridSpan w:val="2"/>
          </w:tcPr>
          <w:p>
            <w:pPr>
              <w:jc w:val="right"/>
              <w:ind w:right="200"/>
              <w:spacing w:after="0"/>
              <w:rPr>
                <w:sz w:val="20"/>
                <w:szCs w:val="20"/>
                <w:color w:val="auto"/>
              </w:rPr>
            </w:pPr>
            <w:r>
              <w:rPr>
                <w:rFonts w:ascii="Arial" w:cs="Arial" w:eastAsia="Arial" w:hAnsi="Arial"/>
                <w:sz w:val="14"/>
                <w:szCs w:val="14"/>
                <w:color w:val="auto"/>
              </w:rPr>
              <w:t>472,500</w:t>
            </w:r>
          </w:p>
        </w:tc>
        <w:tc>
          <w:tcPr>
            <w:tcW w:w="8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360" w:type="dxa"/>
            <w:vAlign w:val="bottom"/>
          </w:tcPr>
          <w:p>
            <w:pPr>
              <w:ind w:left="160"/>
              <w:spacing w:after="0"/>
              <w:rPr>
                <w:sz w:val="20"/>
                <w:szCs w:val="20"/>
                <w:color w:val="auto"/>
              </w:rPr>
            </w:pPr>
            <w:r>
              <w:rPr>
                <w:rFonts w:ascii="Arial" w:cs="Arial" w:eastAsia="Arial" w:hAnsi="Arial"/>
                <w:sz w:val="14"/>
                <w:szCs w:val="14"/>
                <w:color w:val="auto"/>
              </w:rPr>
              <w:t>PSU Grant</w:t>
            </w:r>
          </w:p>
        </w:tc>
        <w:tc>
          <w:tcPr>
            <w:tcW w:w="840" w:type="dxa"/>
            <w:vAlign w:val="bottom"/>
          </w:tcPr>
          <w:p>
            <w:pPr>
              <w:jc w:val="right"/>
              <w:ind w:right="128"/>
              <w:spacing w:after="0"/>
              <w:rPr>
                <w:sz w:val="20"/>
                <w:szCs w:val="20"/>
                <w:color w:val="auto"/>
              </w:rPr>
            </w:pPr>
            <w:r>
              <w:rPr>
                <w:rFonts w:ascii="Arial" w:cs="Arial" w:eastAsia="Arial" w:hAnsi="Arial"/>
                <w:sz w:val="14"/>
                <w:szCs w:val="14"/>
                <w:color w:val="auto"/>
              </w:rPr>
              <w:t>3/1/21</w:t>
            </w:r>
          </w:p>
        </w:tc>
        <w:tc>
          <w:tcPr>
            <w:tcW w:w="8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tcPr>
          <w:p>
            <w:pPr>
              <w:jc w:val="right"/>
              <w:ind w:right="49"/>
              <w:spacing w:after="0"/>
              <w:rPr>
                <w:sz w:val="20"/>
                <w:szCs w:val="20"/>
                <w:color w:val="auto"/>
              </w:rPr>
            </w:pPr>
            <w:r>
              <w:rPr>
                <w:rFonts w:ascii="Arial" w:cs="Arial" w:eastAsia="Arial" w:hAnsi="Arial"/>
                <w:sz w:val="14"/>
                <w:szCs w:val="14"/>
                <w:color w:val="auto"/>
              </w:rPr>
              <w:t>53,089</w:t>
            </w:r>
          </w:p>
        </w:tc>
        <w:tc>
          <w:tcPr>
            <w:tcW w:w="740" w:type="dxa"/>
            <w:vAlign w:val="bottom"/>
          </w:tcPr>
          <w:p>
            <w:pPr>
              <w:jc w:val="right"/>
              <w:ind w:right="28"/>
              <w:spacing w:after="0"/>
              <w:rPr>
                <w:sz w:val="20"/>
                <w:szCs w:val="20"/>
                <w:color w:val="auto"/>
              </w:rPr>
            </w:pPr>
            <w:r>
              <w:rPr>
                <w:rFonts w:ascii="Arial" w:cs="Arial" w:eastAsia="Arial" w:hAnsi="Arial"/>
                <w:sz w:val="14"/>
                <w:szCs w:val="14"/>
                <w:color w:val="auto"/>
              </w:rPr>
              <w:t>106,178</w:t>
            </w:r>
          </w:p>
        </w:tc>
        <w:tc>
          <w:tcPr>
            <w:tcW w:w="960" w:type="dxa"/>
            <w:vAlign w:val="bottom"/>
            <w:gridSpan w:val="2"/>
          </w:tcPr>
          <w:p>
            <w:pPr>
              <w:jc w:val="right"/>
              <w:ind w:right="180"/>
              <w:spacing w:after="0"/>
              <w:rPr>
                <w:sz w:val="20"/>
                <w:szCs w:val="20"/>
                <w:color w:val="auto"/>
              </w:rPr>
            </w:pPr>
            <w:r>
              <w:rPr>
                <w:rFonts w:ascii="Arial" w:cs="Arial" w:eastAsia="Arial" w:hAnsi="Arial"/>
                <w:sz w:val="14"/>
                <w:szCs w:val="14"/>
                <w:color w:val="auto"/>
              </w:rPr>
              <w:t>212,356</w:t>
            </w:r>
          </w:p>
        </w:tc>
        <w:tc>
          <w:tcPr>
            <w:tcW w:w="1080" w:type="dxa"/>
            <w:vAlign w:val="bottom"/>
          </w:tcPr>
          <w:p>
            <w:pPr>
              <w:spacing w:after="0"/>
              <w:rPr>
                <w:sz w:val="14"/>
                <w:szCs w:val="14"/>
                <w:color w:val="auto"/>
              </w:rPr>
            </w:pPr>
          </w:p>
        </w:tc>
        <w:tc>
          <w:tcPr>
            <w:tcW w:w="900" w:type="dxa"/>
            <w:vAlign w:val="bottom"/>
          </w:tcPr>
          <w:p>
            <w:pPr>
              <w:jc w:val="right"/>
              <w:spacing w:after="0"/>
              <w:rPr>
                <w:sz w:val="20"/>
                <w:szCs w:val="20"/>
                <w:color w:val="auto"/>
              </w:rPr>
            </w:pPr>
            <w:r>
              <w:rPr>
                <w:rFonts w:ascii="Arial" w:cs="Arial" w:eastAsia="Arial" w:hAnsi="Arial"/>
                <w:sz w:val="14"/>
                <w:szCs w:val="14"/>
                <w:color w:val="auto"/>
              </w:rPr>
              <w:t>748,555</w:t>
            </w:r>
          </w:p>
        </w:tc>
        <w:tc>
          <w:tcPr>
            <w:tcW w:w="0" w:type="dxa"/>
            <w:vAlign w:val="bottom"/>
          </w:tcPr>
          <w:p>
            <w:pPr>
              <w:spacing w:after="0"/>
              <w:rPr>
                <w:sz w:val="1"/>
                <w:szCs w:val="1"/>
                <w:color w:val="auto"/>
              </w:rPr>
            </w:pPr>
          </w:p>
        </w:tc>
      </w:tr>
      <w:tr>
        <w:trPr>
          <w:trHeight w:val="157"/>
        </w:trPr>
        <w:tc>
          <w:tcPr>
            <w:tcW w:w="3360" w:type="dxa"/>
            <w:vAlign w:val="bottom"/>
            <w:tcBorders>
              <w:bottom w:val="single" w:sz="8" w:color="04568A"/>
            </w:tcBorders>
          </w:tcPr>
          <w:p>
            <w:pPr>
              <w:ind w:left="160"/>
              <w:spacing w:after="0" w:line="157" w:lineRule="exact"/>
              <w:rPr>
                <w:sz w:val="20"/>
                <w:szCs w:val="20"/>
                <w:color w:val="auto"/>
              </w:rPr>
            </w:pPr>
            <w:r>
              <w:rPr>
                <w:rFonts w:ascii="Arial" w:cs="Arial" w:eastAsia="Arial" w:hAnsi="Arial"/>
                <w:sz w:val="14"/>
                <w:szCs w:val="14"/>
                <w:color w:val="auto"/>
              </w:rPr>
              <w:t>RSU Grant</w:t>
            </w:r>
          </w:p>
        </w:tc>
        <w:tc>
          <w:tcPr>
            <w:tcW w:w="840" w:type="dxa"/>
            <w:vAlign w:val="bottom"/>
            <w:tcBorders>
              <w:bottom w:val="single" w:sz="8" w:color="04568A"/>
            </w:tcBorders>
          </w:tcPr>
          <w:p>
            <w:pPr>
              <w:jc w:val="right"/>
              <w:ind w:right="128"/>
              <w:spacing w:after="0" w:line="157" w:lineRule="exact"/>
              <w:rPr>
                <w:sz w:val="20"/>
                <w:szCs w:val="20"/>
                <w:color w:val="auto"/>
              </w:rPr>
            </w:pPr>
            <w:r>
              <w:rPr>
                <w:rFonts w:ascii="Arial" w:cs="Arial" w:eastAsia="Arial" w:hAnsi="Arial"/>
                <w:sz w:val="14"/>
                <w:szCs w:val="14"/>
                <w:color w:val="auto"/>
              </w:rPr>
              <w:t>3/1/21</w:t>
            </w:r>
          </w:p>
        </w:tc>
        <w:tc>
          <w:tcPr>
            <w:tcW w:w="820" w:type="dxa"/>
            <w:vAlign w:val="bottom"/>
            <w:tcBorders>
              <w:bottom w:val="single" w:sz="8" w:color="04568A"/>
            </w:tcBorders>
          </w:tcPr>
          <w:p>
            <w:pPr>
              <w:spacing w:after="0"/>
              <w:rPr>
                <w:sz w:val="13"/>
                <w:szCs w:val="13"/>
                <w:color w:val="auto"/>
              </w:rPr>
            </w:pPr>
          </w:p>
        </w:tc>
        <w:tc>
          <w:tcPr>
            <w:tcW w:w="860" w:type="dxa"/>
            <w:vAlign w:val="bottom"/>
            <w:tcBorders>
              <w:bottom w:val="single" w:sz="8" w:color="04568A"/>
            </w:tcBorders>
          </w:tcPr>
          <w:p>
            <w:pPr>
              <w:spacing w:after="0"/>
              <w:rPr>
                <w:sz w:val="13"/>
                <w:szCs w:val="13"/>
                <w:color w:val="auto"/>
              </w:rPr>
            </w:pPr>
          </w:p>
        </w:tc>
        <w:tc>
          <w:tcPr>
            <w:tcW w:w="660" w:type="dxa"/>
            <w:vAlign w:val="bottom"/>
            <w:tcBorders>
              <w:bottom w:val="single" w:sz="8" w:color="04568A"/>
            </w:tcBorders>
          </w:tcPr>
          <w:p>
            <w:pPr>
              <w:spacing w:after="0"/>
              <w:rPr>
                <w:sz w:val="13"/>
                <w:szCs w:val="13"/>
                <w:color w:val="auto"/>
              </w:rPr>
            </w:pPr>
          </w:p>
        </w:tc>
        <w:tc>
          <w:tcPr>
            <w:tcW w:w="200" w:type="dxa"/>
            <w:vAlign w:val="bottom"/>
            <w:tcBorders>
              <w:bottom w:val="single" w:sz="8" w:color="04568A"/>
            </w:tcBorders>
          </w:tcPr>
          <w:p>
            <w:pPr>
              <w:spacing w:after="0"/>
              <w:rPr>
                <w:sz w:val="13"/>
                <w:szCs w:val="13"/>
                <w:color w:val="auto"/>
              </w:rPr>
            </w:pPr>
          </w:p>
        </w:tc>
        <w:tc>
          <w:tcPr>
            <w:tcW w:w="820" w:type="dxa"/>
            <w:vAlign w:val="bottom"/>
            <w:tcBorders>
              <w:bottom w:val="single" w:sz="8" w:color="04568A"/>
            </w:tcBorders>
          </w:tcPr>
          <w:p>
            <w:pPr>
              <w:spacing w:after="0"/>
              <w:rPr>
                <w:sz w:val="13"/>
                <w:szCs w:val="13"/>
                <w:color w:val="auto"/>
              </w:rPr>
            </w:pPr>
          </w:p>
        </w:tc>
        <w:tc>
          <w:tcPr>
            <w:tcW w:w="740" w:type="dxa"/>
            <w:vAlign w:val="bottom"/>
            <w:tcBorders>
              <w:bottom w:val="single" w:sz="8" w:color="04568A"/>
            </w:tcBorders>
          </w:tcPr>
          <w:p>
            <w:pPr>
              <w:spacing w:after="0"/>
              <w:rPr>
                <w:sz w:val="13"/>
                <w:szCs w:val="13"/>
                <w:color w:val="auto"/>
              </w:rPr>
            </w:pPr>
          </w:p>
        </w:tc>
        <w:tc>
          <w:tcPr>
            <w:tcW w:w="780" w:type="dxa"/>
            <w:vAlign w:val="bottom"/>
            <w:tcBorders>
              <w:bottom w:val="single" w:sz="8" w:color="04568A"/>
            </w:tcBorders>
          </w:tcPr>
          <w:p>
            <w:pPr>
              <w:spacing w:after="0"/>
              <w:rPr>
                <w:sz w:val="13"/>
                <w:szCs w:val="13"/>
                <w:color w:val="auto"/>
              </w:rPr>
            </w:pPr>
          </w:p>
        </w:tc>
        <w:tc>
          <w:tcPr>
            <w:tcW w:w="180" w:type="dxa"/>
            <w:vAlign w:val="bottom"/>
            <w:tcBorders>
              <w:bottom w:val="single" w:sz="8" w:color="04568A"/>
            </w:tcBorders>
          </w:tcPr>
          <w:p>
            <w:pPr>
              <w:spacing w:after="0"/>
              <w:rPr>
                <w:sz w:val="13"/>
                <w:szCs w:val="13"/>
                <w:color w:val="auto"/>
              </w:rPr>
            </w:pPr>
          </w:p>
        </w:tc>
        <w:tc>
          <w:tcPr>
            <w:tcW w:w="1080" w:type="dxa"/>
            <w:vAlign w:val="bottom"/>
            <w:tcBorders>
              <w:bottom w:val="single" w:sz="8" w:color="04568A"/>
            </w:tcBorders>
          </w:tcPr>
          <w:p>
            <w:pPr>
              <w:jc w:val="right"/>
              <w:ind w:right="108"/>
              <w:spacing w:after="0" w:line="157" w:lineRule="exact"/>
              <w:rPr>
                <w:sz w:val="20"/>
                <w:szCs w:val="20"/>
                <w:color w:val="auto"/>
              </w:rPr>
            </w:pPr>
            <w:r>
              <w:rPr>
                <w:rFonts w:ascii="Arial" w:cs="Arial" w:eastAsia="Arial" w:hAnsi="Arial"/>
                <w:sz w:val="14"/>
                <w:szCs w:val="14"/>
                <w:color w:val="auto"/>
              </w:rPr>
              <w:t>106,178</w:t>
            </w:r>
          </w:p>
        </w:tc>
        <w:tc>
          <w:tcPr>
            <w:tcW w:w="900" w:type="dxa"/>
            <w:vAlign w:val="bottom"/>
            <w:tcBorders>
              <w:bottom w:val="single" w:sz="8" w:color="04568A"/>
            </w:tcBorders>
          </w:tcPr>
          <w:p>
            <w:pPr>
              <w:jc w:val="right"/>
              <w:spacing w:after="0" w:line="157" w:lineRule="exact"/>
              <w:rPr>
                <w:sz w:val="20"/>
                <w:szCs w:val="20"/>
                <w:color w:val="auto"/>
              </w:rPr>
            </w:pPr>
            <w:r>
              <w:rPr>
                <w:rFonts w:ascii="Arial" w:cs="Arial" w:eastAsia="Arial" w:hAnsi="Arial"/>
                <w:sz w:val="14"/>
                <w:szCs w:val="14"/>
                <w:color w:val="auto"/>
              </w:rPr>
              <w:t>550,002</w:t>
            </w:r>
          </w:p>
        </w:tc>
        <w:tc>
          <w:tcPr>
            <w:tcW w:w="0" w:type="dxa"/>
            <w:vAlign w:val="bottom"/>
          </w:tcPr>
          <w:p>
            <w:pPr>
              <w:spacing w:after="0"/>
              <w:rPr>
                <w:sz w:val="1"/>
                <w:szCs w:val="1"/>
                <w:color w:val="auto"/>
              </w:rPr>
            </w:pPr>
          </w:p>
        </w:tc>
      </w:tr>
      <w:tr>
        <w:trPr>
          <w:trHeight w:val="156"/>
        </w:trPr>
        <w:tc>
          <w:tcPr>
            <w:tcW w:w="3360" w:type="dxa"/>
            <w:vAlign w:val="bottom"/>
            <w:shd w:val="clear" w:color="auto" w:fill="E4E9F2"/>
          </w:tcPr>
          <w:p>
            <w:pPr>
              <w:ind w:left="60"/>
              <w:spacing w:after="0" w:line="155" w:lineRule="exact"/>
              <w:rPr>
                <w:sz w:val="20"/>
                <w:szCs w:val="20"/>
                <w:color w:val="auto"/>
              </w:rPr>
            </w:pPr>
            <w:r>
              <w:rPr>
                <w:rFonts w:ascii="Arial" w:cs="Arial" w:eastAsia="Arial" w:hAnsi="Arial"/>
                <w:sz w:val="14"/>
                <w:szCs w:val="14"/>
                <w:b w:val="1"/>
                <w:bCs w:val="1"/>
                <w:color w:val="auto"/>
              </w:rPr>
              <w:t>Nikita Shah</w:t>
            </w:r>
          </w:p>
        </w:tc>
        <w:tc>
          <w:tcPr>
            <w:tcW w:w="840" w:type="dxa"/>
            <w:vAlign w:val="bottom"/>
            <w:shd w:val="clear" w:color="auto" w:fill="E4E9F2"/>
          </w:tcPr>
          <w:p>
            <w:pPr>
              <w:spacing w:after="0"/>
              <w:rPr>
                <w:sz w:val="13"/>
                <w:szCs w:val="13"/>
                <w:color w:val="auto"/>
              </w:rPr>
            </w:pPr>
          </w:p>
        </w:tc>
        <w:tc>
          <w:tcPr>
            <w:tcW w:w="820" w:type="dxa"/>
            <w:vAlign w:val="bottom"/>
            <w:shd w:val="clear" w:color="auto" w:fill="E4E9F2"/>
          </w:tcPr>
          <w:p>
            <w:pPr>
              <w:spacing w:after="0"/>
              <w:rPr>
                <w:sz w:val="13"/>
                <w:szCs w:val="13"/>
                <w:color w:val="auto"/>
              </w:rPr>
            </w:pPr>
          </w:p>
        </w:tc>
        <w:tc>
          <w:tcPr>
            <w:tcW w:w="860" w:type="dxa"/>
            <w:vAlign w:val="bottom"/>
            <w:shd w:val="clear" w:color="auto" w:fill="E4E9F2"/>
          </w:tcPr>
          <w:p>
            <w:pPr>
              <w:spacing w:after="0"/>
              <w:rPr>
                <w:sz w:val="13"/>
                <w:szCs w:val="13"/>
                <w:color w:val="auto"/>
              </w:rPr>
            </w:pPr>
          </w:p>
        </w:tc>
        <w:tc>
          <w:tcPr>
            <w:tcW w:w="660" w:type="dxa"/>
            <w:vAlign w:val="bottom"/>
            <w:shd w:val="clear" w:color="auto" w:fill="E4E9F2"/>
          </w:tcPr>
          <w:p>
            <w:pPr>
              <w:spacing w:after="0"/>
              <w:rPr>
                <w:sz w:val="13"/>
                <w:szCs w:val="13"/>
                <w:color w:val="auto"/>
              </w:rPr>
            </w:pPr>
          </w:p>
        </w:tc>
        <w:tc>
          <w:tcPr>
            <w:tcW w:w="200" w:type="dxa"/>
            <w:vAlign w:val="bottom"/>
            <w:shd w:val="clear" w:color="auto" w:fill="E4E9F2"/>
          </w:tcPr>
          <w:p>
            <w:pPr>
              <w:spacing w:after="0"/>
              <w:rPr>
                <w:sz w:val="13"/>
                <w:szCs w:val="13"/>
                <w:color w:val="auto"/>
              </w:rPr>
            </w:pPr>
          </w:p>
        </w:tc>
        <w:tc>
          <w:tcPr>
            <w:tcW w:w="820" w:type="dxa"/>
            <w:vAlign w:val="bottom"/>
            <w:shd w:val="clear" w:color="auto" w:fill="E4E9F2"/>
          </w:tcPr>
          <w:p>
            <w:pPr>
              <w:spacing w:after="0"/>
              <w:rPr>
                <w:sz w:val="13"/>
                <w:szCs w:val="13"/>
                <w:color w:val="auto"/>
              </w:rPr>
            </w:pPr>
          </w:p>
        </w:tc>
        <w:tc>
          <w:tcPr>
            <w:tcW w:w="740" w:type="dxa"/>
            <w:vAlign w:val="bottom"/>
            <w:shd w:val="clear" w:color="auto" w:fill="E4E9F2"/>
          </w:tcPr>
          <w:p>
            <w:pPr>
              <w:spacing w:after="0"/>
              <w:rPr>
                <w:sz w:val="13"/>
                <w:szCs w:val="13"/>
                <w:color w:val="auto"/>
              </w:rPr>
            </w:pPr>
          </w:p>
        </w:tc>
        <w:tc>
          <w:tcPr>
            <w:tcW w:w="780" w:type="dxa"/>
            <w:vAlign w:val="bottom"/>
            <w:shd w:val="clear" w:color="auto" w:fill="E4E9F2"/>
          </w:tcPr>
          <w:p>
            <w:pPr>
              <w:spacing w:after="0"/>
              <w:rPr>
                <w:sz w:val="13"/>
                <w:szCs w:val="13"/>
                <w:color w:val="auto"/>
              </w:rPr>
            </w:pPr>
          </w:p>
        </w:tc>
        <w:tc>
          <w:tcPr>
            <w:tcW w:w="180" w:type="dxa"/>
            <w:vAlign w:val="bottom"/>
            <w:shd w:val="clear" w:color="auto" w:fill="E4E9F2"/>
          </w:tcPr>
          <w:p>
            <w:pPr>
              <w:spacing w:after="0"/>
              <w:rPr>
                <w:sz w:val="13"/>
                <w:szCs w:val="13"/>
                <w:color w:val="auto"/>
              </w:rPr>
            </w:pPr>
          </w:p>
        </w:tc>
        <w:tc>
          <w:tcPr>
            <w:tcW w:w="1080" w:type="dxa"/>
            <w:vAlign w:val="bottom"/>
            <w:shd w:val="clear" w:color="auto" w:fill="E4E9F2"/>
          </w:tcPr>
          <w:p>
            <w:pPr>
              <w:spacing w:after="0"/>
              <w:rPr>
                <w:sz w:val="13"/>
                <w:szCs w:val="13"/>
                <w:color w:val="auto"/>
              </w:rPr>
            </w:pPr>
          </w:p>
        </w:tc>
        <w:tc>
          <w:tcPr>
            <w:tcW w:w="900" w:type="dxa"/>
            <w:vAlign w:val="bottom"/>
            <w:shd w:val="clear" w:color="auto" w:fill="E4E9F2"/>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360" w:type="dxa"/>
            <w:vAlign w:val="bottom"/>
            <w:shd w:val="clear" w:color="auto" w:fill="E4E9F2"/>
          </w:tcPr>
          <w:p>
            <w:pPr>
              <w:ind w:left="160"/>
              <w:spacing w:after="0"/>
              <w:rPr>
                <w:sz w:val="20"/>
                <w:szCs w:val="20"/>
                <w:color w:val="auto"/>
              </w:rPr>
            </w:pPr>
            <w:r>
              <w:rPr>
                <w:rFonts w:ascii="Arial" w:cs="Arial" w:eastAsia="Arial" w:hAnsi="Arial"/>
                <w:sz w:val="14"/>
                <w:szCs w:val="14"/>
                <w:color w:val="auto"/>
              </w:rPr>
              <w:t>2021 Annual Cash Incentive</w:t>
            </w:r>
          </w:p>
        </w:tc>
        <w:tc>
          <w:tcPr>
            <w:tcW w:w="840" w:type="dxa"/>
            <w:vAlign w:val="bottom"/>
            <w:shd w:val="clear" w:color="auto" w:fill="E4E9F2"/>
          </w:tcPr>
          <w:p>
            <w:pPr>
              <w:spacing w:after="0"/>
              <w:rPr>
                <w:sz w:val="14"/>
                <w:szCs w:val="14"/>
                <w:color w:val="auto"/>
              </w:rPr>
            </w:pPr>
          </w:p>
        </w:tc>
        <w:tc>
          <w:tcPr>
            <w:tcW w:w="820" w:type="dxa"/>
            <w:vAlign w:val="bottom"/>
            <w:shd w:val="clear" w:color="auto" w:fill="E4E9F2"/>
          </w:tcPr>
          <w:p>
            <w:pPr>
              <w:jc w:val="right"/>
              <w:ind w:right="49"/>
              <w:spacing w:after="0"/>
              <w:rPr>
                <w:sz w:val="20"/>
                <w:szCs w:val="20"/>
                <w:color w:val="auto"/>
              </w:rPr>
            </w:pPr>
            <w:r>
              <w:rPr>
                <w:rFonts w:ascii="Arial" w:cs="Arial" w:eastAsia="Arial" w:hAnsi="Arial"/>
                <w:sz w:val="14"/>
                <w:szCs w:val="14"/>
                <w:color w:val="auto"/>
              </w:rPr>
              <w:t>133,375</w:t>
            </w:r>
          </w:p>
        </w:tc>
        <w:tc>
          <w:tcPr>
            <w:tcW w:w="860" w:type="dxa"/>
            <w:vAlign w:val="bottom"/>
            <w:shd w:val="clear" w:color="auto" w:fill="E4E9F2"/>
          </w:tcPr>
          <w:p>
            <w:pPr>
              <w:jc w:val="right"/>
              <w:ind w:right="148"/>
              <w:spacing w:after="0"/>
              <w:rPr>
                <w:sz w:val="20"/>
                <w:szCs w:val="20"/>
                <w:color w:val="auto"/>
              </w:rPr>
            </w:pPr>
            <w:r>
              <w:rPr>
                <w:rFonts w:ascii="Arial" w:cs="Arial" w:eastAsia="Arial" w:hAnsi="Arial"/>
                <w:sz w:val="14"/>
                <w:szCs w:val="14"/>
                <w:color w:val="auto"/>
              </w:rPr>
              <w:t>266,750</w:t>
            </w:r>
          </w:p>
        </w:tc>
        <w:tc>
          <w:tcPr>
            <w:tcW w:w="860" w:type="dxa"/>
            <w:vAlign w:val="bottom"/>
            <w:gridSpan w:val="2"/>
            <w:shd w:val="clear" w:color="auto" w:fill="E4E9F2"/>
          </w:tcPr>
          <w:p>
            <w:pPr>
              <w:jc w:val="right"/>
              <w:ind w:right="200"/>
              <w:spacing w:after="0"/>
              <w:rPr>
                <w:sz w:val="20"/>
                <w:szCs w:val="20"/>
                <w:color w:val="auto"/>
              </w:rPr>
            </w:pPr>
            <w:r>
              <w:rPr>
                <w:rFonts w:ascii="Arial" w:cs="Arial" w:eastAsia="Arial" w:hAnsi="Arial"/>
                <w:sz w:val="14"/>
                <w:szCs w:val="14"/>
                <w:color w:val="auto"/>
              </w:rPr>
              <w:t>400,125</w:t>
            </w:r>
          </w:p>
        </w:tc>
        <w:tc>
          <w:tcPr>
            <w:tcW w:w="820" w:type="dxa"/>
            <w:vAlign w:val="bottom"/>
            <w:shd w:val="clear" w:color="auto" w:fill="E4E9F2"/>
          </w:tcPr>
          <w:p>
            <w:pPr>
              <w:spacing w:after="0"/>
              <w:rPr>
                <w:sz w:val="14"/>
                <w:szCs w:val="14"/>
                <w:color w:val="auto"/>
              </w:rPr>
            </w:pPr>
          </w:p>
        </w:tc>
        <w:tc>
          <w:tcPr>
            <w:tcW w:w="740" w:type="dxa"/>
            <w:vAlign w:val="bottom"/>
            <w:shd w:val="clear" w:color="auto" w:fill="E4E9F2"/>
          </w:tcPr>
          <w:p>
            <w:pPr>
              <w:spacing w:after="0"/>
              <w:rPr>
                <w:sz w:val="14"/>
                <w:szCs w:val="14"/>
                <w:color w:val="auto"/>
              </w:rPr>
            </w:pPr>
          </w:p>
        </w:tc>
        <w:tc>
          <w:tcPr>
            <w:tcW w:w="780" w:type="dxa"/>
            <w:vAlign w:val="bottom"/>
            <w:shd w:val="clear" w:color="auto" w:fill="E4E9F2"/>
          </w:tcPr>
          <w:p>
            <w:pPr>
              <w:spacing w:after="0"/>
              <w:rPr>
                <w:sz w:val="14"/>
                <w:szCs w:val="14"/>
                <w:color w:val="auto"/>
              </w:rPr>
            </w:pPr>
          </w:p>
        </w:tc>
        <w:tc>
          <w:tcPr>
            <w:tcW w:w="180" w:type="dxa"/>
            <w:vAlign w:val="bottom"/>
            <w:shd w:val="clear" w:color="auto" w:fill="E4E9F2"/>
          </w:tcPr>
          <w:p>
            <w:pPr>
              <w:spacing w:after="0"/>
              <w:rPr>
                <w:sz w:val="14"/>
                <w:szCs w:val="14"/>
                <w:color w:val="auto"/>
              </w:rPr>
            </w:pPr>
          </w:p>
        </w:tc>
        <w:tc>
          <w:tcPr>
            <w:tcW w:w="1080" w:type="dxa"/>
            <w:vAlign w:val="bottom"/>
            <w:shd w:val="clear" w:color="auto" w:fill="E4E9F2"/>
          </w:tcPr>
          <w:p>
            <w:pPr>
              <w:spacing w:after="0"/>
              <w:rPr>
                <w:sz w:val="14"/>
                <w:szCs w:val="14"/>
                <w:color w:val="auto"/>
              </w:rPr>
            </w:pPr>
          </w:p>
        </w:tc>
        <w:tc>
          <w:tcPr>
            <w:tcW w:w="900" w:type="dxa"/>
            <w:vAlign w:val="bottom"/>
            <w:shd w:val="clear" w:color="auto" w:fill="E4E9F2"/>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360" w:type="dxa"/>
            <w:vAlign w:val="bottom"/>
            <w:shd w:val="clear" w:color="auto" w:fill="E4E9F2"/>
          </w:tcPr>
          <w:p>
            <w:pPr>
              <w:ind w:left="160"/>
              <w:spacing w:after="0"/>
              <w:rPr>
                <w:sz w:val="20"/>
                <w:szCs w:val="20"/>
                <w:color w:val="auto"/>
              </w:rPr>
            </w:pPr>
            <w:r>
              <w:rPr>
                <w:rFonts w:ascii="Arial" w:cs="Arial" w:eastAsia="Arial" w:hAnsi="Arial"/>
                <w:sz w:val="14"/>
                <w:szCs w:val="14"/>
                <w:color w:val="auto"/>
              </w:rPr>
              <w:t>PSU Grant</w:t>
            </w:r>
          </w:p>
        </w:tc>
        <w:tc>
          <w:tcPr>
            <w:tcW w:w="840" w:type="dxa"/>
            <w:vAlign w:val="bottom"/>
            <w:shd w:val="clear" w:color="auto" w:fill="E4E9F2"/>
          </w:tcPr>
          <w:p>
            <w:pPr>
              <w:jc w:val="right"/>
              <w:ind w:right="128"/>
              <w:spacing w:after="0"/>
              <w:rPr>
                <w:sz w:val="20"/>
                <w:szCs w:val="20"/>
                <w:color w:val="auto"/>
              </w:rPr>
            </w:pPr>
            <w:r>
              <w:rPr>
                <w:rFonts w:ascii="Arial" w:cs="Arial" w:eastAsia="Arial" w:hAnsi="Arial"/>
                <w:sz w:val="14"/>
                <w:szCs w:val="14"/>
                <w:color w:val="auto"/>
              </w:rPr>
              <w:t>3/1/21</w:t>
            </w:r>
          </w:p>
        </w:tc>
        <w:tc>
          <w:tcPr>
            <w:tcW w:w="820" w:type="dxa"/>
            <w:vAlign w:val="bottom"/>
            <w:shd w:val="clear" w:color="auto" w:fill="E4E9F2"/>
          </w:tcPr>
          <w:p>
            <w:pPr>
              <w:spacing w:after="0"/>
              <w:rPr>
                <w:sz w:val="14"/>
                <w:szCs w:val="14"/>
                <w:color w:val="auto"/>
              </w:rPr>
            </w:pPr>
          </w:p>
        </w:tc>
        <w:tc>
          <w:tcPr>
            <w:tcW w:w="860" w:type="dxa"/>
            <w:vAlign w:val="bottom"/>
            <w:shd w:val="clear" w:color="auto" w:fill="E4E9F2"/>
          </w:tcPr>
          <w:p>
            <w:pPr>
              <w:spacing w:after="0"/>
              <w:rPr>
                <w:sz w:val="14"/>
                <w:szCs w:val="14"/>
                <w:color w:val="auto"/>
              </w:rPr>
            </w:pPr>
          </w:p>
        </w:tc>
        <w:tc>
          <w:tcPr>
            <w:tcW w:w="660" w:type="dxa"/>
            <w:vAlign w:val="bottom"/>
            <w:shd w:val="clear" w:color="auto" w:fill="E4E9F2"/>
          </w:tcPr>
          <w:p>
            <w:pPr>
              <w:spacing w:after="0"/>
              <w:rPr>
                <w:sz w:val="14"/>
                <w:szCs w:val="14"/>
                <w:color w:val="auto"/>
              </w:rPr>
            </w:pPr>
          </w:p>
        </w:tc>
        <w:tc>
          <w:tcPr>
            <w:tcW w:w="200" w:type="dxa"/>
            <w:vAlign w:val="bottom"/>
            <w:shd w:val="clear" w:color="auto" w:fill="E4E9F2"/>
          </w:tcPr>
          <w:p>
            <w:pPr>
              <w:spacing w:after="0"/>
              <w:rPr>
                <w:sz w:val="14"/>
                <w:szCs w:val="14"/>
                <w:color w:val="auto"/>
              </w:rPr>
            </w:pPr>
          </w:p>
        </w:tc>
        <w:tc>
          <w:tcPr>
            <w:tcW w:w="820" w:type="dxa"/>
            <w:vAlign w:val="bottom"/>
            <w:shd w:val="clear" w:color="auto" w:fill="E4E9F2"/>
          </w:tcPr>
          <w:p>
            <w:pPr>
              <w:jc w:val="right"/>
              <w:ind w:right="49"/>
              <w:spacing w:after="0"/>
              <w:rPr>
                <w:sz w:val="20"/>
                <w:szCs w:val="20"/>
                <w:color w:val="auto"/>
              </w:rPr>
            </w:pPr>
            <w:r>
              <w:rPr>
                <w:rFonts w:ascii="Arial" w:cs="Arial" w:eastAsia="Arial" w:hAnsi="Arial"/>
                <w:sz w:val="14"/>
                <w:szCs w:val="14"/>
                <w:color w:val="auto"/>
              </w:rPr>
              <w:t>57,915</w:t>
            </w:r>
          </w:p>
        </w:tc>
        <w:tc>
          <w:tcPr>
            <w:tcW w:w="740" w:type="dxa"/>
            <w:vAlign w:val="bottom"/>
            <w:shd w:val="clear" w:color="auto" w:fill="E4E9F2"/>
          </w:tcPr>
          <w:p>
            <w:pPr>
              <w:jc w:val="right"/>
              <w:ind w:right="28"/>
              <w:spacing w:after="0"/>
              <w:rPr>
                <w:sz w:val="20"/>
                <w:szCs w:val="20"/>
                <w:color w:val="auto"/>
              </w:rPr>
            </w:pPr>
            <w:r>
              <w:rPr>
                <w:rFonts w:ascii="Arial" w:cs="Arial" w:eastAsia="Arial" w:hAnsi="Arial"/>
                <w:sz w:val="14"/>
                <w:szCs w:val="14"/>
                <w:color w:val="auto"/>
              </w:rPr>
              <w:t>115,830</w:t>
            </w:r>
          </w:p>
        </w:tc>
        <w:tc>
          <w:tcPr>
            <w:tcW w:w="960" w:type="dxa"/>
            <w:vAlign w:val="bottom"/>
            <w:gridSpan w:val="2"/>
            <w:shd w:val="clear" w:color="auto" w:fill="E4E9F2"/>
          </w:tcPr>
          <w:p>
            <w:pPr>
              <w:jc w:val="right"/>
              <w:ind w:right="180"/>
              <w:spacing w:after="0"/>
              <w:rPr>
                <w:sz w:val="20"/>
                <w:szCs w:val="20"/>
                <w:color w:val="auto"/>
              </w:rPr>
            </w:pPr>
            <w:r>
              <w:rPr>
                <w:rFonts w:ascii="Arial" w:cs="Arial" w:eastAsia="Arial" w:hAnsi="Arial"/>
                <w:sz w:val="14"/>
                <w:szCs w:val="14"/>
                <w:color w:val="auto"/>
              </w:rPr>
              <w:t>231,660</w:t>
            </w:r>
          </w:p>
        </w:tc>
        <w:tc>
          <w:tcPr>
            <w:tcW w:w="1080" w:type="dxa"/>
            <w:vAlign w:val="bottom"/>
            <w:shd w:val="clear" w:color="auto" w:fill="E4E9F2"/>
          </w:tcPr>
          <w:p>
            <w:pPr>
              <w:spacing w:after="0"/>
              <w:rPr>
                <w:sz w:val="14"/>
                <w:szCs w:val="14"/>
                <w:color w:val="auto"/>
              </w:rPr>
            </w:pPr>
          </w:p>
        </w:tc>
        <w:tc>
          <w:tcPr>
            <w:tcW w:w="900" w:type="dxa"/>
            <w:vAlign w:val="bottom"/>
            <w:shd w:val="clear" w:color="auto" w:fill="E4E9F2"/>
          </w:tcPr>
          <w:p>
            <w:pPr>
              <w:jc w:val="right"/>
              <w:spacing w:after="0"/>
              <w:rPr>
                <w:sz w:val="20"/>
                <w:szCs w:val="20"/>
                <w:color w:val="auto"/>
              </w:rPr>
            </w:pPr>
            <w:r>
              <w:rPr>
                <w:rFonts w:ascii="Arial" w:cs="Arial" w:eastAsia="Arial" w:hAnsi="Arial"/>
                <w:sz w:val="14"/>
                <w:szCs w:val="14"/>
                <w:color w:val="auto"/>
              </w:rPr>
              <w:t>816,602</w:t>
            </w:r>
          </w:p>
        </w:tc>
        <w:tc>
          <w:tcPr>
            <w:tcW w:w="0" w:type="dxa"/>
            <w:vAlign w:val="bottom"/>
          </w:tcPr>
          <w:p>
            <w:pPr>
              <w:spacing w:after="0"/>
              <w:rPr>
                <w:sz w:val="1"/>
                <w:szCs w:val="1"/>
                <w:color w:val="auto"/>
              </w:rPr>
            </w:pPr>
          </w:p>
        </w:tc>
      </w:tr>
      <w:tr>
        <w:trPr>
          <w:trHeight w:val="162"/>
        </w:trPr>
        <w:tc>
          <w:tcPr>
            <w:tcW w:w="3360" w:type="dxa"/>
            <w:vAlign w:val="bottom"/>
            <w:tcBorders>
              <w:bottom w:val="single" w:sz="8" w:color="04568A"/>
            </w:tcBorders>
            <w:shd w:val="clear" w:color="auto" w:fill="E4E9F2"/>
          </w:tcPr>
          <w:p>
            <w:pPr>
              <w:ind w:left="160"/>
              <w:spacing w:after="0"/>
              <w:rPr>
                <w:sz w:val="20"/>
                <w:szCs w:val="20"/>
                <w:color w:val="auto"/>
              </w:rPr>
            </w:pPr>
            <w:r>
              <w:rPr>
                <w:rFonts w:ascii="Arial" w:cs="Arial" w:eastAsia="Arial" w:hAnsi="Arial"/>
                <w:sz w:val="14"/>
                <w:szCs w:val="14"/>
                <w:color w:val="auto"/>
              </w:rPr>
              <w:t>RSU Grant</w:t>
            </w:r>
          </w:p>
        </w:tc>
        <w:tc>
          <w:tcPr>
            <w:tcW w:w="840" w:type="dxa"/>
            <w:vAlign w:val="bottom"/>
            <w:tcBorders>
              <w:bottom w:val="single" w:sz="8" w:color="04568A"/>
            </w:tcBorders>
            <w:shd w:val="clear" w:color="auto" w:fill="E4E9F2"/>
          </w:tcPr>
          <w:p>
            <w:pPr>
              <w:jc w:val="right"/>
              <w:ind w:right="128"/>
              <w:spacing w:after="0"/>
              <w:rPr>
                <w:sz w:val="20"/>
                <w:szCs w:val="20"/>
                <w:color w:val="auto"/>
              </w:rPr>
            </w:pPr>
            <w:r>
              <w:rPr>
                <w:rFonts w:ascii="Arial" w:cs="Arial" w:eastAsia="Arial" w:hAnsi="Arial"/>
                <w:sz w:val="14"/>
                <w:szCs w:val="14"/>
                <w:color w:val="auto"/>
              </w:rPr>
              <w:t>3/1/21</w:t>
            </w:r>
          </w:p>
        </w:tc>
        <w:tc>
          <w:tcPr>
            <w:tcW w:w="820" w:type="dxa"/>
            <w:vAlign w:val="bottom"/>
            <w:tcBorders>
              <w:bottom w:val="single" w:sz="8" w:color="04568A"/>
            </w:tcBorders>
            <w:shd w:val="clear" w:color="auto" w:fill="E4E9F2"/>
          </w:tcPr>
          <w:p>
            <w:pPr>
              <w:spacing w:after="0"/>
              <w:rPr>
                <w:sz w:val="14"/>
                <w:szCs w:val="14"/>
                <w:color w:val="auto"/>
              </w:rPr>
            </w:pPr>
          </w:p>
        </w:tc>
        <w:tc>
          <w:tcPr>
            <w:tcW w:w="860" w:type="dxa"/>
            <w:vAlign w:val="bottom"/>
            <w:tcBorders>
              <w:bottom w:val="single" w:sz="8" w:color="04568A"/>
            </w:tcBorders>
            <w:shd w:val="clear" w:color="auto" w:fill="E4E9F2"/>
          </w:tcPr>
          <w:p>
            <w:pPr>
              <w:spacing w:after="0"/>
              <w:rPr>
                <w:sz w:val="14"/>
                <w:szCs w:val="14"/>
                <w:color w:val="auto"/>
              </w:rPr>
            </w:pPr>
          </w:p>
        </w:tc>
        <w:tc>
          <w:tcPr>
            <w:tcW w:w="660" w:type="dxa"/>
            <w:vAlign w:val="bottom"/>
            <w:tcBorders>
              <w:bottom w:val="single" w:sz="8" w:color="04568A"/>
            </w:tcBorders>
            <w:shd w:val="clear" w:color="auto" w:fill="E4E9F2"/>
          </w:tcPr>
          <w:p>
            <w:pPr>
              <w:spacing w:after="0"/>
              <w:rPr>
                <w:sz w:val="14"/>
                <w:szCs w:val="14"/>
                <w:color w:val="auto"/>
              </w:rPr>
            </w:pPr>
          </w:p>
        </w:tc>
        <w:tc>
          <w:tcPr>
            <w:tcW w:w="200" w:type="dxa"/>
            <w:vAlign w:val="bottom"/>
            <w:tcBorders>
              <w:bottom w:val="single" w:sz="8" w:color="04568A"/>
            </w:tcBorders>
            <w:shd w:val="clear" w:color="auto" w:fill="E4E9F2"/>
          </w:tcPr>
          <w:p>
            <w:pPr>
              <w:spacing w:after="0"/>
              <w:rPr>
                <w:sz w:val="14"/>
                <w:szCs w:val="14"/>
                <w:color w:val="auto"/>
              </w:rPr>
            </w:pPr>
          </w:p>
        </w:tc>
        <w:tc>
          <w:tcPr>
            <w:tcW w:w="820" w:type="dxa"/>
            <w:vAlign w:val="bottom"/>
            <w:tcBorders>
              <w:bottom w:val="single" w:sz="8" w:color="04568A"/>
            </w:tcBorders>
            <w:shd w:val="clear" w:color="auto" w:fill="E4E9F2"/>
          </w:tcPr>
          <w:p>
            <w:pPr>
              <w:spacing w:after="0"/>
              <w:rPr>
                <w:sz w:val="14"/>
                <w:szCs w:val="14"/>
                <w:color w:val="auto"/>
              </w:rPr>
            </w:pPr>
          </w:p>
        </w:tc>
        <w:tc>
          <w:tcPr>
            <w:tcW w:w="740" w:type="dxa"/>
            <w:vAlign w:val="bottom"/>
            <w:tcBorders>
              <w:bottom w:val="single" w:sz="8" w:color="04568A"/>
            </w:tcBorders>
            <w:shd w:val="clear" w:color="auto" w:fill="E4E9F2"/>
          </w:tcPr>
          <w:p>
            <w:pPr>
              <w:spacing w:after="0"/>
              <w:rPr>
                <w:sz w:val="14"/>
                <w:szCs w:val="14"/>
                <w:color w:val="auto"/>
              </w:rPr>
            </w:pPr>
          </w:p>
        </w:tc>
        <w:tc>
          <w:tcPr>
            <w:tcW w:w="780" w:type="dxa"/>
            <w:vAlign w:val="bottom"/>
            <w:tcBorders>
              <w:bottom w:val="single" w:sz="8" w:color="04568A"/>
            </w:tcBorders>
            <w:shd w:val="clear" w:color="auto" w:fill="E4E9F2"/>
          </w:tcPr>
          <w:p>
            <w:pPr>
              <w:spacing w:after="0"/>
              <w:rPr>
                <w:sz w:val="14"/>
                <w:szCs w:val="14"/>
                <w:color w:val="auto"/>
              </w:rPr>
            </w:pPr>
          </w:p>
        </w:tc>
        <w:tc>
          <w:tcPr>
            <w:tcW w:w="180" w:type="dxa"/>
            <w:vAlign w:val="bottom"/>
            <w:tcBorders>
              <w:bottom w:val="single" w:sz="8" w:color="04568A"/>
            </w:tcBorders>
            <w:shd w:val="clear" w:color="auto" w:fill="E4E9F2"/>
          </w:tcPr>
          <w:p>
            <w:pPr>
              <w:spacing w:after="0"/>
              <w:rPr>
                <w:sz w:val="14"/>
                <w:szCs w:val="14"/>
                <w:color w:val="auto"/>
              </w:rPr>
            </w:pPr>
          </w:p>
        </w:tc>
        <w:tc>
          <w:tcPr>
            <w:tcW w:w="1080" w:type="dxa"/>
            <w:vAlign w:val="bottom"/>
            <w:tcBorders>
              <w:bottom w:val="single" w:sz="8" w:color="04568A"/>
            </w:tcBorders>
            <w:shd w:val="clear" w:color="auto" w:fill="E4E9F2"/>
          </w:tcPr>
          <w:p>
            <w:pPr>
              <w:jc w:val="right"/>
              <w:ind w:right="108"/>
              <w:spacing w:after="0"/>
              <w:rPr>
                <w:sz w:val="20"/>
                <w:szCs w:val="20"/>
                <w:color w:val="auto"/>
              </w:rPr>
            </w:pPr>
            <w:r>
              <w:rPr>
                <w:rFonts w:ascii="Arial" w:cs="Arial" w:eastAsia="Arial" w:hAnsi="Arial"/>
                <w:sz w:val="14"/>
                <w:szCs w:val="14"/>
                <w:color w:val="auto"/>
              </w:rPr>
              <w:t>115,830</w:t>
            </w:r>
          </w:p>
        </w:tc>
        <w:tc>
          <w:tcPr>
            <w:tcW w:w="90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4"/>
                <w:szCs w:val="14"/>
                <w:color w:val="auto"/>
              </w:rPr>
              <w:t>599,999</w:t>
            </w:r>
          </w:p>
        </w:tc>
        <w:tc>
          <w:tcPr>
            <w:tcW w:w="0" w:type="dxa"/>
            <w:vAlign w:val="bottom"/>
          </w:tcPr>
          <w:p>
            <w:pPr>
              <w:spacing w:after="0"/>
              <w:rPr>
                <w:sz w:val="1"/>
                <w:szCs w:val="1"/>
                <w:color w:val="auto"/>
              </w:rPr>
            </w:pPr>
          </w:p>
        </w:tc>
      </w:tr>
    </w:tbl>
    <w:p>
      <w:pPr>
        <w:spacing w:after="0" w:line="58" w:lineRule="exact"/>
        <w:rPr>
          <w:sz w:val="20"/>
          <w:szCs w:val="20"/>
          <w:color w:val="auto"/>
        </w:rPr>
      </w:pPr>
    </w:p>
    <w:p>
      <w:pPr>
        <w:ind w:left="280" w:hanging="272"/>
        <w:spacing w:after="0" w:line="279" w:lineRule="auto"/>
        <w:tabs>
          <w:tab w:leader="none" w:pos="280" w:val="left"/>
        </w:tabs>
        <w:numPr>
          <w:ilvl w:val="0"/>
          <w:numId w:val="34"/>
        </w:numPr>
        <w:rPr>
          <w:rFonts w:ascii="Arial" w:cs="Arial" w:eastAsia="Arial" w:hAnsi="Arial"/>
          <w:sz w:val="14"/>
          <w:szCs w:val="14"/>
          <w:i w:val="1"/>
          <w:iCs w:val="1"/>
          <w:color w:val="auto"/>
        </w:rPr>
      </w:pPr>
      <w:r>
        <w:rPr>
          <w:rFonts w:ascii="Arial" w:cs="Arial" w:eastAsia="Arial" w:hAnsi="Arial"/>
          <w:sz w:val="14"/>
          <w:szCs w:val="14"/>
          <w:i w:val="1"/>
          <w:iCs w:val="1"/>
          <w:color w:val="auto"/>
        </w:rPr>
        <w:t>The amounts shown in these columns reflect the corporate performance targets under our annual performance-based cash incentive plan. “Threshold” equals 50% of Target, “Target” equals 100% and “Maximum” equals 150% of Target.</w:t>
      </w:r>
    </w:p>
    <w:p>
      <w:pPr>
        <w:spacing w:after="0" w:line="3" w:lineRule="exact"/>
        <w:rPr>
          <w:rFonts w:ascii="Arial" w:cs="Arial" w:eastAsia="Arial" w:hAnsi="Arial"/>
          <w:sz w:val="14"/>
          <w:szCs w:val="14"/>
          <w:i w:val="1"/>
          <w:iCs w:val="1"/>
          <w:color w:val="auto"/>
        </w:rPr>
      </w:pPr>
    </w:p>
    <w:p>
      <w:pPr>
        <w:ind w:left="280" w:hanging="272"/>
        <w:spacing w:after="0" w:line="279" w:lineRule="auto"/>
        <w:tabs>
          <w:tab w:leader="none" w:pos="280" w:val="left"/>
        </w:tabs>
        <w:numPr>
          <w:ilvl w:val="0"/>
          <w:numId w:val="34"/>
        </w:numPr>
        <w:rPr>
          <w:rFonts w:ascii="Arial" w:cs="Arial" w:eastAsia="Arial" w:hAnsi="Arial"/>
          <w:sz w:val="14"/>
          <w:szCs w:val="14"/>
          <w:i w:val="1"/>
          <w:iCs w:val="1"/>
          <w:color w:val="auto"/>
        </w:rPr>
      </w:pPr>
      <w:r>
        <w:rPr>
          <w:rFonts w:ascii="Arial" w:cs="Arial" w:eastAsia="Arial" w:hAnsi="Arial"/>
          <w:sz w:val="14"/>
          <w:szCs w:val="14"/>
          <w:i w:val="1"/>
          <w:iCs w:val="1"/>
          <w:color w:val="auto"/>
        </w:rPr>
        <w:t>The number of shares shown reflects the “Threshold,” “Target” and “Maximum” payout levels under the 2021 performance-based restricted stock unit awards granted under the 2018 Incentive Award Plan. “Threshold” equals 50% of Target, “Target” equals 100% of Target and “Maximum” equals 200% of Target.</w:t>
      </w:r>
    </w:p>
    <w:p>
      <w:pPr>
        <w:spacing w:after="0" w:line="3" w:lineRule="exact"/>
        <w:rPr>
          <w:rFonts w:ascii="Arial" w:cs="Arial" w:eastAsia="Arial" w:hAnsi="Arial"/>
          <w:sz w:val="14"/>
          <w:szCs w:val="14"/>
          <w:i w:val="1"/>
          <w:iCs w:val="1"/>
          <w:color w:val="auto"/>
        </w:rPr>
      </w:pPr>
    </w:p>
    <w:p>
      <w:pPr>
        <w:ind w:left="280" w:hanging="272"/>
        <w:spacing w:after="0" w:line="279" w:lineRule="auto"/>
        <w:tabs>
          <w:tab w:leader="none" w:pos="280" w:val="left"/>
        </w:tabs>
        <w:numPr>
          <w:ilvl w:val="0"/>
          <w:numId w:val="34"/>
        </w:numPr>
        <w:rPr>
          <w:rFonts w:ascii="Arial" w:cs="Arial" w:eastAsia="Arial" w:hAnsi="Arial"/>
          <w:sz w:val="14"/>
          <w:szCs w:val="14"/>
          <w:i w:val="1"/>
          <w:iCs w:val="1"/>
          <w:color w:val="auto"/>
        </w:rPr>
      </w:pPr>
      <w:r>
        <w:rPr>
          <w:rFonts w:ascii="Arial" w:cs="Arial" w:eastAsia="Arial" w:hAnsi="Arial"/>
          <w:sz w:val="14"/>
          <w:szCs w:val="14"/>
          <w:i w:val="1"/>
          <w:iCs w:val="1"/>
          <w:color w:val="auto"/>
        </w:rPr>
        <w:t>The number of shares shown reflects the 2021 restricted stock unit awards under the 2018 Incentive Award Plan. The restricted stock unit awards made in 2021 vest in four equal installments on the first, second, third and fourth anniversary of the date of grant, assuming continued employment.</w:t>
      </w:r>
    </w:p>
    <w:p>
      <w:pPr>
        <w:spacing w:after="0" w:line="3" w:lineRule="exact"/>
        <w:rPr>
          <w:rFonts w:ascii="Arial" w:cs="Arial" w:eastAsia="Arial" w:hAnsi="Arial"/>
          <w:sz w:val="14"/>
          <w:szCs w:val="14"/>
          <w:i w:val="1"/>
          <w:iCs w:val="1"/>
          <w:color w:val="auto"/>
        </w:rPr>
      </w:pPr>
    </w:p>
    <w:p>
      <w:pPr>
        <w:jc w:val="both"/>
        <w:ind w:left="280" w:hanging="272"/>
        <w:spacing w:after="0" w:line="254" w:lineRule="auto"/>
        <w:tabs>
          <w:tab w:leader="none" w:pos="280" w:val="left"/>
        </w:tabs>
        <w:numPr>
          <w:ilvl w:val="0"/>
          <w:numId w:val="34"/>
        </w:numPr>
        <w:rPr>
          <w:rFonts w:ascii="Arial" w:cs="Arial" w:eastAsia="Arial" w:hAnsi="Arial"/>
          <w:sz w:val="14"/>
          <w:szCs w:val="14"/>
          <w:i w:val="1"/>
          <w:iCs w:val="1"/>
          <w:color w:val="auto"/>
        </w:rPr>
      </w:pPr>
      <w:r>
        <w:rPr>
          <w:rFonts w:ascii="Arial" w:cs="Arial" w:eastAsia="Arial" w:hAnsi="Arial"/>
          <w:sz w:val="14"/>
          <w:szCs w:val="14"/>
          <w:i w:val="1"/>
          <w:iCs w:val="1"/>
          <w:color w:val="auto"/>
        </w:rPr>
        <w:t>These amounts reflect the aggregate grant date fair value of each stock award granted during the fiscal year, computed in accordance with FASB ASC Topic 718. The valuation assumptions used in determining such amounts are described in Note 23 to the financial statements included in our Annual Report on Form 10-K for the year ended December 31, 2021. As the PSUs were subject to market-based vesting conditions, the grant date fair value was determined using a Monte-Carlo simulation model, which is a probabilistic approach for estimating the grant date fair value of the PSUs for purposes of accounting under FASB ASC Topic 718.</w:t>
      </w:r>
    </w:p>
    <w:p>
      <w:pPr>
        <w:spacing w:after="0" w:line="147"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39</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40" w:name="page41"/>
    <w:bookmarkEnd w:id="40"/>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Outstanding Equity Awards at December 31, 2021</w:t>
      </w:r>
    </w:p>
    <w:p>
      <w:pPr>
        <w:spacing w:after="0" w:line="236" w:lineRule="exact"/>
        <w:rPr>
          <w:sz w:val="20"/>
          <w:szCs w:val="20"/>
          <w:color w:val="auto"/>
        </w:rPr>
      </w:pPr>
    </w:p>
    <w:tbl>
      <w:tblPr>
        <w:tblLayout w:type="fixed"/>
        <w:tblInd w:w="0" w:type="dxa"/>
        <w:tblCellMar>
          <w:top w:w="0" w:type="dxa"/>
          <w:left w:w="0" w:type="dxa"/>
          <w:bottom w:w="0" w:type="dxa"/>
          <w:right w:w="0" w:type="dxa"/>
        </w:tblCellMar>
      </w:tblPr>
      <w:tr>
        <w:trPr>
          <w:trHeight w:val="175"/>
        </w:trPr>
        <w:tc>
          <w:tcPr>
            <w:tcW w:w="1780" w:type="dxa"/>
            <w:vAlign w:val="bottom"/>
          </w:tcPr>
          <w:p>
            <w:pPr>
              <w:spacing w:after="0"/>
              <w:rPr>
                <w:sz w:val="15"/>
                <w:szCs w:val="15"/>
                <w:color w:val="auto"/>
              </w:rPr>
            </w:pPr>
          </w:p>
        </w:tc>
        <w:tc>
          <w:tcPr>
            <w:tcW w:w="1560" w:type="dxa"/>
            <w:vAlign w:val="bottom"/>
            <w:tcBorders>
              <w:bottom w:val="single" w:sz="8" w:color="04568A"/>
            </w:tcBorders>
          </w:tcPr>
          <w:p>
            <w:pPr>
              <w:spacing w:after="0"/>
              <w:rPr>
                <w:sz w:val="15"/>
                <w:szCs w:val="15"/>
                <w:color w:val="auto"/>
              </w:rPr>
            </w:pPr>
          </w:p>
        </w:tc>
        <w:tc>
          <w:tcPr>
            <w:tcW w:w="1980" w:type="dxa"/>
            <w:vAlign w:val="bottom"/>
            <w:tcBorders>
              <w:bottom w:val="single" w:sz="8" w:color="04568A"/>
            </w:tcBorders>
            <w:gridSpan w:val="2"/>
          </w:tcPr>
          <w:p>
            <w:pPr>
              <w:jc w:val="right"/>
              <w:ind w:right="162"/>
              <w:spacing w:after="0"/>
              <w:rPr>
                <w:sz w:val="20"/>
                <w:szCs w:val="20"/>
                <w:color w:val="auto"/>
              </w:rPr>
            </w:pPr>
            <w:r>
              <w:rPr>
                <w:rFonts w:ascii="Arial" w:cs="Arial" w:eastAsia="Arial" w:hAnsi="Arial"/>
                <w:sz w:val="14"/>
                <w:szCs w:val="14"/>
                <w:b w:val="1"/>
                <w:bCs w:val="1"/>
                <w:color w:val="04568A"/>
              </w:rPr>
              <w:t>Option Awards</w:t>
            </w:r>
          </w:p>
        </w:tc>
        <w:tc>
          <w:tcPr>
            <w:tcW w:w="1060" w:type="dxa"/>
            <w:vAlign w:val="bottom"/>
            <w:tcBorders>
              <w:bottom w:val="single" w:sz="8" w:color="04568A"/>
            </w:tcBorders>
          </w:tcPr>
          <w:p>
            <w:pPr>
              <w:spacing w:after="0"/>
              <w:rPr>
                <w:sz w:val="15"/>
                <w:szCs w:val="15"/>
                <w:color w:val="auto"/>
              </w:rPr>
            </w:pPr>
          </w:p>
        </w:tc>
        <w:tc>
          <w:tcPr>
            <w:tcW w:w="980" w:type="dxa"/>
            <w:vAlign w:val="bottom"/>
            <w:tcBorders>
              <w:bottom w:val="single" w:sz="8" w:color="04568A"/>
            </w:tcBorders>
          </w:tcPr>
          <w:p>
            <w:pPr>
              <w:spacing w:after="0"/>
              <w:rPr>
                <w:sz w:val="15"/>
                <w:szCs w:val="15"/>
                <w:color w:val="auto"/>
              </w:rPr>
            </w:pPr>
          </w:p>
        </w:tc>
        <w:tc>
          <w:tcPr>
            <w:tcW w:w="320" w:type="dxa"/>
            <w:vAlign w:val="bottom"/>
          </w:tcPr>
          <w:p>
            <w:pPr>
              <w:spacing w:after="0"/>
              <w:rPr>
                <w:sz w:val="15"/>
                <w:szCs w:val="15"/>
                <w:color w:val="auto"/>
              </w:rPr>
            </w:pPr>
          </w:p>
        </w:tc>
        <w:tc>
          <w:tcPr>
            <w:tcW w:w="1120" w:type="dxa"/>
            <w:vAlign w:val="bottom"/>
            <w:tcBorders>
              <w:bottom w:val="single" w:sz="8" w:color="04568A"/>
            </w:tcBorders>
          </w:tcPr>
          <w:p>
            <w:pPr>
              <w:spacing w:after="0"/>
              <w:rPr>
                <w:sz w:val="15"/>
                <w:szCs w:val="15"/>
                <w:color w:val="auto"/>
              </w:rPr>
            </w:pPr>
          </w:p>
        </w:tc>
        <w:tc>
          <w:tcPr>
            <w:tcW w:w="1380" w:type="dxa"/>
            <w:vAlign w:val="bottom"/>
            <w:tcBorders>
              <w:bottom w:val="single" w:sz="8" w:color="04568A"/>
            </w:tcBorders>
          </w:tcPr>
          <w:p>
            <w:pPr>
              <w:jc w:val="right"/>
              <w:ind w:right="165"/>
              <w:spacing w:after="0"/>
              <w:rPr>
                <w:sz w:val="20"/>
                <w:szCs w:val="20"/>
                <w:color w:val="auto"/>
              </w:rPr>
            </w:pPr>
            <w:r>
              <w:rPr>
                <w:rFonts w:ascii="Arial" w:cs="Arial" w:eastAsia="Arial" w:hAnsi="Arial"/>
                <w:sz w:val="14"/>
                <w:szCs w:val="14"/>
                <w:b w:val="1"/>
                <w:bCs w:val="1"/>
                <w:color w:val="04568A"/>
              </w:rPr>
              <w:t>Stock Awards</w:t>
            </w:r>
          </w:p>
        </w:tc>
        <w:tc>
          <w:tcPr>
            <w:tcW w:w="1060" w:type="dxa"/>
            <w:vAlign w:val="bottom"/>
            <w:tcBorders>
              <w:bottom w:val="single" w:sz="8" w:color="04568A"/>
            </w:tcBorders>
          </w:tcPr>
          <w:p>
            <w:pPr>
              <w:spacing w:after="0"/>
              <w:rPr>
                <w:sz w:val="15"/>
                <w:szCs w:val="15"/>
                <w:color w:val="auto"/>
              </w:rPr>
            </w:pPr>
          </w:p>
        </w:tc>
        <w:tc>
          <w:tcPr>
            <w:tcW w:w="0" w:type="dxa"/>
            <w:vAlign w:val="bottom"/>
          </w:tcPr>
          <w:p>
            <w:pPr>
              <w:spacing w:after="0"/>
              <w:rPr>
                <w:sz w:val="1"/>
                <w:szCs w:val="1"/>
                <w:color w:val="auto"/>
              </w:rPr>
            </w:pPr>
          </w:p>
        </w:tc>
      </w:tr>
      <w:tr>
        <w:trPr>
          <w:trHeight w:val="142"/>
        </w:trPr>
        <w:tc>
          <w:tcPr>
            <w:tcW w:w="1780" w:type="dxa"/>
            <w:vAlign w:val="bottom"/>
          </w:tcPr>
          <w:p>
            <w:pPr>
              <w:spacing w:after="0"/>
              <w:rPr>
                <w:sz w:val="12"/>
                <w:szCs w:val="12"/>
                <w:color w:val="auto"/>
              </w:rPr>
            </w:pPr>
          </w:p>
        </w:tc>
        <w:tc>
          <w:tcPr>
            <w:tcW w:w="156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12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060" w:type="dxa"/>
            <w:vAlign w:val="bottom"/>
          </w:tcPr>
          <w:p>
            <w:pPr>
              <w:jc w:val="right"/>
              <w:spacing w:after="0" w:line="143" w:lineRule="exact"/>
              <w:rPr>
                <w:sz w:val="20"/>
                <w:szCs w:val="20"/>
                <w:color w:val="auto"/>
              </w:rPr>
            </w:pPr>
            <w:r>
              <w:rPr>
                <w:rFonts w:ascii="Arial" w:cs="Arial" w:eastAsia="Arial" w:hAnsi="Arial"/>
                <w:sz w:val="14"/>
                <w:szCs w:val="14"/>
                <w:b w:val="1"/>
                <w:bCs w:val="1"/>
                <w:color w:val="04568A"/>
              </w:rPr>
              <w:t>Equity</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56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Equity</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Incentive</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56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Incentive</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Plan Awards:</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56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Plan Awards:</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Market or</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56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Number of</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Payout Value</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560" w:type="dxa"/>
            <w:vAlign w:val="bottom"/>
          </w:tcPr>
          <w:p>
            <w:pPr>
              <w:jc w:val="right"/>
              <w:ind w:right="143"/>
              <w:spacing w:after="0"/>
              <w:rPr>
                <w:sz w:val="20"/>
                <w:szCs w:val="20"/>
                <w:color w:val="auto"/>
              </w:rPr>
            </w:pPr>
            <w:r>
              <w:rPr>
                <w:rFonts w:ascii="Arial" w:cs="Arial" w:eastAsia="Arial" w:hAnsi="Arial"/>
                <w:sz w:val="14"/>
                <w:szCs w:val="14"/>
                <w:b w:val="1"/>
                <w:bCs w:val="1"/>
                <w:color w:val="04568A"/>
              </w:rPr>
              <w:t>Number of</w:t>
            </w:r>
          </w:p>
        </w:tc>
        <w:tc>
          <w:tcPr>
            <w:tcW w:w="1220" w:type="dxa"/>
            <w:vAlign w:val="bottom"/>
          </w:tcPr>
          <w:p>
            <w:pPr>
              <w:jc w:val="right"/>
              <w:ind w:right="163"/>
              <w:spacing w:after="0"/>
              <w:rPr>
                <w:sz w:val="20"/>
                <w:szCs w:val="20"/>
                <w:color w:val="auto"/>
              </w:rPr>
            </w:pPr>
            <w:r>
              <w:rPr>
                <w:rFonts w:ascii="Arial" w:cs="Arial" w:eastAsia="Arial" w:hAnsi="Arial"/>
                <w:sz w:val="14"/>
                <w:szCs w:val="14"/>
                <w:b w:val="1"/>
                <w:bCs w:val="1"/>
                <w:color w:val="04568A"/>
              </w:rPr>
              <w:t>Number of</w:t>
            </w:r>
          </w:p>
        </w:tc>
        <w:tc>
          <w:tcPr>
            <w:tcW w:w="7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30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04568A"/>
              </w:rPr>
              <w:t>Number</w:t>
            </w:r>
          </w:p>
        </w:tc>
        <w:tc>
          <w:tcPr>
            <w:tcW w:w="1120" w:type="dxa"/>
            <w:vAlign w:val="bottom"/>
            <w:vMerge w:val="restart"/>
          </w:tcPr>
          <w:p>
            <w:pPr>
              <w:jc w:val="right"/>
              <w:ind w:right="42"/>
              <w:spacing w:after="0"/>
              <w:rPr>
                <w:sz w:val="20"/>
                <w:szCs w:val="20"/>
                <w:color w:val="auto"/>
              </w:rPr>
            </w:pPr>
            <w:r>
              <w:rPr>
                <w:rFonts w:ascii="Arial" w:cs="Arial" w:eastAsia="Arial" w:hAnsi="Arial"/>
                <w:sz w:val="14"/>
                <w:szCs w:val="14"/>
                <w:b w:val="1"/>
                <w:bCs w:val="1"/>
                <w:color w:val="04568A"/>
              </w:rPr>
              <w:t>Market Value</w:t>
            </w: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Unearned</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of Unearned</w:t>
            </w:r>
          </w:p>
        </w:tc>
        <w:tc>
          <w:tcPr>
            <w:tcW w:w="0" w:type="dxa"/>
            <w:vAlign w:val="bottom"/>
          </w:tcPr>
          <w:p>
            <w:pPr>
              <w:spacing w:after="0"/>
              <w:rPr>
                <w:sz w:val="1"/>
                <w:szCs w:val="1"/>
                <w:color w:val="auto"/>
              </w:rPr>
            </w:pPr>
          </w:p>
        </w:tc>
      </w:tr>
      <w:tr>
        <w:trPr>
          <w:trHeight w:val="148"/>
        </w:trPr>
        <w:tc>
          <w:tcPr>
            <w:tcW w:w="1780" w:type="dxa"/>
            <w:vAlign w:val="bottom"/>
          </w:tcPr>
          <w:p>
            <w:pPr>
              <w:spacing w:after="0"/>
              <w:rPr>
                <w:sz w:val="12"/>
                <w:szCs w:val="12"/>
                <w:color w:val="auto"/>
              </w:rPr>
            </w:pPr>
          </w:p>
        </w:tc>
        <w:tc>
          <w:tcPr>
            <w:tcW w:w="1560" w:type="dxa"/>
            <w:vAlign w:val="bottom"/>
          </w:tcPr>
          <w:p>
            <w:pPr>
              <w:jc w:val="right"/>
              <w:ind w:right="143"/>
              <w:spacing w:after="0" w:line="148" w:lineRule="exact"/>
              <w:rPr>
                <w:sz w:val="20"/>
                <w:szCs w:val="20"/>
                <w:color w:val="auto"/>
              </w:rPr>
            </w:pPr>
            <w:r>
              <w:rPr>
                <w:rFonts w:ascii="Arial" w:cs="Arial" w:eastAsia="Arial" w:hAnsi="Arial"/>
                <w:sz w:val="14"/>
                <w:szCs w:val="14"/>
                <w:b w:val="1"/>
                <w:bCs w:val="1"/>
                <w:color w:val="04568A"/>
              </w:rPr>
              <w:t>Securities</w:t>
            </w:r>
          </w:p>
        </w:tc>
        <w:tc>
          <w:tcPr>
            <w:tcW w:w="1220" w:type="dxa"/>
            <w:vAlign w:val="bottom"/>
          </w:tcPr>
          <w:p>
            <w:pPr>
              <w:jc w:val="right"/>
              <w:ind w:right="163"/>
              <w:spacing w:after="0" w:line="148" w:lineRule="exact"/>
              <w:rPr>
                <w:sz w:val="20"/>
                <w:szCs w:val="20"/>
                <w:color w:val="auto"/>
              </w:rPr>
            </w:pPr>
            <w:r>
              <w:rPr>
                <w:rFonts w:ascii="Arial" w:cs="Arial" w:eastAsia="Arial" w:hAnsi="Arial"/>
                <w:sz w:val="14"/>
                <w:szCs w:val="14"/>
                <w:b w:val="1"/>
                <w:bCs w:val="1"/>
                <w:color w:val="04568A"/>
              </w:rPr>
              <w:t>Securities</w:t>
            </w:r>
          </w:p>
        </w:tc>
        <w:tc>
          <w:tcPr>
            <w:tcW w:w="76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300" w:type="dxa"/>
            <w:vAlign w:val="bottom"/>
            <w:gridSpan w:val="2"/>
          </w:tcPr>
          <w:p>
            <w:pPr>
              <w:jc w:val="right"/>
              <w:ind w:right="320"/>
              <w:spacing w:after="0" w:line="148" w:lineRule="exact"/>
              <w:rPr>
                <w:sz w:val="20"/>
                <w:szCs w:val="20"/>
                <w:color w:val="auto"/>
              </w:rPr>
            </w:pPr>
            <w:r>
              <w:rPr>
                <w:rFonts w:ascii="Arial" w:cs="Arial" w:eastAsia="Arial" w:hAnsi="Arial"/>
                <w:sz w:val="14"/>
                <w:szCs w:val="14"/>
                <w:b w:val="1"/>
                <w:bCs w:val="1"/>
                <w:color w:val="04568A"/>
              </w:rPr>
              <w:t>of Shares</w:t>
            </w:r>
          </w:p>
        </w:tc>
        <w:tc>
          <w:tcPr>
            <w:tcW w:w="1120" w:type="dxa"/>
            <w:vAlign w:val="bottom"/>
            <w:vMerge w:val="continue"/>
          </w:tcPr>
          <w:p>
            <w:pPr>
              <w:spacing w:after="0"/>
              <w:rPr>
                <w:sz w:val="12"/>
                <w:szCs w:val="12"/>
                <w:color w:val="auto"/>
              </w:rPr>
            </w:pPr>
          </w:p>
        </w:tc>
        <w:tc>
          <w:tcPr>
            <w:tcW w:w="1380" w:type="dxa"/>
            <w:vAlign w:val="bottom"/>
          </w:tcPr>
          <w:p>
            <w:pPr>
              <w:jc w:val="right"/>
              <w:ind w:right="205"/>
              <w:spacing w:after="0" w:line="148" w:lineRule="exact"/>
              <w:rPr>
                <w:sz w:val="20"/>
                <w:szCs w:val="20"/>
                <w:color w:val="auto"/>
              </w:rPr>
            </w:pPr>
            <w:r>
              <w:rPr>
                <w:rFonts w:ascii="Arial" w:cs="Arial" w:eastAsia="Arial" w:hAnsi="Arial"/>
                <w:sz w:val="14"/>
                <w:szCs w:val="14"/>
                <w:b w:val="1"/>
                <w:bCs w:val="1"/>
                <w:color w:val="04568A"/>
              </w:rPr>
              <w:t>Shares, Units,</w:t>
            </w:r>
          </w:p>
        </w:tc>
        <w:tc>
          <w:tcPr>
            <w:tcW w:w="1060" w:type="dxa"/>
            <w:vAlign w:val="bottom"/>
          </w:tcPr>
          <w:p>
            <w:pPr>
              <w:jc w:val="right"/>
              <w:spacing w:after="0" w:line="148" w:lineRule="exact"/>
              <w:rPr>
                <w:sz w:val="20"/>
                <w:szCs w:val="20"/>
                <w:color w:val="auto"/>
              </w:rPr>
            </w:pPr>
            <w:r>
              <w:rPr>
                <w:rFonts w:ascii="Arial" w:cs="Arial" w:eastAsia="Arial" w:hAnsi="Arial"/>
                <w:sz w:val="14"/>
                <w:szCs w:val="14"/>
                <w:b w:val="1"/>
                <w:bCs w:val="1"/>
                <w:color w:val="04568A"/>
              </w:rPr>
              <w:t>Shares, Units,</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560" w:type="dxa"/>
            <w:vAlign w:val="bottom"/>
          </w:tcPr>
          <w:p>
            <w:pPr>
              <w:jc w:val="right"/>
              <w:ind w:right="143"/>
              <w:spacing w:after="0"/>
              <w:rPr>
                <w:sz w:val="20"/>
                <w:szCs w:val="20"/>
                <w:color w:val="auto"/>
              </w:rPr>
            </w:pPr>
            <w:r>
              <w:rPr>
                <w:rFonts w:ascii="Arial" w:cs="Arial" w:eastAsia="Arial" w:hAnsi="Arial"/>
                <w:sz w:val="14"/>
                <w:szCs w:val="14"/>
                <w:b w:val="1"/>
                <w:bCs w:val="1"/>
                <w:color w:val="04568A"/>
              </w:rPr>
              <w:t>Underlying</w:t>
            </w:r>
          </w:p>
        </w:tc>
        <w:tc>
          <w:tcPr>
            <w:tcW w:w="1220" w:type="dxa"/>
            <w:vAlign w:val="bottom"/>
          </w:tcPr>
          <w:p>
            <w:pPr>
              <w:jc w:val="right"/>
              <w:ind w:right="163"/>
              <w:spacing w:after="0"/>
              <w:rPr>
                <w:sz w:val="20"/>
                <w:szCs w:val="20"/>
                <w:color w:val="auto"/>
              </w:rPr>
            </w:pPr>
            <w:r>
              <w:rPr>
                <w:rFonts w:ascii="Arial" w:cs="Arial" w:eastAsia="Arial" w:hAnsi="Arial"/>
                <w:sz w:val="14"/>
                <w:szCs w:val="14"/>
                <w:b w:val="1"/>
                <w:bCs w:val="1"/>
                <w:color w:val="04568A"/>
              </w:rPr>
              <w:t>Underlying</w:t>
            </w:r>
          </w:p>
        </w:tc>
        <w:tc>
          <w:tcPr>
            <w:tcW w:w="7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30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04568A"/>
              </w:rPr>
              <w:t>or Units of</w:t>
            </w:r>
          </w:p>
        </w:tc>
        <w:tc>
          <w:tcPr>
            <w:tcW w:w="1120" w:type="dxa"/>
            <w:vAlign w:val="bottom"/>
          </w:tcPr>
          <w:p>
            <w:pPr>
              <w:jc w:val="right"/>
              <w:ind w:right="42"/>
              <w:spacing w:after="0"/>
              <w:rPr>
                <w:sz w:val="20"/>
                <w:szCs w:val="20"/>
                <w:color w:val="auto"/>
              </w:rPr>
            </w:pPr>
            <w:r>
              <w:rPr>
                <w:rFonts w:ascii="Arial" w:cs="Arial" w:eastAsia="Arial" w:hAnsi="Arial"/>
                <w:sz w:val="14"/>
                <w:szCs w:val="14"/>
                <w:b w:val="1"/>
                <w:bCs w:val="1"/>
                <w:color w:val="04568A"/>
              </w:rPr>
              <w:t>of Shares or</w:t>
            </w: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or Other</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or Other</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560" w:type="dxa"/>
            <w:vAlign w:val="bottom"/>
          </w:tcPr>
          <w:p>
            <w:pPr>
              <w:jc w:val="right"/>
              <w:ind w:right="143"/>
              <w:spacing w:after="0"/>
              <w:rPr>
                <w:sz w:val="20"/>
                <w:szCs w:val="20"/>
                <w:color w:val="auto"/>
              </w:rPr>
            </w:pPr>
            <w:r>
              <w:rPr>
                <w:rFonts w:ascii="Arial" w:cs="Arial" w:eastAsia="Arial" w:hAnsi="Arial"/>
                <w:sz w:val="14"/>
                <w:szCs w:val="14"/>
                <w:b w:val="1"/>
                <w:bCs w:val="1"/>
                <w:color w:val="04568A"/>
              </w:rPr>
              <w:t>Options</w:t>
            </w:r>
          </w:p>
        </w:tc>
        <w:tc>
          <w:tcPr>
            <w:tcW w:w="1220" w:type="dxa"/>
            <w:vAlign w:val="bottom"/>
          </w:tcPr>
          <w:p>
            <w:pPr>
              <w:jc w:val="right"/>
              <w:ind w:right="163"/>
              <w:spacing w:after="0"/>
              <w:rPr>
                <w:sz w:val="20"/>
                <w:szCs w:val="20"/>
                <w:color w:val="auto"/>
              </w:rPr>
            </w:pPr>
            <w:r>
              <w:rPr>
                <w:rFonts w:ascii="Arial" w:cs="Arial" w:eastAsia="Arial" w:hAnsi="Arial"/>
                <w:sz w:val="14"/>
                <w:szCs w:val="14"/>
                <w:b w:val="1"/>
                <w:bCs w:val="1"/>
                <w:color w:val="04568A"/>
              </w:rPr>
              <w:t>Options</w:t>
            </w:r>
          </w:p>
        </w:tc>
        <w:tc>
          <w:tcPr>
            <w:tcW w:w="760" w:type="dxa"/>
            <w:vAlign w:val="bottom"/>
          </w:tcPr>
          <w:p>
            <w:pPr>
              <w:jc w:val="right"/>
              <w:ind w:right="42"/>
              <w:spacing w:after="0"/>
              <w:rPr>
                <w:sz w:val="20"/>
                <w:szCs w:val="20"/>
                <w:color w:val="auto"/>
              </w:rPr>
            </w:pPr>
            <w:r>
              <w:rPr>
                <w:rFonts w:ascii="Arial" w:cs="Arial" w:eastAsia="Arial" w:hAnsi="Arial"/>
                <w:sz w:val="14"/>
                <w:szCs w:val="14"/>
                <w:b w:val="1"/>
                <w:bCs w:val="1"/>
                <w:color w:val="04568A"/>
              </w:rPr>
              <w:t>Option</w:t>
            </w:r>
          </w:p>
        </w:tc>
        <w:tc>
          <w:tcPr>
            <w:tcW w:w="1060" w:type="dxa"/>
            <w:vAlign w:val="bottom"/>
          </w:tcPr>
          <w:p>
            <w:pPr>
              <w:spacing w:after="0"/>
              <w:rPr>
                <w:sz w:val="14"/>
                <w:szCs w:val="14"/>
                <w:color w:val="auto"/>
              </w:rPr>
            </w:pPr>
          </w:p>
        </w:tc>
        <w:tc>
          <w:tcPr>
            <w:tcW w:w="130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04568A"/>
              </w:rPr>
              <w:t>Stock that</w:t>
            </w:r>
          </w:p>
        </w:tc>
        <w:tc>
          <w:tcPr>
            <w:tcW w:w="1120" w:type="dxa"/>
            <w:vAlign w:val="bottom"/>
          </w:tcPr>
          <w:p>
            <w:pPr>
              <w:jc w:val="right"/>
              <w:ind w:right="42"/>
              <w:spacing w:after="0"/>
              <w:rPr>
                <w:sz w:val="20"/>
                <w:szCs w:val="20"/>
                <w:color w:val="auto"/>
              </w:rPr>
            </w:pPr>
            <w:r>
              <w:rPr>
                <w:rFonts w:ascii="Arial" w:cs="Arial" w:eastAsia="Arial" w:hAnsi="Arial"/>
                <w:sz w:val="14"/>
                <w:szCs w:val="14"/>
                <w:b w:val="1"/>
                <w:bCs w:val="1"/>
                <w:color w:val="04568A"/>
              </w:rPr>
              <w:t>Units of Stock</w:t>
            </w: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Rights that</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Rights that</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560" w:type="dxa"/>
            <w:vAlign w:val="bottom"/>
          </w:tcPr>
          <w:p>
            <w:pPr>
              <w:jc w:val="right"/>
              <w:ind w:right="143"/>
              <w:spacing w:after="0"/>
              <w:rPr>
                <w:sz w:val="20"/>
                <w:szCs w:val="20"/>
                <w:color w:val="auto"/>
              </w:rPr>
            </w:pPr>
            <w:r>
              <w:rPr>
                <w:rFonts w:ascii="Arial" w:cs="Arial" w:eastAsia="Arial" w:hAnsi="Arial"/>
                <w:sz w:val="14"/>
                <w:szCs w:val="14"/>
                <w:b w:val="1"/>
                <w:bCs w:val="1"/>
                <w:color w:val="04568A"/>
              </w:rPr>
              <w:t>that are</w:t>
            </w:r>
          </w:p>
        </w:tc>
        <w:tc>
          <w:tcPr>
            <w:tcW w:w="1220" w:type="dxa"/>
            <w:vAlign w:val="bottom"/>
          </w:tcPr>
          <w:p>
            <w:pPr>
              <w:jc w:val="right"/>
              <w:ind w:right="163"/>
              <w:spacing w:after="0"/>
              <w:rPr>
                <w:sz w:val="20"/>
                <w:szCs w:val="20"/>
                <w:color w:val="auto"/>
              </w:rPr>
            </w:pPr>
            <w:r>
              <w:rPr>
                <w:rFonts w:ascii="Arial" w:cs="Arial" w:eastAsia="Arial" w:hAnsi="Arial"/>
                <w:sz w:val="14"/>
                <w:szCs w:val="14"/>
                <w:b w:val="1"/>
                <w:bCs w:val="1"/>
                <w:color w:val="04568A"/>
              </w:rPr>
              <w:t>that are</w:t>
            </w:r>
          </w:p>
        </w:tc>
        <w:tc>
          <w:tcPr>
            <w:tcW w:w="760" w:type="dxa"/>
            <w:vAlign w:val="bottom"/>
          </w:tcPr>
          <w:p>
            <w:pPr>
              <w:jc w:val="right"/>
              <w:ind w:right="42"/>
              <w:spacing w:after="0"/>
              <w:rPr>
                <w:sz w:val="20"/>
                <w:szCs w:val="20"/>
                <w:color w:val="auto"/>
              </w:rPr>
            </w:pPr>
            <w:r>
              <w:rPr>
                <w:rFonts w:ascii="Arial" w:cs="Arial" w:eastAsia="Arial" w:hAnsi="Arial"/>
                <w:sz w:val="14"/>
                <w:szCs w:val="14"/>
                <w:b w:val="1"/>
                <w:bCs w:val="1"/>
                <w:color w:val="04568A"/>
              </w:rPr>
              <w:t>Exercise</w:t>
            </w:r>
          </w:p>
        </w:tc>
        <w:tc>
          <w:tcPr>
            <w:tcW w:w="1060" w:type="dxa"/>
            <w:vAlign w:val="bottom"/>
          </w:tcPr>
          <w:p>
            <w:pPr>
              <w:jc w:val="right"/>
              <w:ind w:right="161"/>
              <w:spacing w:after="0"/>
              <w:rPr>
                <w:sz w:val="20"/>
                <w:szCs w:val="20"/>
                <w:color w:val="auto"/>
              </w:rPr>
            </w:pPr>
            <w:r>
              <w:rPr>
                <w:rFonts w:ascii="Arial" w:cs="Arial" w:eastAsia="Arial" w:hAnsi="Arial"/>
                <w:sz w:val="14"/>
                <w:szCs w:val="14"/>
                <w:b w:val="1"/>
                <w:bCs w:val="1"/>
                <w:color w:val="04568A"/>
              </w:rPr>
              <w:t>Option</w:t>
            </w:r>
          </w:p>
        </w:tc>
        <w:tc>
          <w:tcPr>
            <w:tcW w:w="130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04568A"/>
              </w:rPr>
              <w:t>Have Not</w:t>
            </w:r>
          </w:p>
        </w:tc>
        <w:tc>
          <w:tcPr>
            <w:tcW w:w="1120" w:type="dxa"/>
            <w:vAlign w:val="bottom"/>
          </w:tcPr>
          <w:p>
            <w:pPr>
              <w:jc w:val="right"/>
              <w:ind w:right="42"/>
              <w:spacing w:after="0"/>
              <w:rPr>
                <w:sz w:val="20"/>
                <w:szCs w:val="20"/>
                <w:color w:val="auto"/>
              </w:rPr>
            </w:pPr>
            <w:r>
              <w:rPr>
                <w:rFonts w:ascii="Arial" w:cs="Arial" w:eastAsia="Arial" w:hAnsi="Arial"/>
                <w:sz w:val="14"/>
                <w:szCs w:val="14"/>
                <w:b w:val="1"/>
                <w:bCs w:val="1"/>
                <w:color w:val="04568A"/>
              </w:rPr>
              <w:t>that Have Not</w:t>
            </w: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Have Not</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Have Not</w:t>
            </w:r>
          </w:p>
        </w:tc>
        <w:tc>
          <w:tcPr>
            <w:tcW w:w="0" w:type="dxa"/>
            <w:vAlign w:val="bottom"/>
          </w:tcPr>
          <w:p>
            <w:pPr>
              <w:spacing w:after="0"/>
              <w:rPr>
                <w:sz w:val="1"/>
                <w:szCs w:val="1"/>
                <w:color w:val="auto"/>
              </w:rPr>
            </w:pPr>
          </w:p>
        </w:tc>
      </w:tr>
      <w:tr>
        <w:trPr>
          <w:trHeight w:val="176"/>
        </w:trPr>
        <w:tc>
          <w:tcPr>
            <w:tcW w:w="1780" w:type="dxa"/>
            <w:vAlign w:val="bottom"/>
          </w:tcPr>
          <w:p>
            <w:pPr>
              <w:spacing w:after="0"/>
              <w:rPr>
                <w:sz w:val="15"/>
                <w:szCs w:val="15"/>
                <w:color w:val="auto"/>
              </w:rPr>
            </w:pPr>
          </w:p>
        </w:tc>
        <w:tc>
          <w:tcPr>
            <w:tcW w:w="1560" w:type="dxa"/>
            <w:vAlign w:val="bottom"/>
          </w:tcPr>
          <w:p>
            <w:pPr>
              <w:jc w:val="right"/>
              <w:ind w:right="143"/>
              <w:spacing w:after="0"/>
              <w:rPr>
                <w:sz w:val="20"/>
                <w:szCs w:val="20"/>
                <w:color w:val="auto"/>
              </w:rPr>
            </w:pPr>
            <w:r>
              <w:rPr>
                <w:rFonts w:ascii="Arial" w:cs="Arial" w:eastAsia="Arial" w:hAnsi="Arial"/>
                <w:sz w:val="14"/>
                <w:szCs w:val="14"/>
                <w:b w:val="1"/>
                <w:bCs w:val="1"/>
                <w:color w:val="04568A"/>
              </w:rPr>
              <w:t>Exercisable</w:t>
            </w:r>
          </w:p>
        </w:tc>
        <w:tc>
          <w:tcPr>
            <w:tcW w:w="1220" w:type="dxa"/>
            <w:vAlign w:val="bottom"/>
          </w:tcPr>
          <w:p>
            <w:pPr>
              <w:jc w:val="right"/>
              <w:ind w:right="163"/>
              <w:spacing w:after="0"/>
              <w:rPr>
                <w:sz w:val="20"/>
                <w:szCs w:val="20"/>
                <w:color w:val="auto"/>
              </w:rPr>
            </w:pPr>
            <w:r>
              <w:rPr>
                <w:rFonts w:ascii="Arial" w:cs="Arial" w:eastAsia="Arial" w:hAnsi="Arial"/>
                <w:sz w:val="14"/>
                <w:szCs w:val="14"/>
                <w:b w:val="1"/>
                <w:bCs w:val="1"/>
                <w:color w:val="04568A"/>
              </w:rPr>
              <w:t>Unexercisable</w:t>
            </w:r>
          </w:p>
        </w:tc>
        <w:tc>
          <w:tcPr>
            <w:tcW w:w="760" w:type="dxa"/>
            <w:vAlign w:val="bottom"/>
          </w:tcPr>
          <w:p>
            <w:pPr>
              <w:jc w:val="right"/>
              <w:ind w:right="42"/>
              <w:spacing w:after="0"/>
              <w:rPr>
                <w:sz w:val="20"/>
                <w:szCs w:val="20"/>
                <w:color w:val="auto"/>
              </w:rPr>
            </w:pPr>
            <w:r>
              <w:rPr>
                <w:rFonts w:ascii="Arial" w:cs="Arial" w:eastAsia="Arial" w:hAnsi="Arial"/>
                <w:sz w:val="14"/>
                <w:szCs w:val="14"/>
                <w:b w:val="1"/>
                <w:bCs w:val="1"/>
                <w:color w:val="04568A"/>
              </w:rPr>
              <w:t>Price</w:t>
            </w:r>
          </w:p>
        </w:tc>
        <w:tc>
          <w:tcPr>
            <w:tcW w:w="1060" w:type="dxa"/>
            <w:vAlign w:val="bottom"/>
          </w:tcPr>
          <w:p>
            <w:pPr>
              <w:jc w:val="right"/>
              <w:ind w:right="161"/>
              <w:spacing w:after="0"/>
              <w:rPr>
                <w:sz w:val="20"/>
                <w:szCs w:val="20"/>
                <w:color w:val="auto"/>
              </w:rPr>
            </w:pPr>
            <w:r>
              <w:rPr>
                <w:rFonts w:ascii="Arial" w:cs="Arial" w:eastAsia="Arial" w:hAnsi="Arial"/>
                <w:sz w:val="14"/>
                <w:szCs w:val="14"/>
                <w:b w:val="1"/>
                <w:bCs w:val="1"/>
                <w:color w:val="04568A"/>
              </w:rPr>
              <w:t>Expiration</w:t>
            </w:r>
          </w:p>
        </w:tc>
        <w:tc>
          <w:tcPr>
            <w:tcW w:w="130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04568A"/>
              </w:rPr>
              <w:t>Vested</w:t>
            </w:r>
          </w:p>
        </w:tc>
        <w:tc>
          <w:tcPr>
            <w:tcW w:w="1120" w:type="dxa"/>
            <w:vAlign w:val="bottom"/>
          </w:tcPr>
          <w:p>
            <w:pPr>
              <w:jc w:val="right"/>
              <w:ind w:right="82"/>
              <w:spacing w:after="0" w:line="176" w:lineRule="exact"/>
              <w:rPr>
                <w:sz w:val="20"/>
                <w:szCs w:val="20"/>
                <w:color w:val="auto"/>
              </w:rPr>
            </w:pPr>
            <w:r>
              <w:rPr>
                <w:rFonts w:ascii="Arial" w:cs="Arial" w:eastAsia="Arial" w:hAnsi="Arial"/>
                <w:sz w:val="13"/>
                <w:szCs w:val="13"/>
                <w:b w:val="1"/>
                <w:bCs w:val="1"/>
                <w:color w:val="04568A"/>
              </w:rPr>
              <w:t>Vested</w:t>
            </w:r>
            <w:r>
              <w:rPr>
                <w:rFonts w:ascii="Arial" w:cs="Arial" w:eastAsia="Arial" w:hAnsi="Arial"/>
                <w:sz w:val="20"/>
                <w:szCs w:val="20"/>
                <w:b w:val="1"/>
                <w:bCs w:val="1"/>
                <w:color w:val="04568A"/>
                <w:vertAlign w:val="superscript"/>
              </w:rPr>
              <w:t>(1)</w:t>
            </w:r>
          </w:p>
        </w:tc>
        <w:tc>
          <w:tcPr>
            <w:tcW w:w="1380" w:type="dxa"/>
            <w:vAlign w:val="bottom"/>
          </w:tcPr>
          <w:p>
            <w:pPr>
              <w:jc w:val="right"/>
              <w:ind w:right="205"/>
              <w:spacing w:after="0"/>
              <w:rPr>
                <w:sz w:val="20"/>
                <w:szCs w:val="20"/>
                <w:color w:val="auto"/>
              </w:rPr>
            </w:pPr>
            <w:r>
              <w:rPr>
                <w:rFonts w:ascii="Arial" w:cs="Arial" w:eastAsia="Arial" w:hAnsi="Arial"/>
                <w:sz w:val="14"/>
                <w:szCs w:val="14"/>
                <w:b w:val="1"/>
                <w:bCs w:val="1"/>
                <w:color w:val="04568A"/>
              </w:rPr>
              <w:t>Vested</w:t>
            </w:r>
          </w:p>
        </w:tc>
        <w:tc>
          <w:tcPr>
            <w:tcW w:w="1060" w:type="dxa"/>
            <w:vAlign w:val="bottom"/>
          </w:tcPr>
          <w:p>
            <w:pPr>
              <w:jc w:val="right"/>
              <w:spacing w:after="0"/>
              <w:rPr>
                <w:sz w:val="20"/>
                <w:szCs w:val="20"/>
                <w:color w:val="auto"/>
              </w:rPr>
            </w:pPr>
            <w:r>
              <w:rPr>
                <w:rFonts w:ascii="Arial" w:cs="Arial" w:eastAsia="Arial" w:hAnsi="Arial"/>
                <w:sz w:val="14"/>
                <w:szCs w:val="14"/>
                <w:b w:val="1"/>
                <w:bCs w:val="1"/>
                <w:color w:val="04568A"/>
              </w:rPr>
              <w:t>Vested</w:t>
            </w:r>
          </w:p>
        </w:tc>
        <w:tc>
          <w:tcPr>
            <w:tcW w:w="0" w:type="dxa"/>
            <w:vAlign w:val="bottom"/>
          </w:tcPr>
          <w:p>
            <w:pPr>
              <w:spacing w:after="0"/>
              <w:rPr>
                <w:sz w:val="1"/>
                <w:szCs w:val="1"/>
                <w:color w:val="auto"/>
              </w:rPr>
            </w:pPr>
          </w:p>
        </w:tc>
      </w:tr>
      <w:tr>
        <w:trPr>
          <w:trHeight w:val="175"/>
        </w:trPr>
        <w:tc>
          <w:tcPr>
            <w:tcW w:w="1780" w:type="dxa"/>
            <w:vAlign w:val="bottom"/>
            <w:tcBorders>
              <w:bottom w:val="single" w:sz="8" w:color="04568A"/>
            </w:tcBorders>
          </w:tcPr>
          <w:p>
            <w:pPr>
              <w:ind w:left="60"/>
              <w:spacing w:after="0"/>
              <w:rPr>
                <w:sz w:val="20"/>
                <w:szCs w:val="20"/>
                <w:color w:val="auto"/>
              </w:rPr>
            </w:pPr>
            <w:r>
              <w:rPr>
                <w:rFonts w:ascii="Arial" w:cs="Arial" w:eastAsia="Arial" w:hAnsi="Arial"/>
                <w:sz w:val="14"/>
                <w:szCs w:val="14"/>
                <w:b w:val="1"/>
                <w:bCs w:val="1"/>
                <w:color w:val="04568A"/>
              </w:rPr>
              <w:t>Name</w:t>
            </w:r>
          </w:p>
        </w:tc>
        <w:tc>
          <w:tcPr>
            <w:tcW w:w="1560" w:type="dxa"/>
            <w:vAlign w:val="bottom"/>
            <w:tcBorders>
              <w:bottom w:val="single" w:sz="8" w:color="04568A"/>
            </w:tcBorders>
          </w:tcPr>
          <w:p>
            <w:pPr>
              <w:jc w:val="right"/>
              <w:ind w:right="143"/>
              <w:spacing w:after="0"/>
              <w:rPr>
                <w:sz w:val="20"/>
                <w:szCs w:val="20"/>
                <w:color w:val="auto"/>
              </w:rPr>
            </w:pPr>
            <w:r>
              <w:rPr>
                <w:rFonts w:ascii="Arial" w:cs="Arial" w:eastAsia="Arial" w:hAnsi="Arial"/>
                <w:sz w:val="14"/>
                <w:szCs w:val="14"/>
                <w:b w:val="1"/>
                <w:bCs w:val="1"/>
                <w:color w:val="04568A"/>
              </w:rPr>
              <w:t>(#)</w:t>
            </w:r>
          </w:p>
        </w:tc>
        <w:tc>
          <w:tcPr>
            <w:tcW w:w="1220" w:type="dxa"/>
            <w:vAlign w:val="bottom"/>
            <w:tcBorders>
              <w:bottom w:val="single" w:sz="8" w:color="04568A"/>
            </w:tcBorders>
          </w:tcPr>
          <w:p>
            <w:pPr>
              <w:jc w:val="right"/>
              <w:ind w:right="163"/>
              <w:spacing w:after="0"/>
              <w:rPr>
                <w:sz w:val="20"/>
                <w:szCs w:val="20"/>
                <w:color w:val="auto"/>
              </w:rPr>
            </w:pPr>
            <w:r>
              <w:rPr>
                <w:rFonts w:ascii="Arial" w:cs="Arial" w:eastAsia="Arial" w:hAnsi="Arial"/>
                <w:sz w:val="14"/>
                <w:szCs w:val="14"/>
                <w:b w:val="1"/>
                <w:bCs w:val="1"/>
                <w:color w:val="04568A"/>
              </w:rPr>
              <w:t>(#)</w:t>
            </w:r>
          </w:p>
        </w:tc>
        <w:tc>
          <w:tcPr>
            <w:tcW w:w="760" w:type="dxa"/>
            <w:vAlign w:val="bottom"/>
            <w:tcBorders>
              <w:bottom w:val="single" w:sz="8" w:color="04568A"/>
            </w:tcBorders>
          </w:tcPr>
          <w:p>
            <w:pPr>
              <w:jc w:val="right"/>
              <w:ind w:right="42"/>
              <w:spacing w:after="0"/>
              <w:rPr>
                <w:sz w:val="20"/>
                <w:szCs w:val="20"/>
                <w:color w:val="auto"/>
              </w:rPr>
            </w:pPr>
            <w:r>
              <w:rPr>
                <w:rFonts w:ascii="Arial" w:cs="Arial" w:eastAsia="Arial" w:hAnsi="Arial"/>
                <w:sz w:val="14"/>
                <w:szCs w:val="14"/>
                <w:b w:val="1"/>
                <w:bCs w:val="1"/>
                <w:color w:val="04568A"/>
              </w:rPr>
              <w:t>($)</w:t>
            </w:r>
          </w:p>
        </w:tc>
        <w:tc>
          <w:tcPr>
            <w:tcW w:w="1060" w:type="dxa"/>
            <w:vAlign w:val="bottom"/>
            <w:tcBorders>
              <w:bottom w:val="single" w:sz="8" w:color="04568A"/>
            </w:tcBorders>
          </w:tcPr>
          <w:p>
            <w:pPr>
              <w:jc w:val="right"/>
              <w:ind w:right="161"/>
              <w:spacing w:after="0"/>
              <w:rPr>
                <w:sz w:val="20"/>
                <w:szCs w:val="20"/>
                <w:color w:val="auto"/>
              </w:rPr>
            </w:pPr>
            <w:r>
              <w:rPr>
                <w:rFonts w:ascii="Arial" w:cs="Arial" w:eastAsia="Arial" w:hAnsi="Arial"/>
                <w:sz w:val="14"/>
                <w:szCs w:val="14"/>
                <w:b w:val="1"/>
                <w:bCs w:val="1"/>
                <w:color w:val="04568A"/>
              </w:rPr>
              <w:t>Date</w:t>
            </w:r>
          </w:p>
        </w:tc>
        <w:tc>
          <w:tcPr>
            <w:tcW w:w="1300" w:type="dxa"/>
            <w:vAlign w:val="bottom"/>
            <w:tcBorders>
              <w:bottom w:val="single" w:sz="8" w:color="04568A"/>
            </w:tcBorders>
            <w:gridSpan w:val="2"/>
          </w:tcPr>
          <w:p>
            <w:pPr>
              <w:jc w:val="right"/>
              <w:ind w:right="320"/>
              <w:spacing w:after="0"/>
              <w:rPr>
                <w:sz w:val="20"/>
                <w:szCs w:val="20"/>
                <w:color w:val="auto"/>
              </w:rPr>
            </w:pPr>
            <w:r>
              <w:rPr>
                <w:rFonts w:ascii="Arial" w:cs="Arial" w:eastAsia="Arial" w:hAnsi="Arial"/>
                <w:sz w:val="14"/>
                <w:szCs w:val="14"/>
                <w:b w:val="1"/>
                <w:bCs w:val="1"/>
                <w:color w:val="04568A"/>
              </w:rPr>
              <w:t>(#)</w:t>
            </w:r>
          </w:p>
        </w:tc>
        <w:tc>
          <w:tcPr>
            <w:tcW w:w="1120" w:type="dxa"/>
            <w:vAlign w:val="bottom"/>
            <w:tcBorders>
              <w:bottom w:val="single" w:sz="8" w:color="04568A"/>
            </w:tcBorders>
          </w:tcPr>
          <w:p>
            <w:pPr>
              <w:jc w:val="right"/>
              <w:ind w:right="42"/>
              <w:spacing w:after="0"/>
              <w:rPr>
                <w:sz w:val="20"/>
                <w:szCs w:val="20"/>
                <w:color w:val="auto"/>
              </w:rPr>
            </w:pPr>
            <w:r>
              <w:rPr>
                <w:rFonts w:ascii="Arial" w:cs="Arial" w:eastAsia="Arial" w:hAnsi="Arial"/>
                <w:sz w:val="14"/>
                <w:szCs w:val="14"/>
                <w:b w:val="1"/>
                <w:bCs w:val="1"/>
                <w:color w:val="04568A"/>
              </w:rPr>
              <w:t>($)</w:t>
            </w:r>
          </w:p>
        </w:tc>
        <w:tc>
          <w:tcPr>
            <w:tcW w:w="1380" w:type="dxa"/>
            <w:vAlign w:val="bottom"/>
            <w:tcBorders>
              <w:bottom w:val="single" w:sz="8" w:color="04568A"/>
            </w:tcBorders>
          </w:tcPr>
          <w:p>
            <w:pPr>
              <w:jc w:val="right"/>
              <w:ind w:right="205"/>
              <w:spacing w:after="0"/>
              <w:rPr>
                <w:sz w:val="20"/>
                <w:szCs w:val="20"/>
                <w:color w:val="auto"/>
              </w:rPr>
            </w:pPr>
            <w:r>
              <w:rPr>
                <w:rFonts w:ascii="Arial" w:cs="Arial" w:eastAsia="Arial" w:hAnsi="Arial"/>
                <w:sz w:val="14"/>
                <w:szCs w:val="14"/>
                <w:b w:val="1"/>
                <w:bCs w:val="1"/>
                <w:color w:val="04568A"/>
              </w:rPr>
              <w:t>(#)</w:t>
            </w:r>
          </w:p>
        </w:tc>
        <w:tc>
          <w:tcPr>
            <w:tcW w:w="1060" w:type="dxa"/>
            <w:vAlign w:val="bottom"/>
            <w:tcBorders>
              <w:bottom w:val="single" w:sz="8" w:color="04568A"/>
            </w:tcBorders>
          </w:tcPr>
          <w:p>
            <w:pPr>
              <w:jc w:val="right"/>
              <w:spacing w:after="0"/>
              <w:rPr>
                <w:sz w:val="20"/>
                <w:szCs w:val="20"/>
                <w:color w:val="auto"/>
              </w:rPr>
            </w:pPr>
            <w:r>
              <w:rPr>
                <w:rFonts w:ascii="Arial" w:cs="Arial" w:eastAsia="Arial" w:hAnsi="Arial"/>
                <w:sz w:val="14"/>
                <w:szCs w:val="14"/>
                <w:b w:val="1"/>
                <w:bCs w:val="1"/>
                <w:color w:val="04568A"/>
              </w:rPr>
              <w:t>($)</w:t>
            </w:r>
          </w:p>
        </w:tc>
        <w:tc>
          <w:tcPr>
            <w:tcW w:w="0" w:type="dxa"/>
            <w:vAlign w:val="bottom"/>
          </w:tcPr>
          <w:p>
            <w:pPr>
              <w:spacing w:after="0"/>
              <w:rPr>
                <w:sz w:val="1"/>
                <w:szCs w:val="1"/>
                <w:color w:val="auto"/>
              </w:rPr>
            </w:pPr>
          </w:p>
        </w:tc>
      </w:tr>
      <w:tr>
        <w:trPr>
          <w:trHeight w:val="184"/>
        </w:trPr>
        <w:tc>
          <w:tcPr>
            <w:tcW w:w="1780" w:type="dxa"/>
            <w:vAlign w:val="bottom"/>
          </w:tcPr>
          <w:p>
            <w:pPr>
              <w:ind w:left="60"/>
              <w:spacing w:after="0"/>
              <w:rPr>
                <w:sz w:val="20"/>
                <w:szCs w:val="20"/>
                <w:color w:val="auto"/>
              </w:rPr>
            </w:pPr>
            <w:r>
              <w:rPr>
                <w:rFonts w:ascii="Arial" w:cs="Arial" w:eastAsia="Arial" w:hAnsi="Arial"/>
                <w:sz w:val="16"/>
                <w:szCs w:val="16"/>
                <w:color w:val="auto"/>
              </w:rPr>
              <w:t>Chirag Patel</w:t>
            </w:r>
          </w:p>
        </w:tc>
        <w:tc>
          <w:tcPr>
            <w:tcW w:w="1560" w:type="dxa"/>
            <w:vAlign w:val="bottom"/>
          </w:tcPr>
          <w:p>
            <w:pPr>
              <w:jc w:val="right"/>
              <w:ind w:right="143"/>
              <w:spacing w:after="0"/>
              <w:rPr>
                <w:sz w:val="20"/>
                <w:szCs w:val="20"/>
                <w:color w:val="auto"/>
              </w:rPr>
            </w:pPr>
            <w:r>
              <w:rPr>
                <w:rFonts w:ascii="Arial" w:cs="Arial" w:eastAsia="Arial" w:hAnsi="Arial"/>
                <w:sz w:val="16"/>
                <w:szCs w:val="16"/>
                <w:color w:val="auto"/>
              </w:rPr>
              <w:t>24,977</w:t>
            </w:r>
          </w:p>
        </w:tc>
        <w:tc>
          <w:tcPr>
            <w:tcW w:w="1220" w:type="dxa"/>
            <w:vAlign w:val="bottom"/>
          </w:tcPr>
          <w:p>
            <w:pPr>
              <w:jc w:val="right"/>
              <w:ind w:right="163"/>
              <w:spacing w:after="0"/>
              <w:rPr>
                <w:sz w:val="20"/>
                <w:szCs w:val="20"/>
                <w:color w:val="auto"/>
              </w:rPr>
            </w:pPr>
            <w:r>
              <w:rPr>
                <w:rFonts w:ascii="Arial" w:cs="Arial" w:eastAsia="Arial" w:hAnsi="Arial"/>
                <w:sz w:val="16"/>
                <w:szCs w:val="16"/>
                <w:color w:val="auto"/>
              </w:rPr>
              <w:t>—</w:t>
            </w:r>
          </w:p>
        </w:tc>
        <w:tc>
          <w:tcPr>
            <w:tcW w:w="760" w:type="dxa"/>
            <w:vAlign w:val="bottom"/>
          </w:tcPr>
          <w:p>
            <w:pPr>
              <w:jc w:val="right"/>
              <w:ind w:right="42"/>
              <w:spacing w:after="0"/>
              <w:rPr>
                <w:sz w:val="20"/>
                <w:szCs w:val="20"/>
                <w:color w:val="auto"/>
              </w:rPr>
            </w:pPr>
            <w:r>
              <w:rPr>
                <w:rFonts w:ascii="Arial" w:cs="Arial" w:eastAsia="Arial" w:hAnsi="Arial"/>
                <w:sz w:val="16"/>
                <w:szCs w:val="16"/>
                <w:color w:val="auto"/>
              </w:rPr>
              <w:t>15.01</w:t>
            </w:r>
          </w:p>
        </w:tc>
        <w:tc>
          <w:tcPr>
            <w:tcW w:w="1060" w:type="dxa"/>
            <w:vAlign w:val="bottom"/>
          </w:tcPr>
          <w:p>
            <w:pPr>
              <w:jc w:val="right"/>
              <w:ind w:right="161"/>
              <w:spacing w:after="0"/>
              <w:rPr>
                <w:sz w:val="20"/>
                <w:szCs w:val="20"/>
                <w:color w:val="auto"/>
              </w:rPr>
            </w:pPr>
            <w:r>
              <w:rPr>
                <w:rFonts w:ascii="Arial" w:cs="Arial" w:eastAsia="Arial" w:hAnsi="Arial"/>
                <w:sz w:val="16"/>
                <w:szCs w:val="16"/>
                <w:color w:val="auto"/>
              </w:rPr>
              <w:t>5/7/28</w:t>
            </w:r>
          </w:p>
        </w:tc>
        <w:tc>
          <w:tcPr>
            <w:tcW w:w="9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1780" w:type="dxa"/>
            <w:vAlign w:val="bottom"/>
          </w:tcPr>
          <w:p>
            <w:pPr>
              <w:spacing w:after="0"/>
              <w:rPr>
                <w:sz w:val="16"/>
                <w:szCs w:val="16"/>
                <w:color w:val="auto"/>
              </w:rPr>
            </w:pPr>
          </w:p>
        </w:tc>
        <w:tc>
          <w:tcPr>
            <w:tcW w:w="1560" w:type="dxa"/>
            <w:vAlign w:val="bottom"/>
          </w:tcPr>
          <w:p>
            <w:pPr>
              <w:jc w:val="right"/>
              <w:ind w:right="143"/>
              <w:spacing w:after="0"/>
              <w:rPr>
                <w:sz w:val="20"/>
                <w:szCs w:val="20"/>
                <w:color w:val="auto"/>
              </w:rPr>
            </w:pPr>
            <w:r>
              <w:rPr>
                <w:rFonts w:ascii="Arial" w:cs="Arial" w:eastAsia="Arial" w:hAnsi="Arial"/>
                <w:sz w:val="16"/>
                <w:szCs w:val="16"/>
                <w:color w:val="auto"/>
              </w:rPr>
              <w:t>28,044</w:t>
            </w:r>
          </w:p>
        </w:tc>
        <w:tc>
          <w:tcPr>
            <w:tcW w:w="1220" w:type="dxa"/>
            <w:vAlign w:val="bottom"/>
          </w:tcPr>
          <w:p>
            <w:pPr>
              <w:jc w:val="right"/>
              <w:ind w:right="163"/>
              <w:spacing w:after="0"/>
              <w:rPr>
                <w:sz w:val="20"/>
                <w:szCs w:val="20"/>
                <w:color w:val="auto"/>
              </w:rPr>
            </w:pPr>
            <w:r>
              <w:rPr>
                <w:rFonts w:ascii="Arial" w:cs="Arial" w:eastAsia="Arial" w:hAnsi="Arial"/>
                <w:sz w:val="16"/>
                <w:szCs w:val="16"/>
                <w:color w:val="auto"/>
              </w:rPr>
              <w:t>—</w:t>
            </w:r>
          </w:p>
        </w:tc>
        <w:tc>
          <w:tcPr>
            <w:tcW w:w="760" w:type="dxa"/>
            <w:vAlign w:val="bottom"/>
          </w:tcPr>
          <w:p>
            <w:pPr>
              <w:jc w:val="right"/>
              <w:ind w:right="42"/>
              <w:spacing w:after="0"/>
              <w:rPr>
                <w:sz w:val="20"/>
                <w:szCs w:val="20"/>
                <w:color w:val="auto"/>
              </w:rPr>
            </w:pPr>
            <w:r>
              <w:rPr>
                <w:rFonts w:ascii="Arial" w:cs="Arial" w:eastAsia="Arial" w:hAnsi="Arial"/>
                <w:sz w:val="16"/>
                <w:szCs w:val="16"/>
                <w:color w:val="auto"/>
              </w:rPr>
              <w:t>14.05</w:t>
            </w:r>
          </w:p>
        </w:tc>
        <w:tc>
          <w:tcPr>
            <w:tcW w:w="1060" w:type="dxa"/>
            <w:vAlign w:val="bottom"/>
          </w:tcPr>
          <w:p>
            <w:pPr>
              <w:jc w:val="right"/>
              <w:ind w:right="161"/>
              <w:spacing w:after="0"/>
              <w:rPr>
                <w:sz w:val="20"/>
                <w:szCs w:val="20"/>
                <w:color w:val="auto"/>
              </w:rPr>
            </w:pPr>
            <w:r>
              <w:rPr>
                <w:rFonts w:ascii="Arial" w:cs="Arial" w:eastAsia="Arial" w:hAnsi="Arial"/>
                <w:sz w:val="16"/>
                <w:szCs w:val="16"/>
                <w:color w:val="auto"/>
              </w:rPr>
              <w:t>5/6/29</w:t>
            </w:r>
          </w:p>
        </w:tc>
        <w:tc>
          <w:tcPr>
            <w:tcW w:w="9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1380" w:type="dxa"/>
            <w:vAlign w:val="bottom"/>
            <w:vMerge w:val="restart"/>
          </w:tcPr>
          <w:p>
            <w:pPr>
              <w:jc w:val="right"/>
              <w:spacing w:after="0"/>
              <w:rPr>
                <w:sz w:val="20"/>
                <w:szCs w:val="20"/>
                <w:color w:val="auto"/>
              </w:rPr>
            </w:pPr>
            <w:r>
              <w:rPr>
                <w:rFonts w:ascii="Arial" w:cs="Arial" w:eastAsia="Arial" w:hAnsi="Arial"/>
                <w:sz w:val="16"/>
                <w:szCs w:val="16"/>
                <w:color w:val="auto"/>
              </w:rPr>
              <w:t>316,623</w:t>
            </w:r>
            <w:r>
              <w:rPr>
                <w:rFonts w:ascii="Arial" w:cs="Arial" w:eastAsia="Arial" w:hAnsi="Arial"/>
                <w:sz w:val="26"/>
                <w:szCs w:val="26"/>
                <w:color w:val="auto"/>
                <w:vertAlign w:val="superscript"/>
              </w:rPr>
              <w:t>(11)</w:t>
            </w:r>
          </w:p>
        </w:tc>
        <w:tc>
          <w:tcPr>
            <w:tcW w:w="10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17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1380" w:type="dxa"/>
            <w:vAlign w:val="bottom"/>
            <w:vMerge w:val="continue"/>
          </w:tcPr>
          <w:p>
            <w:pPr>
              <w:spacing w:after="0"/>
              <w:rPr>
                <w:sz w:val="19"/>
                <w:szCs w:val="19"/>
                <w:color w:val="auto"/>
              </w:rPr>
            </w:pPr>
          </w:p>
        </w:tc>
        <w:tc>
          <w:tcPr>
            <w:tcW w:w="1060" w:type="dxa"/>
            <w:vAlign w:val="bottom"/>
          </w:tcPr>
          <w:p>
            <w:pPr>
              <w:jc w:val="right"/>
              <w:spacing w:after="0"/>
              <w:rPr>
                <w:sz w:val="20"/>
                <w:szCs w:val="20"/>
                <w:color w:val="auto"/>
              </w:rPr>
            </w:pPr>
            <w:r>
              <w:rPr>
                <w:rFonts w:ascii="Arial" w:cs="Arial" w:eastAsia="Arial" w:hAnsi="Arial"/>
                <w:sz w:val="16"/>
                <w:szCs w:val="16"/>
                <w:color w:val="auto"/>
              </w:rPr>
              <w:t>1,516,624</w:t>
            </w:r>
          </w:p>
        </w:tc>
        <w:tc>
          <w:tcPr>
            <w:tcW w:w="0" w:type="dxa"/>
            <w:vAlign w:val="bottom"/>
          </w:tcPr>
          <w:p>
            <w:pPr>
              <w:spacing w:after="0"/>
              <w:rPr>
                <w:sz w:val="1"/>
                <w:szCs w:val="1"/>
                <w:color w:val="auto"/>
              </w:rPr>
            </w:pPr>
          </w:p>
        </w:tc>
      </w:tr>
      <w:tr>
        <w:trPr>
          <w:trHeight w:val="230"/>
        </w:trPr>
        <w:tc>
          <w:tcPr>
            <w:tcW w:w="1780" w:type="dxa"/>
            <w:vAlign w:val="bottom"/>
            <w:tcBorders>
              <w:bottom w:val="single" w:sz="8" w:color="04568A"/>
            </w:tcBorders>
          </w:tcPr>
          <w:p>
            <w:pPr>
              <w:spacing w:after="0"/>
              <w:rPr>
                <w:sz w:val="20"/>
                <w:szCs w:val="20"/>
                <w:color w:val="auto"/>
              </w:rPr>
            </w:pPr>
          </w:p>
        </w:tc>
        <w:tc>
          <w:tcPr>
            <w:tcW w:w="1560" w:type="dxa"/>
            <w:vAlign w:val="bottom"/>
            <w:tcBorders>
              <w:bottom w:val="single" w:sz="8" w:color="04568A"/>
            </w:tcBorders>
          </w:tcPr>
          <w:p>
            <w:pPr>
              <w:spacing w:after="0"/>
              <w:rPr>
                <w:sz w:val="20"/>
                <w:szCs w:val="20"/>
                <w:color w:val="auto"/>
              </w:rPr>
            </w:pPr>
          </w:p>
        </w:tc>
        <w:tc>
          <w:tcPr>
            <w:tcW w:w="1220" w:type="dxa"/>
            <w:vAlign w:val="bottom"/>
            <w:tcBorders>
              <w:bottom w:val="single" w:sz="8" w:color="04568A"/>
            </w:tcBorders>
          </w:tcPr>
          <w:p>
            <w:pPr>
              <w:spacing w:after="0"/>
              <w:rPr>
                <w:sz w:val="20"/>
                <w:szCs w:val="20"/>
                <w:color w:val="auto"/>
              </w:rPr>
            </w:pPr>
          </w:p>
        </w:tc>
        <w:tc>
          <w:tcPr>
            <w:tcW w:w="760" w:type="dxa"/>
            <w:vAlign w:val="bottom"/>
            <w:tcBorders>
              <w:bottom w:val="single" w:sz="8" w:color="04568A"/>
            </w:tcBorders>
          </w:tcPr>
          <w:p>
            <w:pPr>
              <w:spacing w:after="0"/>
              <w:rPr>
                <w:sz w:val="20"/>
                <w:szCs w:val="20"/>
                <w:color w:val="auto"/>
              </w:rPr>
            </w:pPr>
          </w:p>
        </w:tc>
        <w:tc>
          <w:tcPr>
            <w:tcW w:w="1060" w:type="dxa"/>
            <w:vAlign w:val="bottom"/>
            <w:tcBorders>
              <w:bottom w:val="single" w:sz="8" w:color="04568A"/>
            </w:tcBorders>
          </w:tcPr>
          <w:p>
            <w:pPr>
              <w:spacing w:after="0"/>
              <w:rPr>
                <w:sz w:val="20"/>
                <w:szCs w:val="20"/>
                <w:color w:val="auto"/>
              </w:rPr>
            </w:pPr>
          </w:p>
        </w:tc>
        <w:tc>
          <w:tcPr>
            <w:tcW w:w="980" w:type="dxa"/>
            <w:vAlign w:val="bottom"/>
            <w:tcBorders>
              <w:bottom w:val="single" w:sz="8" w:color="04568A"/>
            </w:tcBorders>
          </w:tcPr>
          <w:p>
            <w:pPr>
              <w:spacing w:after="0"/>
              <w:rPr>
                <w:sz w:val="20"/>
                <w:szCs w:val="20"/>
                <w:color w:val="auto"/>
              </w:rPr>
            </w:pPr>
          </w:p>
        </w:tc>
        <w:tc>
          <w:tcPr>
            <w:tcW w:w="320" w:type="dxa"/>
            <w:vAlign w:val="bottom"/>
            <w:tcBorders>
              <w:bottom w:val="single" w:sz="8" w:color="04568A"/>
            </w:tcBorders>
          </w:tcPr>
          <w:p>
            <w:pPr>
              <w:spacing w:after="0"/>
              <w:rPr>
                <w:sz w:val="20"/>
                <w:szCs w:val="20"/>
                <w:color w:val="auto"/>
              </w:rPr>
            </w:pPr>
          </w:p>
        </w:tc>
        <w:tc>
          <w:tcPr>
            <w:tcW w:w="1120" w:type="dxa"/>
            <w:vAlign w:val="bottom"/>
            <w:tcBorders>
              <w:bottom w:val="single" w:sz="8" w:color="04568A"/>
            </w:tcBorders>
          </w:tcPr>
          <w:p>
            <w:pPr>
              <w:spacing w:after="0"/>
              <w:rPr>
                <w:sz w:val="20"/>
                <w:szCs w:val="20"/>
                <w:color w:val="auto"/>
              </w:rPr>
            </w:pPr>
          </w:p>
        </w:tc>
        <w:tc>
          <w:tcPr>
            <w:tcW w:w="1380" w:type="dxa"/>
            <w:vAlign w:val="bottom"/>
            <w:tcBorders>
              <w:bottom w:val="single" w:sz="8" w:color="04568A"/>
            </w:tcBorders>
          </w:tcPr>
          <w:p>
            <w:pPr>
              <w:jc w:val="right"/>
              <w:spacing w:after="0" w:line="230" w:lineRule="exact"/>
              <w:rPr>
                <w:sz w:val="20"/>
                <w:szCs w:val="20"/>
                <w:color w:val="auto"/>
              </w:rPr>
            </w:pPr>
            <w:r>
              <w:rPr>
                <w:rFonts w:ascii="Arial" w:cs="Arial" w:eastAsia="Arial" w:hAnsi="Arial"/>
                <w:sz w:val="16"/>
                <w:szCs w:val="16"/>
                <w:color w:val="auto"/>
              </w:rPr>
              <w:t>231,660</w:t>
            </w:r>
            <w:r>
              <w:rPr>
                <w:rFonts w:ascii="Arial" w:cs="Arial" w:eastAsia="Arial" w:hAnsi="Arial"/>
                <w:sz w:val="26"/>
                <w:szCs w:val="26"/>
                <w:color w:val="auto"/>
                <w:vertAlign w:val="superscript"/>
              </w:rPr>
              <w:t>(12)</w:t>
            </w:r>
          </w:p>
        </w:tc>
        <w:tc>
          <w:tcPr>
            <w:tcW w:w="1060" w:type="dxa"/>
            <w:vAlign w:val="bottom"/>
            <w:tcBorders>
              <w:bottom w:val="single" w:sz="8" w:color="04568A"/>
            </w:tcBorders>
          </w:tcPr>
          <w:p>
            <w:pPr>
              <w:jc w:val="right"/>
              <w:spacing w:after="0"/>
              <w:rPr>
                <w:sz w:val="20"/>
                <w:szCs w:val="20"/>
                <w:color w:val="auto"/>
              </w:rPr>
            </w:pPr>
            <w:r>
              <w:rPr>
                <w:rFonts w:ascii="Arial" w:cs="Arial" w:eastAsia="Arial" w:hAnsi="Arial"/>
                <w:sz w:val="16"/>
                <w:szCs w:val="16"/>
                <w:color w:val="auto"/>
              </w:rPr>
              <w:t>1,109,651</w:t>
            </w:r>
          </w:p>
        </w:tc>
        <w:tc>
          <w:tcPr>
            <w:tcW w:w="0" w:type="dxa"/>
            <w:vAlign w:val="bottom"/>
          </w:tcPr>
          <w:p>
            <w:pPr>
              <w:spacing w:after="0"/>
              <w:rPr>
                <w:sz w:val="1"/>
                <w:szCs w:val="1"/>
                <w:color w:val="auto"/>
              </w:rPr>
            </w:pPr>
          </w:p>
        </w:tc>
      </w:tr>
      <w:tr>
        <w:trPr>
          <w:trHeight w:val="183"/>
        </w:trPr>
        <w:tc>
          <w:tcPr>
            <w:tcW w:w="1780" w:type="dxa"/>
            <w:vAlign w:val="bottom"/>
            <w:shd w:val="clear" w:color="auto" w:fill="E4E9F2"/>
          </w:tcPr>
          <w:p>
            <w:pPr>
              <w:ind w:left="60"/>
              <w:spacing w:after="0" w:line="183" w:lineRule="exact"/>
              <w:rPr>
                <w:sz w:val="20"/>
                <w:szCs w:val="20"/>
                <w:color w:val="auto"/>
              </w:rPr>
            </w:pPr>
            <w:r>
              <w:rPr>
                <w:rFonts w:ascii="Arial" w:cs="Arial" w:eastAsia="Arial" w:hAnsi="Arial"/>
                <w:sz w:val="16"/>
                <w:szCs w:val="16"/>
                <w:color w:val="auto"/>
              </w:rPr>
              <w:t>Chintu Patel</w:t>
            </w:r>
          </w:p>
        </w:tc>
        <w:tc>
          <w:tcPr>
            <w:tcW w:w="1560" w:type="dxa"/>
            <w:vAlign w:val="bottom"/>
            <w:shd w:val="clear" w:color="auto" w:fill="E4E9F2"/>
          </w:tcPr>
          <w:p>
            <w:pPr>
              <w:jc w:val="right"/>
              <w:ind w:right="143"/>
              <w:spacing w:after="0" w:line="183" w:lineRule="exact"/>
              <w:rPr>
                <w:sz w:val="20"/>
                <w:szCs w:val="20"/>
                <w:color w:val="auto"/>
              </w:rPr>
            </w:pPr>
            <w:r>
              <w:rPr>
                <w:rFonts w:ascii="Arial" w:cs="Arial" w:eastAsia="Arial" w:hAnsi="Arial"/>
                <w:sz w:val="16"/>
                <w:szCs w:val="16"/>
                <w:color w:val="auto"/>
              </w:rPr>
              <w:t>24,977</w:t>
            </w:r>
          </w:p>
        </w:tc>
        <w:tc>
          <w:tcPr>
            <w:tcW w:w="1220" w:type="dxa"/>
            <w:vAlign w:val="bottom"/>
            <w:shd w:val="clear" w:color="auto" w:fill="E4E9F2"/>
          </w:tcPr>
          <w:p>
            <w:pPr>
              <w:jc w:val="right"/>
              <w:ind w:right="163"/>
              <w:spacing w:after="0" w:line="183" w:lineRule="exact"/>
              <w:rPr>
                <w:sz w:val="20"/>
                <w:szCs w:val="20"/>
                <w:color w:val="auto"/>
              </w:rPr>
            </w:pPr>
            <w:r>
              <w:rPr>
                <w:rFonts w:ascii="Arial" w:cs="Arial" w:eastAsia="Arial" w:hAnsi="Arial"/>
                <w:sz w:val="16"/>
                <w:szCs w:val="16"/>
                <w:color w:val="auto"/>
              </w:rPr>
              <w:t>—</w:t>
            </w:r>
          </w:p>
        </w:tc>
        <w:tc>
          <w:tcPr>
            <w:tcW w:w="760" w:type="dxa"/>
            <w:vAlign w:val="bottom"/>
            <w:shd w:val="clear" w:color="auto" w:fill="E4E9F2"/>
          </w:tcPr>
          <w:p>
            <w:pPr>
              <w:jc w:val="right"/>
              <w:ind w:right="42"/>
              <w:spacing w:after="0" w:line="183" w:lineRule="exact"/>
              <w:rPr>
                <w:sz w:val="20"/>
                <w:szCs w:val="20"/>
                <w:color w:val="auto"/>
              </w:rPr>
            </w:pPr>
            <w:r>
              <w:rPr>
                <w:rFonts w:ascii="Arial" w:cs="Arial" w:eastAsia="Arial" w:hAnsi="Arial"/>
                <w:sz w:val="16"/>
                <w:szCs w:val="16"/>
                <w:color w:val="auto"/>
              </w:rPr>
              <w:t>15.01</w:t>
            </w:r>
          </w:p>
        </w:tc>
        <w:tc>
          <w:tcPr>
            <w:tcW w:w="1060" w:type="dxa"/>
            <w:vAlign w:val="bottom"/>
            <w:shd w:val="clear" w:color="auto" w:fill="E4E9F2"/>
          </w:tcPr>
          <w:p>
            <w:pPr>
              <w:jc w:val="right"/>
              <w:ind w:right="161"/>
              <w:spacing w:after="0" w:line="183" w:lineRule="exact"/>
              <w:rPr>
                <w:sz w:val="20"/>
                <w:szCs w:val="20"/>
                <w:color w:val="auto"/>
              </w:rPr>
            </w:pPr>
            <w:r>
              <w:rPr>
                <w:rFonts w:ascii="Arial" w:cs="Arial" w:eastAsia="Arial" w:hAnsi="Arial"/>
                <w:sz w:val="16"/>
                <w:szCs w:val="16"/>
                <w:color w:val="auto"/>
              </w:rPr>
              <w:t>5/7/28</w:t>
            </w:r>
          </w:p>
        </w:tc>
        <w:tc>
          <w:tcPr>
            <w:tcW w:w="980" w:type="dxa"/>
            <w:vAlign w:val="bottom"/>
            <w:shd w:val="clear" w:color="auto" w:fill="E4E9F2"/>
          </w:tcPr>
          <w:p>
            <w:pPr>
              <w:spacing w:after="0"/>
              <w:rPr>
                <w:sz w:val="15"/>
                <w:szCs w:val="15"/>
                <w:color w:val="auto"/>
              </w:rPr>
            </w:pPr>
          </w:p>
        </w:tc>
        <w:tc>
          <w:tcPr>
            <w:tcW w:w="320" w:type="dxa"/>
            <w:vAlign w:val="bottom"/>
            <w:shd w:val="clear" w:color="auto" w:fill="E4E9F2"/>
          </w:tcPr>
          <w:p>
            <w:pPr>
              <w:spacing w:after="0"/>
              <w:rPr>
                <w:sz w:val="15"/>
                <w:szCs w:val="15"/>
                <w:color w:val="auto"/>
              </w:rPr>
            </w:pPr>
          </w:p>
        </w:tc>
        <w:tc>
          <w:tcPr>
            <w:tcW w:w="1120" w:type="dxa"/>
            <w:vAlign w:val="bottom"/>
            <w:shd w:val="clear" w:color="auto" w:fill="E4E9F2"/>
          </w:tcPr>
          <w:p>
            <w:pPr>
              <w:spacing w:after="0"/>
              <w:rPr>
                <w:sz w:val="15"/>
                <w:szCs w:val="15"/>
                <w:color w:val="auto"/>
              </w:rPr>
            </w:pPr>
          </w:p>
        </w:tc>
        <w:tc>
          <w:tcPr>
            <w:tcW w:w="1380" w:type="dxa"/>
            <w:vAlign w:val="bottom"/>
            <w:shd w:val="clear" w:color="auto" w:fill="E4E9F2"/>
          </w:tcPr>
          <w:p>
            <w:pPr>
              <w:spacing w:after="0"/>
              <w:rPr>
                <w:sz w:val="15"/>
                <w:szCs w:val="15"/>
                <w:color w:val="auto"/>
              </w:rPr>
            </w:pPr>
          </w:p>
        </w:tc>
        <w:tc>
          <w:tcPr>
            <w:tcW w:w="1060" w:type="dxa"/>
            <w:vAlign w:val="bottom"/>
            <w:shd w:val="clear" w:color="auto" w:fill="E4E9F2"/>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1780" w:type="dxa"/>
            <w:vAlign w:val="bottom"/>
            <w:shd w:val="clear" w:color="auto" w:fill="E4E9F2"/>
          </w:tcPr>
          <w:p>
            <w:pPr>
              <w:spacing w:after="0"/>
              <w:rPr>
                <w:sz w:val="16"/>
                <w:szCs w:val="16"/>
                <w:color w:val="auto"/>
              </w:rPr>
            </w:pPr>
          </w:p>
        </w:tc>
        <w:tc>
          <w:tcPr>
            <w:tcW w:w="1560" w:type="dxa"/>
            <w:vAlign w:val="bottom"/>
            <w:shd w:val="clear" w:color="auto" w:fill="E4E9F2"/>
          </w:tcPr>
          <w:p>
            <w:pPr>
              <w:jc w:val="right"/>
              <w:ind w:right="143"/>
              <w:spacing w:after="0"/>
              <w:rPr>
                <w:sz w:val="20"/>
                <w:szCs w:val="20"/>
                <w:color w:val="auto"/>
              </w:rPr>
            </w:pPr>
            <w:r>
              <w:rPr>
                <w:rFonts w:ascii="Arial" w:cs="Arial" w:eastAsia="Arial" w:hAnsi="Arial"/>
                <w:sz w:val="16"/>
                <w:szCs w:val="16"/>
                <w:color w:val="auto"/>
              </w:rPr>
              <w:t>28,044</w:t>
            </w:r>
          </w:p>
        </w:tc>
        <w:tc>
          <w:tcPr>
            <w:tcW w:w="1220" w:type="dxa"/>
            <w:vAlign w:val="bottom"/>
            <w:shd w:val="clear" w:color="auto" w:fill="E4E9F2"/>
          </w:tcPr>
          <w:p>
            <w:pPr>
              <w:jc w:val="right"/>
              <w:ind w:right="163"/>
              <w:spacing w:after="0"/>
              <w:rPr>
                <w:sz w:val="20"/>
                <w:szCs w:val="20"/>
                <w:color w:val="auto"/>
              </w:rPr>
            </w:pPr>
            <w:r>
              <w:rPr>
                <w:rFonts w:ascii="Arial" w:cs="Arial" w:eastAsia="Arial" w:hAnsi="Arial"/>
                <w:sz w:val="16"/>
                <w:szCs w:val="16"/>
                <w:color w:val="auto"/>
              </w:rPr>
              <w:t>—</w:t>
            </w:r>
          </w:p>
        </w:tc>
        <w:tc>
          <w:tcPr>
            <w:tcW w:w="76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14.05</w:t>
            </w:r>
          </w:p>
        </w:tc>
        <w:tc>
          <w:tcPr>
            <w:tcW w:w="1060" w:type="dxa"/>
            <w:vAlign w:val="bottom"/>
            <w:shd w:val="clear" w:color="auto" w:fill="E4E9F2"/>
          </w:tcPr>
          <w:p>
            <w:pPr>
              <w:jc w:val="right"/>
              <w:ind w:right="161"/>
              <w:spacing w:after="0"/>
              <w:rPr>
                <w:sz w:val="20"/>
                <w:szCs w:val="20"/>
                <w:color w:val="auto"/>
              </w:rPr>
            </w:pPr>
            <w:r>
              <w:rPr>
                <w:rFonts w:ascii="Arial" w:cs="Arial" w:eastAsia="Arial" w:hAnsi="Arial"/>
                <w:sz w:val="16"/>
                <w:szCs w:val="16"/>
                <w:color w:val="auto"/>
              </w:rPr>
              <w:t>5/6/29</w:t>
            </w:r>
          </w:p>
        </w:tc>
        <w:tc>
          <w:tcPr>
            <w:tcW w:w="980" w:type="dxa"/>
            <w:vAlign w:val="bottom"/>
            <w:shd w:val="clear" w:color="auto" w:fill="E4E9F2"/>
          </w:tcPr>
          <w:p>
            <w:pPr>
              <w:spacing w:after="0"/>
              <w:rPr>
                <w:sz w:val="16"/>
                <w:szCs w:val="16"/>
                <w:color w:val="auto"/>
              </w:rPr>
            </w:pPr>
          </w:p>
        </w:tc>
        <w:tc>
          <w:tcPr>
            <w:tcW w:w="320" w:type="dxa"/>
            <w:vAlign w:val="bottom"/>
            <w:shd w:val="clear" w:color="auto" w:fill="E4E9F2"/>
          </w:tcPr>
          <w:p>
            <w:pPr>
              <w:spacing w:after="0"/>
              <w:rPr>
                <w:sz w:val="16"/>
                <w:szCs w:val="16"/>
                <w:color w:val="auto"/>
              </w:rPr>
            </w:pPr>
          </w:p>
        </w:tc>
        <w:tc>
          <w:tcPr>
            <w:tcW w:w="1120" w:type="dxa"/>
            <w:vAlign w:val="bottom"/>
            <w:shd w:val="clear" w:color="auto" w:fill="E4E9F2"/>
          </w:tcPr>
          <w:p>
            <w:pPr>
              <w:spacing w:after="0"/>
              <w:rPr>
                <w:sz w:val="16"/>
                <w:szCs w:val="16"/>
                <w:color w:val="auto"/>
              </w:rPr>
            </w:pPr>
          </w:p>
        </w:tc>
        <w:tc>
          <w:tcPr>
            <w:tcW w:w="1380" w:type="dxa"/>
            <w:vAlign w:val="bottom"/>
            <w:vMerge w:val="restart"/>
            <w:shd w:val="clear" w:color="auto" w:fill="E4E9F2"/>
          </w:tcPr>
          <w:p>
            <w:pPr>
              <w:jc w:val="right"/>
              <w:spacing w:after="0"/>
              <w:rPr>
                <w:sz w:val="20"/>
                <w:szCs w:val="20"/>
                <w:color w:val="auto"/>
              </w:rPr>
            </w:pPr>
            <w:r>
              <w:rPr>
                <w:rFonts w:ascii="Arial" w:cs="Arial" w:eastAsia="Arial" w:hAnsi="Arial"/>
                <w:sz w:val="16"/>
                <w:szCs w:val="16"/>
                <w:color w:val="auto"/>
              </w:rPr>
              <w:t>316,623</w:t>
            </w:r>
            <w:r>
              <w:rPr>
                <w:rFonts w:ascii="Arial" w:cs="Arial" w:eastAsia="Arial" w:hAnsi="Arial"/>
                <w:sz w:val="26"/>
                <w:szCs w:val="26"/>
                <w:color w:val="auto"/>
                <w:vertAlign w:val="superscript"/>
              </w:rPr>
              <w:t>(11)</w:t>
            </w:r>
          </w:p>
        </w:tc>
        <w:tc>
          <w:tcPr>
            <w:tcW w:w="1060" w:type="dxa"/>
            <w:vAlign w:val="bottom"/>
            <w:shd w:val="clear" w:color="auto" w:fill="E4E9F2"/>
          </w:tcPr>
          <w:p>
            <w:pPr>
              <w:spacing w:after="0"/>
              <w:rPr>
                <w:sz w:val="16"/>
                <w:szCs w:val="16"/>
                <w:color w:val="auto"/>
              </w:rPr>
            </w:pPr>
          </w:p>
        </w:tc>
        <w:tc>
          <w:tcPr>
            <w:tcW w:w="0" w:type="dxa"/>
            <w:vAlign w:val="bottom"/>
          </w:tcPr>
          <w:p>
            <w:pPr>
              <w:spacing w:after="0"/>
              <w:rPr>
                <w:sz w:val="1"/>
                <w:szCs w:val="1"/>
                <w:color w:val="auto"/>
              </w:rPr>
            </w:pPr>
          </w:p>
        </w:tc>
      </w:tr>
      <w:tr>
        <w:trPr>
          <w:trHeight w:val="229"/>
        </w:trPr>
        <w:tc>
          <w:tcPr>
            <w:tcW w:w="1780" w:type="dxa"/>
            <w:vAlign w:val="bottom"/>
            <w:shd w:val="clear" w:color="auto" w:fill="E4E9F2"/>
          </w:tcPr>
          <w:p>
            <w:pPr>
              <w:spacing w:after="0"/>
              <w:rPr>
                <w:sz w:val="19"/>
                <w:szCs w:val="19"/>
                <w:color w:val="auto"/>
              </w:rPr>
            </w:pPr>
          </w:p>
        </w:tc>
        <w:tc>
          <w:tcPr>
            <w:tcW w:w="1560" w:type="dxa"/>
            <w:vAlign w:val="bottom"/>
            <w:shd w:val="clear" w:color="auto" w:fill="E4E9F2"/>
          </w:tcPr>
          <w:p>
            <w:pPr>
              <w:spacing w:after="0"/>
              <w:rPr>
                <w:sz w:val="19"/>
                <w:szCs w:val="19"/>
                <w:color w:val="auto"/>
              </w:rPr>
            </w:pPr>
          </w:p>
        </w:tc>
        <w:tc>
          <w:tcPr>
            <w:tcW w:w="1220" w:type="dxa"/>
            <w:vAlign w:val="bottom"/>
            <w:shd w:val="clear" w:color="auto" w:fill="E4E9F2"/>
          </w:tcPr>
          <w:p>
            <w:pPr>
              <w:spacing w:after="0"/>
              <w:rPr>
                <w:sz w:val="19"/>
                <w:szCs w:val="19"/>
                <w:color w:val="auto"/>
              </w:rPr>
            </w:pPr>
          </w:p>
        </w:tc>
        <w:tc>
          <w:tcPr>
            <w:tcW w:w="76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980" w:type="dxa"/>
            <w:vAlign w:val="bottom"/>
            <w:shd w:val="clear" w:color="auto" w:fill="E4E9F2"/>
          </w:tcPr>
          <w:p>
            <w:pPr>
              <w:spacing w:after="0"/>
              <w:rPr>
                <w:sz w:val="19"/>
                <w:szCs w:val="19"/>
                <w:color w:val="auto"/>
              </w:rPr>
            </w:pPr>
          </w:p>
        </w:tc>
        <w:tc>
          <w:tcPr>
            <w:tcW w:w="320" w:type="dxa"/>
            <w:vAlign w:val="bottom"/>
            <w:shd w:val="clear" w:color="auto" w:fill="E4E9F2"/>
          </w:tcPr>
          <w:p>
            <w:pPr>
              <w:spacing w:after="0"/>
              <w:rPr>
                <w:sz w:val="19"/>
                <w:szCs w:val="19"/>
                <w:color w:val="auto"/>
              </w:rPr>
            </w:pPr>
          </w:p>
        </w:tc>
        <w:tc>
          <w:tcPr>
            <w:tcW w:w="1120" w:type="dxa"/>
            <w:vAlign w:val="bottom"/>
            <w:shd w:val="clear" w:color="auto" w:fill="E4E9F2"/>
          </w:tcPr>
          <w:p>
            <w:pPr>
              <w:spacing w:after="0"/>
              <w:rPr>
                <w:sz w:val="19"/>
                <w:szCs w:val="19"/>
                <w:color w:val="auto"/>
              </w:rPr>
            </w:pPr>
          </w:p>
        </w:tc>
        <w:tc>
          <w:tcPr>
            <w:tcW w:w="1380" w:type="dxa"/>
            <w:vAlign w:val="bottom"/>
            <w:vMerge w:val="continue"/>
            <w:shd w:val="clear" w:color="auto" w:fill="E4E9F2"/>
          </w:tcPr>
          <w:p>
            <w:pPr>
              <w:spacing w:after="0"/>
              <w:rPr>
                <w:sz w:val="19"/>
                <w:szCs w:val="19"/>
                <w:color w:val="auto"/>
              </w:rPr>
            </w:pPr>
          </w:p>
        </w:tc>
        <w:tc>
          <w:tcPr>
            <w:tcW w:w="10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1,516,624</w:t>
            </w:r>
          </w:p>
        </w:tc>
        <w:tc>
          <w:tcPr>
            <w:tcW w:w="0" w:type="dxa"/>
            <w:vAlign w:val="bottom"/>
          </w:tcPr>
          <w:p>
            <w:pPr>
              <w:spacing w:after="0"/>
              <w:rPr>
                <w:sz w:val="1"/>
                <w:szCs w:val="1"/>
                <w:color w:val="auto"/>
              </w:rPr>
            </w:pPr>
          </w:p>
        </w:tc>
      </w:tr>
      <w:tr>
        <w:trPr>
          <w:trHeight w:val="230"/>
        </w:trPr>
        <w:tc>
          <w:tcPr>
            <w:tcW w:w="1780" w:type="dxa"/>
            <w:vAlign w:val="bottom"/>
            <w:tcBorders>
              <w:bottom w:val="single" w:sz="8" w:color="04568A"/>
            </w:tcBorders>
            <w:shd w:val="clear" w:color="auto" w:fill="E4E9F2"/>
          </w:tcPr>
          <w:p>
            <w:pPr>
              <w:spacing w:after="0"/>
              <w:rPr>
                <w:sz w:val="20"/>
                <w:szCs w:val="20"/>
                <w:color w:val="auto"/>
              </w:rPr>
            </w:pPr>
          </w:p>
        </w:tc>
        <w:tc>
          <w:tcPr>
            <w:tcW w:w="1560" w:type="dxa"/>
            <w:vAlign w:val="bottom"/>
            <w:tcBorders>
              <w:bottom w:val="single" w:sz="8" w:color="04568A"/>
            </w:tcBorders>
            <w:shd w:val="clear" w:color="auto" w:fill="E4E9F2"/>
          </w:tcPr>
          <w:p>
            <w:pPr>
              <w:spacing w:after="0"/>
              <w:rPr>
                <w:sz w:val="20"/>
                <w:szCs w:val="20"/>
                <w:color w:val="auto"/>
              </w:rPr>
            </w:pPr>
          </w:p>
        </w:tc>
        <w:tc>
          <w:tcPr>
            <w:tcW w:w="1220" w:type="dxa"/>
            <w:vAlign w:val="bottom"/>
            <w:tcBorders>
              <w:bottom w:val="single" w:sz="8" w:color="04568A"/>
            </w:tcBorders>
            <w:shd w:val="clear" w:color="auto" w:fill="E4E9F2"/>
          </w:tcPr>
          <w:p>
            <w:pPr>
              <w:spacing w:after="0"/>
              <w:rPr>
                <w:sz w:val="20"/>
                <w:szCs w:val="20"/>
                <w:color w:val="auto"/>
              </w:rPr>
            </w:pPr>
          </w:p>
        </w:tc>
        <w:tc>
          <w:tcPr>
            <w:tcW w:w="760" w:type="dxa"/>
            <w:vAlign w:val="bottom"/>
            <w:tcBorders>
              <w:bottom w:val="single" w:sz="8" w:color="04568A"/>
            </w:tcBorders>
            <w:shd w:val="clear" w:color="auto" w:fill="E4E9F2"/>
          </w:tcPr>
          <w:p>
            <w:pPr>
              <w:spacing w:after="0"/>
              <w:rPr>
                <w:sz w:val="20"/>
                <w:szCs w:val="20"/>
                <w:color w:val="auto"/>
              </w:rPr>
            </w:pPr>
          </w:p>
        </w:tc>
        <w:tc>
          <w:tcPr>
            <w:tcW w:w="1060" w:type="dxa"/>
            <w:vAlign w:val="bottom"/>
            <w:tcBorders>
              <w:bottom w:val="single" w:sz="8" w:color="04568A"/>
            </w:tcBorders>
            <w:shd w:val="clear" w:color="auto" w:fill="E4E9F2"/>
          </w:tcPr>
          <w:p>
            <w:pPr>
              <w:spacing w:after="0"/>
              <w:rPr>
                <w:sz w:val="20"/>
                <w:szCs w:val="20"/>
                <w:color w:val="auto"/>
              </w:rPr>
            </w:pPr>
          </w:p>
        </w:tc>
        <w:tc>
          <w:tcPr>
            <w:tcW w:w="980" w:type="dxa"/>
            <w:vAlign w:val="bottom"/>
            <w:tcBorders>
              <w:bottom w:val="single" w:sz="8" w:color="04568A"/>
            </w:tcBorders>
            <w:shd w:val="clear" w:color="auto" w:fill="E4E9F2"/>
          </w:tcPr>
          <w:p>
            <w:pPr>
              <w:spacing w:after="0"/>
              <w:rPr>
                <w:sz w:val="20"/>
                <w:szCs w:val="20"/>
                <w:color w:val="auto"/>
              </w:rPr>
            </w:pPr>
          </w:p>
        </w:tc>
        <w:tc>
          <w:tcPr>
            <w:tcW w:w="320" w:type="dxa"/>
            <w:vAlign w:val="bottom"/>
            <w:tcBorders>
              <w:bottom w:val="single" w:sz="8" w:color="04568A"/>
            </w:tcBorders>
            <w:shd w:val="clear" w:color="auto" w:fill="E4E9F2"/>
          </w:tcPr>
          <w:p>
            <w:pPr>
              <w:spacing w:after="0"/>
              <w:rPr>
                <w:sz w:val="20"/>
                <w:szCs w:val="20"/>
                <w:color w:val="auto"/>
              </w:rPr>
            </w:pPr>
          </w:p>
        </w:tc>
        <w:tc>
          <w:tcPr>
            <w:tcW w:w="1120" w:type="dxa"/>
            <w:vAlign w:val="bottom"/>
            <w:tcBorders>
              <w:bottom w:val="single" w:sz="8" w:color="04568A"/>
            </w:tcBorders>
            <w:shd w:val="clear" w:color="auto" w:fill="E4E9F2"/>
          </w:tcPr>
          <w:p>
            <w:pPr>
              <w:spacing w:after="0"/>
              <w:rPr>
                <w:sz w:val="20"/>
                <w:szCs w:val="20"/>
                <w:color w:val="auto"/>
              </w:rPr>
            </w:pPr>
          </w:p>
        </w:tc>
        <w:tc>
          <w:tcPr>
            <w:tcW w:w="1380" w:type="dxa"/>
            <w:vAlign w:val="bottom"/>
            <w:tcBorders>
              <w:bottom w:val="single" w:sz="8" w:color="04568A"/>
            </w:tcBorders>
            <w:shd w:val="clear" w:color="auto" w:fill="E4E9F2"/>
          </w:tcPr>
          <w:p>
            <w:pPr>
              <w:jc w:val="right"/>
              <w:spacing w:after="0" w:line="230" w:lineRule="exact"/>
              <w:rPr>
                <w:sz w:val="20"/>
                <w:szCs w:val="20"/>
                <w:color w:val="auto"/>
              </w:rPr>
            </w:pPr>
            <w:r>
              <w:rPr>
                <w:rFonts w:ascii="Arial" w:cs="Arial" w:eastAsia="Arial" w:hAnsi="Arial"/>
                <w:sz w:val="16"/>
                <w:szCs w:val="16"/>
                <w:color w:val="auto"/>
              </w:rPr>
              <w:t>231,660</w:t>
            </w:r>
            <w:r>
              <w:rPr>
                <w:rFonts w:ascii="Arial" w:cs="Arial" w:eastAsia="Arial" w:hAnsi="Arial"/>
                <w:sz w:val="26"/>
                <w:szCs w:val="26"/>
                <w:color w:val="auto"/>
                <w:vertAlign w:val="superscript"/>
              </w:rPr>
              <w:t>(12)</w:t>
            </w:r>
          </w:p>
        </w:tc>
        <w:tc>
          <w:tcPr>
            <w:tcW w:w="106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1,109,651</w:t>
            </w:r>
          </w:p>
        </w:tc>
        <w:tc>
          <w:tcPr>
            <w:tcW w:w="0" w:type="dxa"/>
            <w:vAlign w:val="bottom"/>
          </w:tcPr>
          <w:p>
            <w:pPr>
              <w:spacing w:after="0"/>
              <w:rPr>
                <w:sz w:val="1"/>
                <w:szCs w:val="1"/>
                <w:color w:val="auto"/>
              </w:rPr>
            </w:pPr>
          </w:p>
        </w:tc>
      </w:tr>
      <w:tr>
        <w:trPr>
          <w:trHeight w:val="222"/>
        </w:trPr>
        <w:tc>
          <w:tcPr>
            <w:tcW w:w="1780" w:type="dxa"/>
            <w:vAlign w:val="bottom"/>
          </w:tcPr>
          <w:p>
            <w:pPr>
              <w:ind w:left="60"/>
              <w:spacing w:after="0"/>
              <w:rPr>
                <w:sz w:val="20"/>
                <w:szCs w:val="20"/>
                <w:color w:val="auto"/>
              </w:rPr>
            </w:pPr>
            <w:r>
              <w:rPr>
                <w:rFonts w:ascii="Arial" w:cs="Arial" w:eastAsia="Arial" w:hAnsi="Arial"/>
                <w:sz w:val="16"/>
                <w:szCs w:val="16"/>
                <w:color w:val="auto"/>
              </w:rPr>
              <w:t>Anastasios</w:t>
            </w:r>
          </w:p>
        </w:tc>
        <w:tc>
          <w:tcPr>
            <w:tcW w:w="156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300" w:type="dxa"/>
            <w:vAlign w:val="bottom"/>
            <w:gridSpan w:val="2"/>
          </w:tcPr>
          <w:p>
            <w:pPr>
              <w:jc w:val="right"/>
              <w:ind w:right="160"/>
              <w:spacing w:after="0" w:line="222" w:lineRule="exact"/>
              <w:rPr>
                <w:sz w:val="20"/>
                <w:szCs w:val="20"/>
                <w:color w:val="auto"/>
              </w:rPr>
            </w:pPr>
            <w:r>
              <w:rPr>
                <w:rFonts w:ascii="Arial" w:cs="Arial" w:eastAsia="Arial" w:hAnsi="Arial"/>
                <w:sz w:val="16"/>
                <w:szCs w:val="16"/>
                <w:color w:val="auto"/>
              </w:rPr>
              <w:t>263,158</w:t>
            </w:r>
            <w:r>
              <w:rPr>
                <w:rFonts w:ascii="Arial" w:cs="Arial" w:eastAsia="Arial" w:hAnsi="Arial"/>
                <w:sz w:val="25"/>
                <w:szCs w:val="25"/>
                <w:color w:val="auto"/>
                <w:vertAlign w:val="superscript"/>
              </w:rPr>
              <w:t>(4)</w:t>
            </w:r>
          </w:p>
        </w:tc>
        <w:tc>
          <w:tcPr>
            <w:tcW w:w="1120" w:type="dxa"/>
            <w:vAlign w:val="bottom"/>
          </w:tcPr>
          <w:p>
            <w:pPr>
              <w:jc w:val="right"/>
              <w:ind w:right="42"/>
              <w:spacing w:after="0"/>
              <w:rPr>
                <w:sz w:val="20"/>
                <w:szCs w:val="20"/>
                <w:color w:val="auto"/>
              </w:rPr>
            </w:pPr>
            <w:r>
              <w:rPr>
                <w:rFonts w:ascii="Arial" w:cs="Arial" w:eastAsia="Arial" w:hAnsi="Arial"/>
                <w:sz w:val="16"/>
                <w:szCs w:val="16"/>
                <w:color w:val="auto"/>
              </w:rPr>
              <w:t>1,260,527</w:t>
            </w:r>
          </w:p>
        </w:tc>
        <w:tc>
          <w:tcPr>
            <w:tcW w:w="1380" w:type="dxa"/>
            <w:vAlign w:val="bottom"/>
          </w:tcPr>
          <w:p>
            <w:pPr>
              <w:jc w:val="right"/>
              <w:spacing w:after="0" w:line="222" w:lineRule="exact"/>
              <w:rPr>
                <w:sz w:val="20"/>
                <w:szCs w:val="20"/>
                <w:color w:val="auto"/>
              </w:rPr>
            </w:pPr>
            <w:r>
              <w:rPr>
                <w:rFonts w:ascii="Arial" w:cs="Arial" w:eastAsia="Arial" w:hAnsi="Arial"/>
                <w:sz w:val="16"/>
                <w:szCs w:val="16"/>
                <w:color w:val="auto"/>
              </w:rPr>
              <w:t>175,439</w:t>
            </w:r>
            <w:r>
              <w:rPr>
                <w:rFonts w:ascii="Arial" w:cs="Arial" w:eastAsia="Arial" w:hAnsi="Arial"/>
                <w:sz w:val="25"/>
                <w:szCs w:val="25"/>
                <w:color w:val="auto"/>
                <w:vertAlign w:val="superscript"/>
              </w:rPr>
              <w:t>(11)</w:t>
            </w:r>
          </w:p>
        </w:tc>
        <w:tc>
          <w:tcPr>
            <w:tcW w:w="1060" w:type="dxa"/>
            <w:vAlign w:val="bottom"/>
          </w:tcPr>
          <w:p>
            <w:pPr>
              <w:jc w:val="right"/>
              <w:spacing w:after="0"/>
              <w:rPr>
                <w:sz w:val="20"/>
                <w:szCs w:val="20"/>
                <w:color w:val="auto"/>
              </w:rPr>
            </w:pPr>
            <w:r>
              <w:rPr>
                <w:rFonts w:ascii="Arial" w:cs="Arial" w:eastAsia="Arial" w:hAnsi="Arial"/>
                <w:sz w:val="16"/>
                <w:szCs w:val="16"/>
                <w:color w:val="auto"/>
              </w:rPr>
              <w:t>840,353</w:t>
            </w:r>
          </w:p>
        </w:tc>
        <w:tc>
          <w:tcPr>
            <w:tcW w:w="0" w:type="dxa"/>
            <w:vAlign w:val="bottom"/>
          </w:tcPr>
          <w:p>
            <w:pPr>
              <w:spacing w:after="0"/>
              <w:rPr>
                <w:sz w:val="1"/>
                <w:szCs w:val="1"/>
                <w:color w:val="auto"/>
              </w:rPr>
            </w:pPr>
          </w:p>
        </w:tc>
      </w:tr>
      <w:tr>
        <w:trPr>
          <w:trHeight w:val="230"/>
        </w:trPr>
        <w:tc>
          <w:tcPr>
            <w:tcW w:w="1780" w:type="dxa"/>
            <w:vAlign w:val="bottom"/>
            <w:tcBorders>
              <w:bottom w:val="single" w:sz="8" w:color="04568A"/>
            </w:tcBorders>
          </w:tcPr>
          <w:p>
            <w:pPr>
              <w:ind w:left="60"/>
              <w:spacing w:after="0"/>
              <w:rPr>
                <w:sz w:val="20"/>
                <w:szCs w:val="20"/>
                <w:color w:val="auto"/>
              </w:rPr>
            </w:pPr>
            <w:r>
              <w:rPr>
                <w:rFonts w:ascii="Arial" w:cs="Arial" w:eastAsia="Arial" w:hAnsi="Arial"/>
                <w:sz w:val="16"/>
                <w:szCs w:val="16"/>
                <w:color w:val="auto"/>
              </w:rPr>
              <w:t>Konidaris</w:t>
            </w:r>
          </w:p>
        </w:tc>
        <w:tc>
          <w:tcPr>
            <w:tcW w:w="1560" w:type="dxa"/>
            <w:vAlign w:val="bottom"/>
            <w:tcBorders>
              <w:bottom w:val="single" w:sz="8" w:color="04568A"/>
            </w:tcBorders>
          </w:tcPr>
          <w:p>
            <w:pPr>
              <w:spacing w:after="0"/>
              <w:rPr>
                <w:sz w:val="20"/>
                <w:szCs w:val="20"/>
                <w:color w:val="auto"/>
              </w:rPr>
            </w:pPr>
          </w:p>
        </w:tc>
        <w:tc>
          <w:tcPr>
            <w:tcW w:w="1220" w:type="dxa"/>
            <w:vAlign w:val="bottom"/>
            <w:tcBorders>
              <w:bottom w:val="single" w:sz="8" w:color="04568A"/>
            </w:tcBorders>
          </w:tcPr>
          <w:p>
            <w:pPr>
              <w:spacing w:after="0"/>
              <w:rPr>
                <w:sz w:val="20"/>
                <w:szCs w:val="20"/>
                <w:color w:val="auto"/>
              </w:rPr>
            </w:pPr>
          </w:p>
        </w:tc>
        <w:tc>
          <w:tcPr>
            <w:tcW w:w="760" w:type="dxa"/>
            <w:vAlign w:val="bottom"/>
            <w:tcBorders>
              <w:bottom w:val="single" w:sz="8" w:color="04568A"/>
            </w:tcBorders>
          </w:tcPr>
          <w:p>
            <w:pPr>
              <w:spacing w:after="0"/>
              <w:rPr>
                <w:sz w:val="20"/>
                <w:szCs w:val="20"/>
                <w:color w:val="auto"/>
              </w:rPr>
            </w:pPr>
          </w:p>
        </w:tc>
        <w:tc>
          <w:tcPr>
            <w:tcW w:w="1060" w:type="dxa"/>
            <w:vAlign w:val="bottom"/>
            <w:tcBorders>
              <w:bottom w:val="single" w:sz="8" w:color="04568A"/>
            </w:tcBorders>
          </w:tcPr>
          <w:p>
            <w:pPr>
              <w:spacing w:after="0"/>
              <w:rPr>
                <w:sz w:val="20"/>
                <w:szCs w:val="20"/>
                <w:color w:val="auto"/>
              </w:rPr>
            </w:pPr>
          </w:p>
        </w:tc>
        <w:tc>
          <w:tcPr>
            <w:tcW w:w="1300" w:type="dxa"/>
            <w:vAlign w:val="bottom"/>
            <w:tcBorders>
              <w:bottom w:val="single" w:sz="8" w:color="04568A"/>
            </w:tcBorders>
            <w:gridSpan w:val="2"/>
          </w:tcPr>
          <w:p>
            <w:pPr>
              <w:jc w:val="right"/>
              <w:ind w:right="160"/>
              <w:spacing w:after="0" w:line="230" w:lineRule="exact"/>
              <w:rPr>
                <w:sz w:val="20"/>
                <w:szCs w:val="20"/>
                <w:color w:val="auto"/>
              </w:rPr>
            </w:pPr>
            <w:r>
              <w:rPr>
                <w:rFonts w:ascii="Arial" w:cs="Arial" w:eastAsia="Arial" w:hAnsi="Arial"/>
                <w:sz w:val="16"/>
                <w:szCs w:val="16"/>
                <w:color w:val="auto"/>
              </w:rPr>
              <w:t>144,788</w:t>
            </w:r>
            <w:r>
              <w:rPr>
                <w:rFonts w:ascii="Arial" w:cs="Arial" w:eastAsia="Arial" w:hAnsi="Arial"/>
                <w:sz w:val="26"/>
                <w:szCs w:val="26"/>
                <w:color w:val="auto"/>
                <w:vertAlign w:val="superscript"/>
              </w:rPr>
              <w:t>(5)</w:t>
            </w:r>
          </w:p>
        </w:tc>
        <w:tc>
          <w:tcPr>
            <w:tcW w:w="1120" w:type="dxa"/>
            <w:vAlign w:val="bottom"/>
            <w:tcBorders>
              <w:bottom w:val="single" w:sz="8" w:color="04568A"/>
            </w:tcBorders>
          </w:tcPr>
          <w:p>
            <w:pPr>
              <w:jc w:val="right"/>
              <w:ind w:right="42"/>
              <w:spacing w:after="0"/>
              <w:rPr>
                <w:sz w:val="20"/>
                <w:szCs w:val="20"/>
                <w:color w:val="auto"/>
              </w:rPr>
            </w:pPr>
            <w:r>
              <w:rPr>
                <w:rFonts w:ascii="Arial" w:cs="Arial" w:eastAsia="Arial" w:hAnsi="Arial"/>
                <w:sz w:val="16"/>
                <w:szCs w:val="16"/>
                <w:color w:val="auto"/>
              </w:rPr>
              <w:t>693,535</w:t>
            </w:r>
          </w:p>
        </w:tc>
        <w:tc>
          <w:tcPr>
            <w:tcW w:w="1380" w:type="dxa"/>
            <w:vAlign w:val="bottom"/>
            <w:tcBorders>
              <w:bottom w:val="single" w:sz="8" w:color="04568A"/>
            </w:tcBorders>
          </w:tcPr>
          <w:p>
            <w:pPr>
              <w:jc w:val="right"/>
              <w:spacing w:after="0" w:line="230" w:lineRule="exact"/>
              <w:rPr>
                <w:sz w:val="20"/>
                <w:szCs w:val="20"/>
                <w:color w:val="auto"/>
              </w:rPr>
            </w:pPr>
            <w:r>
              <w:rPr>
                <w:rFonts w:ascii="Arial" w:cs="Arial" w:eastAsia="Arial" w:hAnsi="Arial"/>
                <w:sz w:val="16"/>
                <w:szCs w:val="16"/>
                <w:color w:val="auto"/>
              </w:rPr>
              <w:t>72,394</w:t>
            </w:r>
            <w:r>
              <w:rPr>
                <w:rFonts w:ascii="Arial" w:cs="Arial" w:eastAsia="Arial" w:hAnsi="Arial"/>
                <w:sz w:val="26"/>
                <w:szCs w:val="26"/>
                <w:color w:val="auto"/>
                <w:vertAlign w:val="superscript"/>
              </w:rPr>
              <w:t>(12)</w:t>
            </w:r>
          </w:p>
        </w:tc>
        <w:tc>
          <w:tcPr>
            <w:tcW w:w="1060" w:type="dxa"/>
            <w:vAlign w:val="bottom"/>
            <w:tcBorders>
              <w:bottom w:val="single" w:sz="8" w:color="04568A"/>
            </w:tcBorders>
          </w:tcPr>
          <w:p>
            <w:pPr>
              <w:jc w:val="right"/>
              <w:spacing w:after="0"/>
              <w:rPr>
                <w:sz w:val="20"/>
                <w:szCs w:val="20"/>
                <w:color w:val="auto"/>
              </w:rPr>
            </w:pPr>
            <w:r>
              <w:rPr>
                <w:rFonts w:ascii="Arial" w:cs="Arial" w:eastAsia="Arial" w:hAnsi="Arial"/>
                <w:sz w:val="16"/>
                <w:szCs w:val="16"/>
                <w:color w:val="auto"/>
              </w:rPr>
              <w:t>346,767</w:t>
            </w:r>
          </w:p>
        </w:tc>
        <w:tc>
          <w:tcPr>
            <w:tcW w:w="0" w:type="dxa"/>
            <w:vAlign w:val="bottom"/>
          </w:tcPr>
          <w:p>
            <w:pPr>
              <w:spacing w:after="0"/>
              <w:rPr>
                <w:sz w:val="1"/>
                <w:szCs w:val="1"/>
                <w:color w:val="auto"/>
              </w:rPr>
            </w:pPr>
          </w:p>
        </w:tc>
      </w:tr>
      <w:tr>
        <w:trPr>
          <w:trHeight w:val="222"/>
        </w:trPr>
        <w:tc>
          <w:tcPr>
            <w:tcW w:w="1780" w:type="dxa"/>
            <w:vAlign w:val="bottom"/>
            <w:shd w:val="clear" w:color="auto" w:fill="E4E9F2"/>
          </w:tcPr>
          <w:p>
            <w:pPr>
              <w:ind w:left="60"/>
              <w:spacing w:after="0"/>
              <w:rPr>
                <w:sz w:val="20"/>
                <w:szCs w:val="20"/>
                <w:color w:val="auto"/>
              </w:rPr>
            </w:pPr>
            <w:r>
              <w:rPr>
                <w:rFonts w:ascii="Arial" w:cs="Arial" w:eastAsia="Arial" w:hAnsi="Arial"/>
                <w:sz w:val="16"/>
                <w:szCs w:val="16"/>
                <w:color w:val="auto"/>
              </w:rPr>
              <w:t>Andrew Boyer</w:t>
            </w:r>
          </w:p>
        </w:tc>
        <w:tc>
          <w:tcPr>
            <w:tcW w:w="1560" w:type="dxa"/>
            <w:vAlign w:val="bottom"/>
            <w:shd w:val="clear" w:color="auto" w:fill="E4E9F2"/>
          </w:tcPr>
          <w:p>
            <w:pPr>
              <w:jc w:val="right"/>
              <w:ind w:right="143"/>
              <w:spacing w:after="0"/>
              <w:rPr>
                <w:sz w:val="20"/>
                <w:szCs w:val="20"/>
                <w:color w:val="auto"/>
              </w:rPr>
            </w:pPr>
            <w:r>
              <w:rPr>
                <w:rFonts w:ascii="Arial" w:cs="Arial" w:eastAsia="Arial" w:hAnsi="Arial"/>
                <w:sz w:val="16"/>
                <w:szCs w:val="16"/>
                <w:color w:val="auto"/>
              </w:rPr>
              <w:t>204,360</w:t>
            </w:r>
          </w:p>
        </w:tc>
        <w:tc>
          <w:tcPr>
            <w:tcW w:w="1220" w:type="dxa"/>
            <w:vAlign w:val="bottom"/>
            <w:shd w:val="clear" w:color="auto" w:fill="E4E9F2"/>
          </w:tcPr>
          <w:p>
            <w:pPr>
              <w:jc w:val="right"/>
              <w:spacing w:after="0" w:line="222" w:lineRule="exact"/>
              <w:rPr>
                <w:sz w:val="20"/>
                <w:szCs w:val="20"/>
                <w:color w:val="auto"/>
              </w:rPr>
            </w:pPr>
            <w:r>
              <w:rPr>
                <w:rFonts w:ascii="Arial" w:cs="Arial" w:eastAsia="Arial" w:hAnsi="Arial"/>
                <w:sz w:val="16"/>
                <w:szCs w:val="16"/>
                <w:color w:val="auto"/>
              </w:rPr>
              <w:t>68,120</w:t>
            </w:r>
            <w:r>
              <w:rPr>
                <w:rFonts w:ascii="Arial" w:cs="Arial" w:eastAsia="Arial" w:hAnsi="Arial"/>
                <w:sz w:val="25"/>
                <w:szCs w:val="25"/>
                <w:color w:val="auto"/>
                <w:vertAlign w:val="superscript"/>
              </w:rPr>
              <w:t>(2)</w:t>
            </w:r>
          </w:p>
        </w:tc>
        <w:tc>
          <w:tcPr>
            <w:tcW w:w="76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2.75</w:t>
            </w:r>
          </w:p>
        </w:tc>
        <w:tc>
          <w:tcPr>
            <w:tcW w:w="1060" w:type="dxa"/>
            <w:vAlign w:val="bottom"/>
            <w:shd w:val="clear" w:color="auto" w:fill="E4E9F2"/>
          </w:tcPr>
          <w:p>
            <w:pPr>
              <w:jc w:val="right"/>
              <w:ind w:right="161"/>
              <w:spacing w:after="0"/>
              <w:rPr>
                <w:sz w:val="20"/>
                <w:szCs w:val="20"/>
                <w:color w:val="auto"/>
              </w:rPr>
            </w:pPr>
            <w:r>
              <w:rPr>
                <w:rFonts w:ascii="Arial" w:cs="Arial" w:eastAsia="Arial" w:hAnsi="Arial"/>
                <w:sz w:val="16"/>
                <w:szCs w:val="16"/>
                <w:color w:val="auto"/>
              </w:rPr>
              <w:t>5/7/28</w:t>
            </w:r>
          </w:p>
        </w:tc>
        <w:tc>
          <w:tcPr>
            <w:tcW w:w="1300" w:type="dxa"/>
            <w:vAlign w:val="bottom"/>
            <w:gridSpan w:val="2"/>
            <w:shd w:val="clear" w:color="auto" w:fill="E4E9F2"/>
          </w:tcPr>
          <w:p>
            <w:pPr>
              <w:jc w:val="right"/>
              <w:ind w:right="160"/>
              <w:spacing w:after="0" w:line="222" w:lineRule="exact"/>
              <w:rPr>
                <w:sz w:val="20"/>
                <w:szCs w:val="20"/>
                <w:color w:val="auto"/>
              </w:rPr>
            </w:pPr>
            <w:r>
              <w:rPr>
                <w:rFonts w:ascii="Arial" w:cs="Arial" w:eastAsia="Arial" w:hAnsi="Arial"/>
                <w:sz w:val="16"/>
                <w:szCs w:val="16"/>
                <w:color w:val="auto"/>
              </w:rPr>
              <w:t>16,656</w:t>
            </w:r>
            <w:r>
              <w:rPr>
                <w:rFonts w:ascii="Arial" w:cs="Arial" w:eastAsia="Arial" w:hAnsi="Arial"/>
                <w:sz w:val="25"/>
                <w:szCs w:val="25"/>
                <w:color w:val="auto"/>
                <w:vertAlign w:val="superscript"/>
              </w:rPr>
              <w:t>(6)</w:t>
            </w:r>
          </w:p>
        </w:tc>
        <w:tc>
          <w:tcPr>
            <w:tcW w:w="112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79,782</w:t>
            </w:r>
          </w:p>
        </w:tc>
        <w:tc>
          <w:tcPr>
            <w:tcW w:w="138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780" w:type="dxa"/>
            <w:vAlign w:val="bottom"/>
            <w:shd w:val="clear" w:color="auto" w:fill="E4E9F2"/>
          </w:tcPr>
          <w:p>
            <w:pPr>
              <w:spacing w:after="0"/>
              <w:rPr>
                <w:sz w:val="19"/>
                <w:szCs w:val="19"/>
                <w:color w:val="auto"/>
              </w:rPr>
            </w:pPr>
          </w:p>
        </w:tc>
        <w:tc>
          <w:tcPr>
            <w:tcW w:w="1560" w:type="dxa"/>
            <w:vAlign w:val="bottom"/>
            <w:shd w:val="clear" w:color="auto" w:fill="E4E9F2"/>
          </w:tcPr>
          <w:p>
            <w:pPr>
              <w:jc w:val="right"/>
              <w:ind w:right="143"/>
              <w:spacing w:after="0"/>
              <w:rPr>
                <w:sz w:val="20"/>
                <w:szCs w:val="20"/>
                <w:color w:val="auto"/>
              </w:rPr>
            </w:pPr>
            <w:r>
              <w:rPr>
                <w:rFonts w:ascii="Arial" w:cs="Arial" w:eastAsia="Arial" w:hAnsi="Arial"/>
                <w:sz w:val="16"/>
                <w:szCs w:val="16"/>
                <w:color w:val="auto"/>
              </w:rPr>
              <w:t>50,276</w:t>
            </w:r>
          </w:p>
        </w:tc>
        <w:tc>
          <w:tcPr>
            <w:tcW w:w="1220" w:type="dxa"/>
            <w:vAlign w:val="bottom"/>
            <w:shd w:val="clear" w:color="auto" w:fill="E4E9F2"/>
          </w:tcPr>
          <w:p>
            <w:pPr>
              <w:jc w:val="right"/>
              <w:spacing w:after="0" w:line="230" w:lineRule="exact"/>
              <w:rPr>
                <w:sz w:val="20"/>
                <w:szCs w:val="20"/>
                <w:color w:val="auto"/>
              </w:rPr>
            </w:pPr>
            <w:r>
              <w:rPr>
                <w:rFonts w:ascii="Arial" w:cs="Arial" w:eastAsia="Arial" w:hAnsi="Arial"/>
                <w:sz w:val="16"/>
                <w:szCs w:val="16"/>
                <w:color w:val="auto"/>
              </w:rPr>
              <w:t>50,277</w:t>
            </w:r>
            <w:r>
              <w:rPr>
                <w:rFonts w:ascii="Arial" w:cs="Arial" w:eastAsia="Arial" w:hAnsi="Arial"/>
                <w:sz w:val="26"/>
                <w:szCs w:val="26"/>
                <w:color w:val="auto"/>
                <w:vertAlign w:val="superscript"/>
              </w:rPr>
              <w:t>(3)</w:t>
            </w:r>
          </w:p>
        </w:tc>
        <w:tc>
          <w:tcPr>
            <w:tcW w:w="76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2.75</w:t>
            </w:r>
          </w:p>
        </w:tc>
        <w:tc>
          <w:tcPr>
            <w:tcW w:w="1060" w:type="dxa"/>
            <w:vAlign w:val="bottom"/>
            <w:shd w:val="clear" w:color="auto" w:fill="E4E9F2"/>
          </w:tcPr>
          <w:p>
            <w:pPr>
              <w:jc w:val="right"/>
              <w:ind w:right="161"/>
              <w:spacing w:after="0"/>
              <w:rPr>
                <w:sz w:val="20"/>
                <w:szCs w:val="20"/>
                <w:color w:val="auto"/>
              </w:rPr>
            </w:pPr>
            <w:r>
              <w:rPr>
                <w:rFonts w:ascii="Arial" w:cs="Arial" w:eastAsia="Arial" w:hAnsi="Arial"/>
                <w:sz w:val="16"/>
                <w:szCs w:val="16"/>
                <w:color w:val="auto"/>
              </w:rPr>
              <w:t>3/1/29</w:t>
            </w:r>
          </w:p>
        </w:tc>
        <w:tc>
          <w:tcPr>
            <w:tcW w:w="1300" w:type="dxa"/>
            <w:vAlign w:val="bottom"/>
            <w:gridSpan w:val="2"/>
            <w:shd w:val="clear" w:color="auto" w:fill="E4E9F2"/>
          </w:tcPr>
          <w:p>
            <w:pPr>
              <w:jc w:val="right"/>
              <w:ind w:right="160"/>
              <w:spacing w:after="0" w:line="230" w:lineRule="exact"/>
              <w:rPr>
                <w:sz w:val="20"/>
                <w:szCs w:val="20"/>
                <w:color w:val="auto"/>
              </w:rPr>
            </w:pPr>
            <w:r>
              <w:rPr>
                <w:rFonts w:ascii="Arial" w:cs="Arial" w:eastAsia="Arial" w:hAnsi="Arial"/>
                <w:sz w:val="16"/>
                <w:szCs w:val="16"/>
                <w:color w:val="auto"/>
              </w:rPr>
              <w:t>24,692</w:t>
            </w:r>
            <w:r>
              <w:rPr>
                <w:rFonts w:ascii="Arial" w:cs="Arial" w:eastAsia="Arial" w:hAnsi="Arial"/>
                <w:sz w:val="26"/>
                <w:szCs w:val="26"/>
                <w:color w:val="auto"/>
                <w:vertAlign w:val="superscript"/>
              </w:rPr>
              <w:t>(7)</w:t>
            </w:r>
          </w:p>
        </w:tc>
        <w:tc>
          <w:tcPr>
            <w:tcW w:w="112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118,275</w:t>
            </w:r>
          </w:p>
        </w:tc>
        <w:tc>
          <w:tcPr>
            <w:tcW w:w="1380" w:type="dxa"/>
            <w:vAlign w:val="bottom"/>
            <w:shd w:val="clear" w:color="auto" w:fill="E4E9F2"/>
          </w:tcPr>
          <w:p>
            <w:pPr>
              <w:jc w:val="right"/>
              <w:spacing w:after="0" w:line="230" w:lineRule="exact"/>
              <w:rPr>
                <w:sz w:val="20"/>
                <w:szCs w:val="20"/>
                <w:color w:val="auto"/>
              </w:rPr>
            </w:pPr>
            <w:r>
              <w:rPr>
                <w:rFonts w:ascii="Arial" w:cs="Arial" w:eastAsia="Arial" w:hAnsi="Arial"/>
                <w:sz w:val="26"/>
                <w:szCs w:val="26"/>
                <w:color w:val="auto"/>
                <w:vertAlign w:val="subscript"/>
              </w:rPr>
              <w:t>0</w:t>
            </w:r>
            <w:r>
              <w:rPr>
                <w:rFonts w:ascii="Arial" w:cs="Arial" w:eastAsia="Arial" w:hAnsi="Arial"/>
                <w:sz w:val="12"/>
                <w:szCs w:val="12"/>
                <w:color w:val="auto"/>
              </w:rPr>
              <w:t>(10)</w:t>
            </w:r>
          </w:p>
        </w:tc>
        <w:tc>
          <w:tcPr>
            <w:tcW w:w="10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29"/>
        </w:trPr>
        <w:tc>
          <w:tcPr>
            <w:tcW w:w="1780" w:type="dxa"/>
            <w:vAlign w:val="bottom"/>
            <w:shd w:val="clear" w:color="auto" w:fill="E4E9F2"/>
          </w:tcPr>
          <w:p>
            <w:pPr>
              <w:spacing w:after="0"/>
              <w:rPr>
                <w:sz w:val="19"/>
                <w:szCs w:val="19"/>
                <w:color w:val="auto"/>
              </w:rPr>
            </w:pPr>
          </w:p>
        </w:tc>
        <w:tc>
          <w:tcPr>
            <w:tcW w:w="1560" w:type="dxa"/>
            <w:vAlign w:val="bottom"/>
            <w:shd w:val="clear" w:color="auto" w:fill="E4E9F2"/>
          </w:tcPr>
          <w:p>
            <w:pPr>
              <w:spacing w:after="0"/>
              <w:rPr>
                <w:sz w:val="19"/>
                <w:szCs w:val="19"/>
                <w:color w:val="auto"/>
              </w:rPr>
            </w:pPr>
          </w:p>
        </w:tc>
        <w:tc>
          <w:tcPr>
            <w:tcW w:w="1220" w:type="dxa"/>
            <w:vAlign w:val="bottom"/>
            <w:shd w:val="clear" w:color="auto" w:fill="E4E9F2"/>
          </w:tcPr>
          <w:p>
            <w:pPr>
              <w:spacing w:after="0"/>
              <w:rPr>
                <w:sz w:val="19"/>
                <w:szCs w:val="19"/>
                <w:color w:val="auto"/>
              </w:rPr>
            </w:pPr>
          </w:p>
        </w:tc>
        <w:tc>
          <w:tcPr>
            <w:tcW w:w="76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1300" w:type="dxa"/>
            <w:vAlign w:val="bottom"/>
            <w:gridSpan w:val="2"/>
            <w:shd w:val="clear" w:color="auto" w:fill="E4E9F2"/>
          </w:tcPr>
          <w:p>
            <w:pPr>
              <w:jc w:val="right"/>
              <w:ind w:right="160"/>
              <w:spacing w:after="0" w:line="230" w:lineRule="exact"/>
              <w:rPr>
                <w:sz w:val="20"/>
                <w:szCs w:val="20"/>
                <w:color w:val="auto"/>
              </w:rPr>
            </w:pPr>
            <w:r>
              <w:rPr>
                <w:rFonts w:ascii="Arial" w:cs="Arial" w:eastAsia="Arial" w:hAnsi="Arial"/>
                <w:sz w:val="16"/>
                <w:szCs w:val="16"/>
                <w:color w:val="auto"/>
              </w:rPr>
              <w:t>94,987</w:t>
            </w:r>
            <w:r>
              <w:rPr>
                <w:rFonts w:ascii="Arial" w:cs="Arial" w:eastAsia="Arial" w:hAnsi="Arial"/>
                <w:sz w:val="26"/>
                <w:szCs w:val="26"/>
                <w:color w:val="auto"/>
                <w:vertAlign w:val="superscript"/>
              </w:rPr>
              <w:t>(8)</w:t>
            </w:r>
          </w:p>
        </w:tc>
        <w:tc>
          <w:tcPr>
            <w:tcW w:w="112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454,988</w:t>
            </w:r>
          </w:p>
        </w:tc>
        <w:tc>
          <w:tcPr>
            <w:tcW w:w="1380" w:type="dxa"/>
            <w:vAlign w:val="bottom"/>
            <w:shd w:val="clear" w:color="auto" w:fill="E4E9F2"/>
          </w:tcPr>
          <w:p>
            <w:pPr>
              <w:jc w:val="right"/>
              <w:spacing w:after="0" w:line="230" w:lineRule="exact"/>
              <w:rPr>
                <w:sz w:val="20"/>
                <w:szCs w:val="20"/>
                <w:color w:val="auto"/>
              </w:rPr>
            </w:pPr>
            <w:r>
              <w:rPr>
                <w:rFonts w:ascii="Arial" w:cs="Arial" w:eastAsia="Arial" w:hAnsi="Arial"/>
                <w:sz w:val="16"/>
                <w:szCs w:val="16"/>
                <w:color w:val="auto"/>
              </w:rPr>
              <w:t>63,325</w:t>
            </w:r>
            <w:r>
              <w:rPr>
                <w:rFonts w:ascii="Arial" w:cs="Arial" w:eastAsia="Arial" w:hAnsi="Arial"/>
                <w:sz w:val="26"/>
                <w:szCs w:val="26"/>
                <w:color w:val="auto"/>
                <w:vertAlign w:val="superscript"/>
              </w:rPr>
              <w:t>(11)</w:t>
            </w:r>
          </w:p>
        </w:tc>
        <w:tc>
          <w:tcPr>
            <w:tcW w:w="10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303,327</w:t>
            </w:r>
          </w:p>
        </w:tc>
        <w:tc>
          <w:tcPr>
            <w:tcW w:w="0" w:type="dxa"/>
            <w:vAlign w:val="bottom"/>
          </w:tcPr>
          <w:p>
            <w:pPr>
              <w:spacing w:after="0"/>
              <w:rPr>
                <w:sz w:val="1"/>
                <w:szCs w:val="1"/>
                <w:color w:val="auto"/>
              </w:rPr>
            </w:pPr>
          </w:p>
        </w:tc>
      </w:tr>
      <w:tr>
        <w:trPr>
          <w:trHeight w:val="229"/>
        </w:trPr>
        <w:tc>
          <w:tcPr>
            <w:tcW w:w="1780" w:type="dxa"/>
            <w:vAlign w:val="bottom"/>
            <w:shd w:val="clear" w:color="auto" w:fill="E4E9F2"/>
          </w:tcPr>
          <w:p>
            <w:pPr>
              <w:spacing w:after="0"/>
              <w:rPr>
                <w:sz w:val="19"/>
                <w:szCs w:val="19"/>
                <w:color w:val="auto"/>
              </w:rPr>
            </w:pPr>
          </w:p>
        </w:tc>
        <w:tc>
          <w:tcPr>
            <w:tcW w:w="1560" w:type="dxa"/>
            <w:vAlign w:val="bottom"/>
            <w:shd w:val="clear" w:color="auto" w:fill="E4E9F2"/>
          </w:tcPr>
          <w:p>
            <w:pPr>
              <w:spacing w:after="0"/>
              <w:rPr>
                <w:sz w:val="19"/>
                <w:szCs w:val="19"/>
                <w:color w:val="auto"/>
              </w:rPr>
            </w:pPr>
          </w:p>
        </w:tc>
        <w:tc>
          <w:tcPr>
            <w:tcW w:w="1220" w:type="dxa"/>
            <w:vAlign w:val="bottom"/>
            <w:shd w:val="clear" w:color="auto" w:fill="E4E9F2"/>
          </w:tcPr>
          <w:p>
            <w:pPr>
              <w:spacing w:after="0"/>
              <w:rPr>
                <w:sz w:val="19"/>
                <w:szCs w:val="19"/>
                <w:color w:val="auto"/>
              </w:rPr>
            </w:pPr>
          </w:p>
        </w:tc>
        <w:tc>
          <w:tcPr>
            <w:tcW w:w="76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1300" w:type="dxa"/>
            <w:vAlign w:val="bottom"/>
            <w:gridSpan w:val="2"/>
            <w:shd w:val="clear" w:color="auto" w:fill="E4E9F2"/>
          </w:tcPr>
          <w:p>
            <w:pPr>
              <w:jc w:val="right"/>
              <w:ind w:right="160"/>
              <w:spacing w:after="0" w:line="230" w:lineRule="exact"/>
              <w:rPr>
                <w:sz w:val="20"/>
                <w:szCs w:val="20"/>
                <w:color w:val="auto"/>
              </w:rPr>
            </w:pPr>
            <w:r>
              <w:rPr>
                <w:rFonts w:ascii="Arial" w:cs="Arial" w:eastAsia="Arial" w:hAnsi="Arial"/>
                <w:sz w:val="16"/>
                <w:szCs w:val="16"/>
                <w:color w:val="auto"/>
              </w:rPr>
              <w:t>46,189</w:t>
            </w:r>
            <w:r>
              <w:rPr>
                <w:rFonts w:ascii="Arial" w:cs="Arial" w:eastAsia="Arial" w:hAnsi="Arial"/>
                <w:sz w:val="26"/>
                <w:szCs w:val="26"/>
                <w:color w:val="auto"/>
                <w:vertAlign w:val="superscript"/>
              </w:rPr>
              <w:t>(9)</w:t>
            </w:r>
          </w:p>
        </w:tc>
        <w:tc>
          <w:tcPr>
            <w:tcW w:w="112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221,245</w:t>
            </w:r>
          </w:p>
        </w:tc>
        <w:tc>
          <w:tcPr>
            <w:tcW w:w="138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780" w:type="dxa"/>
            <w:vAlign w:val="bottom"/>
            <w:tcBorders>
              <w:bottom w:val="single" w:sz="8" w:color="04568A"/>
            </w:tcBorders>
            <w:shd w:val="clear" w:color="auto" w:fill="E4E9F2"/>
          </w:tcPr>
          <w:p>
            <w:pPr>
              <w:spacing w:after="0"/>
              <w:rPr>
                <w:sz w:val="20"/>
                <w:szCs w:val="20"/>
                <w:color w:val="auto"/>
              </w:rPr>
            </w:pPr>
          </w:p>
        </w:tc>
        <w:tc>
          <w:tcPr>
            <w:tcW w:w="1560" w:type="dxa"/>
            <w:vAlign w:val="bottom"/>
            <w:tcBorders>
              <w:bottom w:val="single" w:sz="8" w:color="04568A"/>
            </w:tcBorders>
            <w:shd w:val="clear" w:color="auto" w:fill="E4E9F2"/>
          </w:tcPr>
          <w:p>
            <w:pPr>
              <w:spacing w:after="0"/>
              <w:rPr>
                <w:sz w:val="20"/>
                <w:szCs w:val="20"/>
                <w:color w:val="auto"/>
              </w:rPr>
            </w:pPr>
          </w:p>
        </w:tc>
        <w:tc>
          <w:tcPr>
            <w:tcW w:w="1220" w:type="dxa"/>
            <w:vAlign w:val="bottom"/>
            <w:tcBorders>
              <w:bottom w:val="single" w:sz="8" w:color="04568A"/>
            </w:tcBorders>
            <w:shd w:val="clear" w:color="auto" w:fill="E4E9F2"/>
          </w:tcPr>
          <w:p>
            <w:pPr>
              <w:spacing w:after="0"/>
              <w:rPr>
                <w:sz w:val="20"/>
                <w:szCs w:val="20"/>
                <w:color w:val="auto"/>
              </w:rPr>
            </w:pPr>
          </w:p>
        </w:tc>
        <w:tc>
          <w:tcPr>
            <w:tcW w:w="760" w:type="dxa"/>
            <w:vAlign w:val="bottom"/>
            <w:tcBorders>
              <w:bottom w:val="single" w:sz="8" w:color="04568A"/>
            </w:tcBorders>
            <w:shd w:val="clear" w:color="auto" w:fill="E4E9F2"/>
          </w:tcPr>
          <w:p>
            <w:pPr>
              <w:spacing w:after="0"/>
              <w:rPr>
                <w:sz w:val="20"/>
                <w:szCs w:val="20"/>
                <w:color w:val="auto"/>
              </w:rPr>
            </w:pPr>
          </w:p>
        </w:tc>
        <w:tc>
          <w:tcPr>
            <w:tcW w:w="1060" w:type="dxa"/>
            <w:vAlign w:val="bottom"/>
            <w:tcBorders>
              <w:bottom w:val="single" w:sz="8" w:color="04568A"/>
            </w:tcBorders>
            <w:shd w:val="clear" w:color="auto" w:fill="E4E9F2"/>
          </w:tcPr>
          <w:p>
            <w:pPr>
              <w:spacing w:after="0"/>
              <w:rPr>
                <w:sz w:val="20"/>
                <w:szCs w:val="20"/>
                <w:color w:val="auto"/>
              </w:rPr>
            </w:pPr>
          </w:p>
        </w:tc>
        <w:tc>
          <w:tcPr>
            <w:tcW w:w="1300" w:type="dxa"/>
            <w:vAlign w:val="bottom"/>
            <w:tcBorders>
              <w:bottom w:val="single" w:sz="8" w:color="04568A"/>
            </w:tcBorders>
            <w:gridSpan w:val="2"/>
            <w:shd w:val="clear" w:color="auto" w:fill="E4E9F2"/>
          </w:tcPr>
          <w:p>
            <w:pPr>
              <w:jc w:val="right"/>
              <w:ind w:right="160"/>
              <w:spacing w:after="0" w:line="230" w:lineRule="exact"/>
              <w:rPr>
                <w:sz w:val="20"/>
                <w:szCs w:val="20"/>
                <w:color w:val="auto"/>
              </w:rPr>
            </w:pPr>
            <w:r>
              <w:rPr>
                <w:rFonts w:ascii="Arial" w:cs="Arial" w:eastAsia="Arial" w:hAnsi="Arial"/>
                <w:sz w:val="16"/>
                <w:szCs w:val="16"/>
                <w:color w:val="auto"/>
              </w:rPr>
              <w:t>125,483</w:t>
            </w:r>
            <w:r>
              <w:rPr>
                <w:rFonts w:ascii="Arial" w:cs="Arial" w:eastAsia="Arial" w:hAnsi="Arial"/>
                <w:sz w:val="26"/>
                <w:szCs w:val="26"/>
                <w:color w:val="auto"/>
                <w:vertAlign w:val="superscript"/>
              </w:rPr>
              <w:t>(5)</w:t>
            </w:r>
          </w:p>
        </w:tc>
        <w:tc>
          <w:tcPr>
            <w:tcW w:w="1120" w:type="dxa"/>
            <w:vAlign w:val="bottom"/>
            <w:tcBorders>
              <w:bottom w:val="single" w:sz="8" w:color="04568A"/>
            </w:tcBorders>
            <w:shd w:val="clear" w:color="auto" w:fill="E4E9F2"/>
          </w:tcPr>
          <w:p>
            <w:pPr>
              <w:jc w:val="right"/>
              <w:ind w:right="42"/>
              <w:spacing w:after="0"/>
              <w:rPr>
                <w:sz w:val="20"/>
                <w:szCs w:val="20"/>
                <w:color w:val="auto"/>
              </w:rPr>
            </w:pPr>
            <w:r>
              <w:rPr>
                <w:rFonts w:ascii="Arial" w:cs="Arial" w:eastAsia="Arial" w:hAnsi="Arial"/>
                <w:sz w:val="16"/>
                <w:szCs w:val="16"/>
                <w:color w:val="auto"/>
              </w:rPr>
              <w:t>601,064</w:t>
            </w:r>
          </w:p>
        </w:tc>
        <w:tc>
          <w:tcPr>
            <w:tcW w:w="1380" w:type="dxa"/>
            <w:vAlign w:val="bottom"/>
            <w:tcBorders>
              <w:bottom w:val="single" w:sz="8" w:color="04568A"/>
            </w:tcBorders>
            <w:shd w:val="clear" w:color="auto" w:fill="E4E9F2"/>
          </w:tcPr>
          <w:p>
            <w:pPr>
              <w:jc w:val="right"/>
              <w:spacing w:after="0" w:line="230" w:lineRule="exact"/>
              <w:rPr>
                <w:sz w:val="20"/>
                <w:szCs w:val="20"/>
                <w:color w:val="auto"/>
              </w:rPr>
            </w:pPr>
            <w:r>
              <w:rPr>
                <w:rFonts w:ascii="Arial" w:cs="Arial" w:eastAsia="Arial" w:hAnsi="Arial"/>
                <w:sz w:val="16"/>
                <w:szCs w:val="16"/>
                <w:color w:val="auto"/>
              </w:rPr>
              <w:t>62,742</w:t>
            </w:r>
            <w:r>
              <w:rPr>
                <w:rFonts w:ascii="Arial" w:cs="Arial" w:eastAsia="Arial" w:hAnsi="Arial"/>
                <w:sz w:val="26"/>
                <w:szCs w:val="26"/>
                <w:color w:val="auto"/>
                <w:vertAlign w:val="superscript"/>
              </w:rPr>
              <w:t>(12)</w:t>
            </w:r>
          </w:p>
        </w:tc>
        <w:tc>
          <w:tcPr>
            <w:tcW w:w="106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300,534</w:t>
            </w:r>
          </w:p>
        </w:tc>
        <w:tc>
          <w:tcPr>
            <w:tcW w:w="0" w:type="dxa"/>
            <w:vAlign w:val="bottom"/>
          </w:tcPr>
          <w:p>
            <w:pPr>
              <w:spacing w:after="0"/>
              <w:rPr>
                <w:sz w:val="1"/>
                <w:szCs w:val="1"/>
                <w:color w:val="auto"/>
              </w:rPr>
            </w:pPr>
          </w:p>
        </w:tc>
      </w:tr>
      <w:tr>
        <w:trPr>
          <w:trHeight w:val="222"/>
        </w:trPr>
        <w:tc>
          <w:tcPr>
            <w:tcW w:w="1780" w:type="dxa"/>
            <w:vAlign w:val="bottom"/>
          </w:tcPr>
          <w:p>
            <w:pPr>
              <w:ind w:left="60"/>
              <w:spacing w:after="0"/>
              <w:rPr>
                <w:sz w:val="20"/>
                <w:szCs w:val="20"/>
                <w:color w:val="auto"/>
              </w:rPr>
            </w:pPr>
            <w:r>
              <w:rPr>
                <w:rFonts w:ascii="Arial" w:cs="Arial" w:eastAsia="Arial" w:hAnsi="Arial"/>
                <w:sz w:val="16"/>
                <w:szCs w:val="16"/>
                <w:color w:val="auto"/>
              </w:rPr>
              <w:t>Joseph Todisco</w:t>
            </w:r>
          </w:p>
        </w:tc>
        <w:tc>
          <w:tcPr>
            <w:tcW w:w="1560" w:type="dxa"/>
            <w:vAlign w:val="bottom"/>
          </w:tcPr>
          <w:p>
            <w:pPr>
              <w:jc w:val="right"/>
              <w:ind w:right="143"/>
              <w:spacing w:after="0"/>
              <w:rPr>
                <w:sz w:val="20"/>
                <w:szCs w:val="20"/>
                <w:color w:val="auto"/>
              </w:rPr>
            </w:pPr>
            <w:r>
              <w:rPr>
                <w:rFonts w:ascii="Arial" w:cs="Arial" w:eastAsia="Arial" w:hAnsi="Arial"/>
                <w:sz w:val="16"/>
                <w:szCs w:val="16"/>
                <w:color w:val="auto"/>
              </w:rPr>
              <w:t>18,165</w:t>
            </w:r>
          </w:p>
        </w:tc>
        <w:tc>
          <w:tcPr>
            <w:tcW w:w="1220" w:type="dxa"/>
            <w:vAlign w:val="bottom"/>
          </w:tcPr>
          <w:p>
            <w:pPr>
              <w:jc w:val="right"/>
              <w:spacing w:after="0" w:line="222" w:lineRule="exact"/>
              <w:rPr>
                <w:sz w:val="20"/>
                <w:szCs w:val="20"/>
                <w:color w:val="auto"/>
              </w:rPr>
            </w:pPr>
            <w:r>
              <w:rPr>
                <w:rFonts w:ascii="Arial" w:cs="Arial" w:eastAsia="Arial" w:hAnsi="Arial"/>
                <w:sz w:val="16"/>
                <w:szCs w:val="16"/>
                <w:color w:val="auto"/>
              </w:rPr>
              <w:t>18,166</w:t>
            </w:r>
            <w:r>
              <w:rPr>
                <w:rFonts w:ascii="Arial" w:cs="Arial" w:eastAsia="Arial" w:hAnsi="Arial"/>
                <w:sz w:val="25"/>
                <w:szCs w:val="25"/>
                <w:color w:val="auto"/>
                <w:vertAlign w:val="superscript"/>
              </w:rPr>
              <w:t>(2)</w:t>
            </w:r>
          </w:p>
        </w:tc>
        <w:tc>
          <w:tcPr>
            <w:tcW w:w="760" w:type="dxa"/>
            <w:vAlign w:val="bottom"/>
          </w:tcPr>
          <w:p>
            <w:pPr>
              <w:jc w:val="right"/>
              <w:ind w:right="42"/>
              <w:spacing w:after="0"/>
              <w:rPr>
                <w:sz w:val="20"/>
                <w:szCs w:val="20"/>
                <w:color w:val="auto"/>
              </w:rPr>
            </w:pPr>
            <w:r>
              <w:rPr>
                <w:rFonts w:ascii="Arial" w:cs="Arial" w:eastAsia="Arial" w:hAnsi="Arial"/>
                <w:sz w:val="16"/>
                <w:szCs w:val="16"/>
                <w:color w:val="auto"/>
              </w:rPr>
              <w:t>2.75</w:t>
            </w:r>
          </w:p>
        </w:tc>
        <w:tc>
          <w:tcPr>
            <w:tcW w:w="1060" w:type="dxa"/>
            <w:vAlign w:val="bottom"/>
          </w:tcPr>
          <w:p>
            <w:pPr>
              <w:jc w:val="right"/>
              <w:ind w:right="161"/>
              <w:spacing w:after="0"/>
              <w:rPr>
                <w:sz w:val="20"/>
                <w:szCs w:val="20"/>
                <w:color w:val="auto"/>
              </w:rPr>
            </w:pPr>
            <w:r>
              <w:rPr>
                <w:rFonts w:ascii="Arial" w:cs="Arial" w:eastAsia="Arial" w:hAnsi="Arial"/>
                <w:sz w:val="16"/>
                <w:szCs w:val="16"/>
                <w:color w:val="auto"/>
              </w:rPr>
              <w:t>5/7/28</w:t>
            </w:r>
          </w:p>
        </w:tc>
        <w:tc>
          <w:tcPr>
            <w:tcW w:w="1300" w:type="dxa"/>
            <w:vAlign w:val="bottom"/>
            <w:gridSpan w:val="2"/>
          </w:tcPr>
          <w:p>
            <w:pPr>
              <w:jc w:val="right"/>
              <w:ind w:right="160"/>
              <w:spacing w:after="0" w:line="222" w:lineRule="exact"/>
              <w:rPr>
                <w:sz w:val="20"/>
                <w:szCs w:val="20"/>
                <w:color w:val="auto"/>
              </w:rPr>
            </w:pPr>
            <w:r>
              <w:rPr>
                <w:rFonts w:ascii="Arial" w:cs="Arial" w:eastAsia="Arial" w:hAnsi="Arial"/>
                <w:sz w:val="16"/>
                <w:szCs w:val="16"/>
                <w:color w:val="auto"/>
              </w:rPr>
              <w:t>4,442</w:t>
            </w:r>
            <w:r>
              <w:rPr>
                <w:rFonts w:ascii="Arial" w:cs="Arial" w:eastAsia="Arial" w:hAnsi="Arial"/>
                <w:sz w:val="25"/>
                <w:szCs w:val="25"/>
                <w:color w:val="auto"/>
                <w:vertAlign w:val="superscript"/>
              </w:rPr>
              <w:t>(6)</w:t>
            </w:r>
          </w:p>
        </w:tc>
        <w:tc>
          <w:tcPr>
            <w:tcW w:w="1120" w:type="dxa"/>
            <w:vAlign w:val="bottom"/>
          </w:tcPr>
          <w:p>
            <w:pPr>
              <w:jc w:val="right"/>
              <w:ind w:right="42"/>
              <w:spacing w:after="0"/>
              <w:rPr>
                <w:sz w:val="20"/>
                <w:szCs w:val="20"/>
                <w:color w:val="auto"/>
              </w:rPr>
            </w:pPr>
            <w:r>
              <w:rPr>
                <w:rFonts w:ascii="Arial" w:cs="Arial" w:eastAsia="Arial" w:hAnsi="Arial"/>
                <w:sz w:val="16"/>
                <w:szCs w:val="16"/>
                <w:color w:val="auto"/>
              </w:rPr>
              <w:t>21,277</w:t>
            </w:r>
          </w:p>
        </w:tc>
        <w:tc>
          <w:tcPr>
            <w:tcW w:w="138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780" w:type="dxa"/>
            <w:vAlign w:val="bottom"/>
          </w:tcPr>
          <w:p>
            <w:pPr>
              <w:spacing w:after="0"/>
              <w:rPr>
                <w:sz w:val="19"/>
                <w:szCs w:val="19"/>
                <w:color w:val="auto"/>
              </w:rPr>
            </w:pPr>
          </w:p>
        </w:tc>
        <w:tc>
          <w:tcPr>
            <w:tcW w:w="1560" w:type="dxa"/>
            <w:vAlign w:val="bottom"/>
          </w:tcPr>
          <w:p>
            <w:pPr>
              <w:jc w:val="right"/>
              <w:ind w:right="143"/>
              <w:spacing w:after="0"/>
              <w:rPr>
                <w:sz w:val="20"/>
                <w:szCs w:val="20"/>
                <w:color w:val="auto"/>
              </w:rPr>
            </w:pPr>
            <w:r>
              <w:rPr>
                <w:rFonts w:ascii="Arial" w:cs="Arial" w:eastAsia="Arial" w:hAnsi="Arial"/>
                <w:sz w:val="16"/>
                <w:szCs w:val="16"/>
                <w:color w:val="auto"/>
              </w:rPr>
              <w:t>45,249</w:t>
            </w:r>
          </w:p>
        </w:tc>
        <w:tc>
          <w:tcPr>
            <w:tcW w:w="1220" w:type="dxa"/>
            <w:vAlign w:val="bottom"/>
          </w:tcPr>
          <w:p>
            <w:pPr>
              <w:jc w:val="right"/>
              <w:spacing w:after="0" w:line="230" w:lineRule="exact"/>
              <w:rPr>
                <w:sz w:val="20"/>
                <w:szCs w:val="20"/>
                <w:color w:val="auto"/>
              </w:rPr>
            </w:pPr>
            <w:r>
              <w:rPr>
                <w:rFonts w:ascii="Arial" w:cs="Arial" w:eastAsia="Arial" w:hAnsi="Arial"/>
                <w:sz w:val="16"/>
                <w:szCs w:val="16"/>
                <w:color w:val="auto"/>
              </w:rPr>
              <w:t>45,249</w:t>
            </w:r>
            <w:r>
              <w:rPr>
                <w:rFonts w:ascii="Arial" w:cs="Arial" w:eastAsia="Arial" w:hAnsi="Arial"/>
                <w:sz w:val="26"/>
                <w:szCs w:val="26"/>
                <w:color w:val="auto"/>
                <w:vertAlign w:val="superscript"/>
              </w:rPr>
              <w:t>(3)</w:t>
            </w:r>
          </w:p>
        </w:tc>
        <w:tc>
          <w:tcPr>
            <w:tcW w:w="760" w:type="dxa"/>
            <w:vAlign w:val="bottom"/>
          </w:tcPr>
          <w:p>
            <w:pPr>
              <w:jc w:val="right"/>
              <w:ind w:right="42"/>
              <w:spacing w:after="0"/>
              <w:rPr>
                <w:sz w:val="20"/>
                <w:szCs w:val="20"/>
                <w:color w:val="auto"/>
              </w:rPr>
            </w:pPr>
            <w:r>
              <w:rPr>
                <w:rFonts w:ascii="Arial" w:cs="Arial" w:eastAsia="Arial" w:hAnsi="Arial"/>
                <w:sz w:val="16"/>
                <w:szCs w:val="16"/>
                <w:color w:val="auto"/>
              </w:rPr>
              <w:t>2.75</w:t>
            </w:r>
          </w:p>
        </w:tc>
        <w:tc>
          <w:tcPr>
            <w:tcW w:w="1060" w:type="dxa"/>
            <w:vAlign w:val="bottom"/>
          </w:tcPr>
          <w:p>
            <w:pPr>
              <w:jc w:val="right"/>
              <w:ind w:right="161"/>
              <w:spacing w:after="0"/>
              <w:rPr>
                <w:sz w:val="20"/>
                <w:szCs w:val="20"/>
                <w:color w:val="auto"/>
              </w:rPr>
            </w:pPr>
            <w:r>
              <w:rPr>
                <w:rFonts w:ascii="Arial" w:cs="Arial" w:eastAsia="Arial" w:hAnsi="Arial"/>
                <w:sz w:val="16"/>
                <w:szCs w:val="16"/>
                <w:color w:val="auto"/>
              </w:rPr>
              <w:t>3/1/29</w:t>
            </w:r>
          </w:p>
        </w:tc>
        <w:tc>
          <w:tcPr>
            <w:tcW w:w="1300" w:type="dxa"/>
            <w:vAlign w:val="bottom"/>
            <w:gridSpan w:val="2"/>
          </w:tcPr>
          <w:p>
            <w:pPr>
              <w:jc w:val="right"/>
              <w:ind w:right="160"/>
              <w:spacing w:after="0" w:line="230" w:lineRule="exact"/>
              <w:rPr>
                <w:sz w:val="20"/>
                <w:szCs w:val="20"/>
                <w:color w:val="auto"/>
              </w:rPr>
            </w:pPr>
            <w:r>
              <w:rPr>
                <w:rFonts w:ascii="Arial" w:cs="Arial" w:eastAsia="Arial" w:hAnsi="Arial"/>
                <w:sz w:val="16"/>
                <w:szCs w:val="16"/>
                <w:color w:val="auto"/>
              </w:rPr>
              <w:t>22,222</w:t>
            </w:r>
            <w:r>
              <w:rPr>
                <w:rFonts w:ascii="Arial" w:cs="Arial" w:eastAsia="Arial" w:hAnsi="Arial"/>
                <w:sz w:val="26"/>
                <w:szCs w:val="26"/>
                <w:color w:val="auto"/>
                <w:vertAlign w:val="superscript"/>
              </w:rPr>
              <w:t>(7)</w:t>
            </w:r>
          </w:p>
        </w:tc>
        <w:tc>
          <w:tcPr>
            <w:tcW w:w="1120" w:type="dxa"/>
            <w:vAlign w:val="bottom"/>
          </w:tcPr>
          <w:p>
            <w:pPr>
              <w:jc w:val="right"/>
              <w:ind w:right="42"/>
              <w:spacing w:after="0"/>
              <w:rPr>
                <w:sz w:val="20"/>
                <w:szCs w:val="20"/>
                <w:color w:val="auto"/>
              </w:rPr>
            </w:pPr>
            <w:r>
              <w:rPr>
                <w:rFonts w:ascii="Arial" w:cs="Arial" w:eastAsia="Arial" w:hAnsi="Arial"/>
                <w:sz w:val="16"/>
                <w:szCs w:val="16"/>
                <w:color w:val="auto"/>
              </w:rPr>
              <w:t>106,443</w:t>
            </w:r>
          </w:p>
        </w:tc>
        <w:tc>
          <w:tcPr>
            <w:tcW w:w="1380" w:type="dxa"/>
            <w:vAlign w:val="bottom"/>
          </w:tcPr>
          <w:p>
            <w:pPr>
              <w:jc w:val="right"/>
              <w:spacing w:after="0" w:line="230" w:lineRule="exact"/>
              <w:rPr>
                <w:sz w:val="20"/>
                <w:szCs w:val="20"/>
                <w:color w:val="auto"/>
              </w:rPr>
            </w:pPr>
            <w:r>
              <w:rPr>
                <w:rFonts w:ascii="Arial" w:cs="Arial" w:eastAsia="Arial" w:hAnsi="Arial"/>
                <w:sz w:val="26"/>
                <w:szCs w:val="26"/>
                <w:color w:val="auto"/>
                <w:vertAlign w:val="subscript"/>
              </w:rPr>
              <w:t>0</w:t>
            </w:r>
            <w:r>
              <w:rPr>
                <w:rFonts w:ascii="Arial" w:cs="Arial" w:eastAsia="Arial" w:hAnsi="Arial"/>
                <w:sz w:val="12"/>
                <w:szCs w:val="12"/>
                <w:color w:val="auto"/>
              </w:rPr>
              <w:t>(10)</w:t>
            </w:r>
          </w:p>
        </w:tc>
        <w:tc>
          <w:tcPr>
            <w:tcW w:w="10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29"/>
        </w:trPr>
        <w:tc>
          <w:tcPr>
            <w:tcW w:w="17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300" w:type="dxa"/>
            <w:vAlign w:val="bottom"/>
            <w:gridSpan w:val="2"/>
          </w:tcPr>
          <w:p>
            <w:pPr>
              <w:jc w:val="right"/>
              <w:ind w:right="160"/>
              <w:spacing w:after="0" w:line="230" w:lineRule="exact"/>
              <w:rPr>
                <w:sz w:val="20"/>
                <w:szCs w:val="20"/>
                <w:color w:val="auto"/>
              </w:rPr>
            </w:pPr>
            <w:r>
              <w:rPr>
                <w:rFonts w:ascii="Arial" w:cs="Arial" w:eastAsia="Arial" w:hAnsi="Arial"/>
                <w:sz w:val="16"/>
                <w:szCs w:val="16"/>
                <w:color w:val="auto"/>
              </w:rPr>
              <w:t>89,051</w:t>
            </w:r>
            <w:r>
              <w:rPr>
                <w:rFonts w:ascii="Arial" w:cs="Arial" w:eastAsia="Arial" w:hAnsi="Arial"/>
                <w:sz w:val="26"/>
                <w:szCs w:val="26"/>
                <w:color w:val="auto"/>
                <w:vertAlign w:val="superscript"/>
              </w:rPr>
              <w:t>(8)</w:t>
            </w:r>
          </w:p>
        </w:tc>
        <w:tc>
          <w:tcPr>
            <w:tcW w:w="1120" w:type="dxa"/>
            <w:vAlign w:val="bottom"/>
          </w:tcPr>
          <w:p>
            <w:pPr>
              <w:jc w:val="right"/>
              <w:ind w:right="42"/>
              <w:spacing w:after="0"/>
              <w:rPr>
                <w:sz w:val="20"/>
                <w:szCs w:val="20"/>
                <w:color w:val="auto"/>
              </w:rPr>
            </w:pPr>
            <w:r>
              <w:rPr>
                <w:rFonts w:ascii="Arial" w:cs="Arial" w:eastAsia="Arial" w:hAnsi="Arial"/>
                <w:sz w:val="16"/>
                <w:szCs w:val="16"/>
                <w:color w:val="auto"/>
              </w:rPr>
              <w:t>426,554</w:t>
            </w:r>
          </w:p>
        </w:tc>
        <w:tc>
          <w:tcPr>
            <w:tcW w:w="1380" w:type="dxa"/>
            <w:vAlign w:val="bottom"/>
          </w:tcPr>
          <w:p>
            <w:pPr>
              <w:jc w:val="right"/>
              <w:spacing w:after="0" w:line="230" w:lineRule="exact"/>
              <w:rPr>
                <w:sz w:val="20"/>
                <w:szCs w:val="20"/>
                <w:color w:val="auto"/>
              </w:rPr>
            </w:pPr>
            <w:r>
              <w:rPr>
                <w:rFonts w:ascii="Arial" w:cs="Arial" w:eastAsia="Arial" w:hAnsi="Arial"/>
                <w:sz w:val="16"/>
                <w:szCs w:val="16"/>
                <w:color w:val="auto"/>
              </w:rPr>
              <w:t>59,367</w:t>
            </w:r>
            <w:r>
              <w:rPr>
                <w:rFonts w:ascii="Arial" w:cs="Arial" w:eastAsia="Arial" w:hAnsi="Arial"/>
                <w:sz w:val="26"/>
                <w:szCs w:val="26"/>
                <w:color w:val="auto"/>
                <w:vertAlign w:val="superscript"/>
              </w:rPr>
              <w:t>(11)</w:t>
            </w:r>
          </w:p>
        </w:tc>
        <w:tc>
          <w:tcPr>
            <w:tcW w:w="1060" w:type="dxa"/>
            <w:vAlign w:val="bottom"/>
          </w:tcPr>
          <w:p>
            <w:pPr>
              <w:jc w:val="right"/>
              <w:spacing w:after="0"/>
              <w:rPr>
                <w:sz w:val="20"/>
                <w:szCs w:val="20"/>
                <w:color w:val="auto"/>
              </w:rPr>
            </w:pPr>
            <w:r>
              <w:rPr>
                <w:rFonts w:ascii="Arial" w:cs="Arial" w:eastAsia="Arial" w:hAnsi="Arial"/>
                <w:sz w:val="16"/>
                <w:szCs w:val="16"/>
                <w:color w:val="auto"/>
              </w:rPr>
              <w:t>284,368</w:t>
            </w:r>
          </w:p>
        </w:tc>
        <w:tc>
          <w:tcPr>
            <w:tcW w:w="0" w:type="dxa"/>
            <w:vAlign w:val="bottom"/>
          </w:tcPr>
          <w:p>
            <w:pPr>
              <w:spacing w:after="0"/>
              <w:rPr>
                <w:sz w:val="1"/>
                <w:szCs w:val="1"/>
                <w:color w:val="auto"/>
              </w:rPr>
            </w:pPr>
          </w:p>
        </w:tc>
      </w:tr>
      <w:tr>
        <w:trPr>
          <w:trHeight w:val="230"/>
        </w:trPr>
        <w:tc>
          <w:tcPr>
            <w:tcW w:w="1780" w:type="dxa"/>
            <w:vAlign w:val="bottom"/>
            <w:tcBorders>
              <w:bottom w:val="single" w:sz="8" w:color="04568A"/>
            </w:tcBorders>
          </w:tcPr>
          <w:p>
            <w:pPr>
              <w:spacing w:after="0"/>
              <w:rPr>
                <w:sz w:val="20"/>
                <w:szCs w:val="20"/>
                <w:color w:val="auto"/>
              </w:rPr>
            </w:pPr>
          </w:p>
        </w:tc>
        <w:tc>
          <w:tcPr>
            <w:tcW w:w="1560" w:type="dxa"/>
            <w:vAlign w:val="bottom"/>
            <w:tcBorders>
              <w:bottom w:val="single" w:sz="8" w:color="04568A"/>
            </w:tcBorders>
          </w:tcPr>
          <w:p>
            <w:pPr>
              <w:spacing w:after="0"/>
              <w:rPr>
                <w:sz w:val="20"/>
                <w:szCs w:val="20"/>
                <w:color w:val="auto"/>
              </w:rPr>
            </w:pPr>
          </w:p>
        </w:tc>
        <w:tc>
          <w:tcPr>
            <w:tcW w:w="1220" w:type="dxa"/>
            <w:vAlign w:val="bottom"/>
            <w:tcBorders>
              <w:bottom w:val="single" w:sz="8" w:color="04568A"/>
            </w:tcBorders>
          </w:tcPr>
          <w:p>
            <w:pPr>
              <w:spacing w:after="0"/>
              <w:rPr>
                <w:sz w:val="20"/>
                <w:szCs w:val="20"/>
                <w:color w:val="auto"/>
              </w:rPr>
            </w:pPr>
          </w:p>
        </w:tc>
        <w:tc>
          <w:tcPr>
            <w:tcW w:w="760" w:type="dxa"/>
            <w:vAlign w:val="bottom"/>
            <w:tcBorders>
              <w:bottom w:val="single" w:sz="8" w:color="04568A"/>
            </w:tcBorders>
          </w:tcPr>
          <w:p>
            <w:pPr>
              <w:spacing w:after="0"/>
              <w:rPr>
                <w:sz w:val="20"/>
                <w:szCs w:val="20"/>
                <w:color w:val="auto"/>
              </w:rPr>
            </w:pPr>
          </w:p>
        </w:tc>
        <w:tc>
          <w:tcPr>
            <w:tcW w:w="1060" w:type="dxa"/>
            <w:vAlign w:val="bottom"/>
            <w:tcBorders>
              <w:bottom w:val="single" w:sz="8" w:color="04568A"/>
            </w:tcBorders>
          </w:tcPr>
          <w:p>
            <w:pPr>
              <w:spacing w:after="0"/>
              <w:rPr>
                <w:sz w:val="20"/>
                <w:szCs w:val="20"/>
                <w:color w:val="auto"/>
              </w:rPr>
            </w:pPr>
          </w:p>
        </w:tc>
        <w:tc>
          <w:tcPr>
            <w:tcW w:w="1300" w:type="dxa"/>
            <w:vAlign w:val="bottom"/>
            <w:tcBorders>
              <w:bottom w:val="single" w:sz="8" w:color="04568A"/>
            </w:tcBorders>
            <w:gridSpan w:val="2"/>
          </w:tcPr>
          <w:p>
            <w:pPr>
              <w:jc w:val="right"/>
              <w:ind w:right="160"/>
              <w:spacing w:after="0" w:line="230" w:lineRule="exact"/>
              <w:rPr>
                <w:sz w:val="20"/>
                <w:szCs w:val="20"/>
                <w:color w:val="auto"/>
              </w:rPr>
            </w:pPr>
            <w:r>
              <w:rPr>
                <w:rFonts w:ascii="Arial" w:cs="Arial" w:eastAsia="Arial" w:hAnsi="Arial"/>
                <w:sz w:val="16"/>
                <w:szCs w:val="16"/>
                <w:color w:val="auto"/>
              </w:rPr>
              <w:t>106,178</w:t>
            </w:r>
            <w:r>
              <w:rPr>
                <w:rFonts w:ascii="Arial" w:cs="Arial" w:eastAsia="Arial" w:hAnsi="Arial"/>
                <w:sz w:val="26"/>
                <w:szCs w:val="26"/>
                <w:color w:val="auto"/>
                <w:vertAlign w:val="superscript"/>
              </w:rPr>
              <w:t>(5)</w:t>
            </w:r>
          </w:p>
        </w:tc>
        <w:tc>
          <w:tcPr>
            <w:tcW w:w="1120" w:type="dxa"/>
            <w:vAlign w:val="bottom"/>
            <w:tcBorders>
              <w:bottom w:val="single" w:sz="8" w:color="04568A"/>
            </w:tcBorders>
          </w:tcPr>
          <w:p>
            <w:pPr>
              <w:jc w:val="right"/>
              <w:ind w:right="42"/>
              <w:spacing w:after="0"/>
              <w:rPr>
                <w:sz w:val="20"/>
                <w:szCs w:val="20"/>
                <w:color w:val="auto"/>
              </w:rPr>
            </w:pPr>
            <w:r>
              <w:rPr>
                <w:rFonts w:ascii="Arial" w:cs="Arial" w:eastAsia="Arial" w:hAnsi="Arial"/>
                <w:sz w:val="16"/>
                <w:szCs w:val="16"/>
                <w:color w:val="auto"/>
              </w:rPr>
              <w:t>508,593</w:t>
            </w:r>
          </w:p>
        </w:tc>
        <w:tc>
          <w:tcPr>
            <w:tcW w:w="1380" w:type="dxa"/>
            <w:vAlign w:val="bottom"/>
            <w:tcBorders>
              <w:bottom w:val="single" w:sz="8" w:color="04568A"/>
            </w:tcBorders>
          </w:tcPr>
          <w:p>
            <w:pPr>
              <w:jc w:val="right"/>
              <w:spacing w:after="0" w:line="230" w:lineRule="exact"/>
              <w:rPr>
                <w:sz w:val="20"/>
                <w:szCs w:val="20"/>
                <w:color w:val="auto"/>
              </w:rPr>
            </w:pPr>
            <w:r>
              <w:rPr>
                <w:rFonts w:ascii="Arial" w:cs="Arial" w:eastAsia="Arial" w:hAnsi="Arial"/>
                <w:sz w:val="16"/>
                <w:szCs w:val="16"/>
                <w:color w:val="auto"/>
              </w:rPr>
              <w:t>53,089</w:t>
            </w:r>
            <w:r>
              <w:rPr>
                <w:rFonts w:ascii="Arial" w:cs="Arial" w:eastAsia="Arial" w:hAnsi="Arial"/>
                <w:sz w:val="26"/>
                <w:szCs w:val="26"/>
                <w:color w:val="auto"/>
                <w:vertAlign w:val="superscript"/>
              </w:rPr>
              <w:t>(12)</w:t>
            </w:r>
          </w:p>
        </w:tc>
        <w:tc>
          <w:tcPr>
            <w:tcW w:w="1060" w:type="dxa"/>
            <w:vAlign w:val="bottom"/>
            <w:tcBorders>
              <w:bottom w:val="single" w:sz="8" w:color="04568A"/>
            </w:tcBorders>
          </w:tcPr>
          <w:p>
            <w:pPr>
              <w:jc w:val="right"/>
              <w:spacing w:after="0"/>
              <w:rPr>
                <w:sz w:val="20"/>
                <w:szCs w:val="20"/>
                <w:color w:val="auto"/>
              </w:rPr>
            </w:pPr>
            <w:r>
              <w:rPr>
                <w:rFonts w:ascii="Arial" w:cs="Arial" w:eastAsia="Arial" w:hAnsi="Arial"/>
                <w:sz w:val="16"/>
                <w:szCs w:val="16"/>
                <w:color w:val="auto"/>
              </w:rPr>
              <w:t>254,296</w:t>
            </w:r>
          </w:p>
        </w:tc>
        <w:tc>
          <w:tcPr>
            <w:tcW w:w="0" w:type="dxa"/>
            <w:vAlign w:val="bottom"/>
          </w:tcPr>
          <w:p>
            <w:pPr>
              <w:spacing w:after="0"/>
              <w:rPr>
                <w:sz w:val="1"/>
                <w:szCs w:val="1"/>
                <w:color w:val="auto"/>
              </w:rPr>
            </w:pPr>
          </w:p>
        </w:tc>
      </w:tr>
      <w:tr>
        <w:trPr>
          <w:trHeight w:val="222"/>
        </w:trPr>
        <w:tc>
          <w:tcPr>
            <w:tcW w:w="1780" w:type="dxa"/>
            <w:vAlign w:val="bottom"/>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1560" w:type="dxa"/>
            <w:vAlign w:val="bottom"/>
            <w:shd w:val="clear" w:color="auto" w:fill="E4E9F2"/>
          </w:tcPr>
          <w:p>
            <w:pPr>
              <w:jc w:val="right"/>
              <w:ind w:right="143"/>
              <w:spacing w:after="0"/>
              <w:rPr>
                <w:sz w:val="20"/>
                <w:szCs w:val="20"/>
                <w:color w:val="auto"/>
              </w:rPr>
            </w:pPr>
            <w:r>
              <w:rPr>
                <w:rFonts w:ascii="Arial" w:cs="Arial" w:eastAsia="Arial" w:hAnsi="Arial"/>
                <w:sz w:val="16"/>
                <w:szCs w:val="16"/>
                <w:color w:val="auto"/>
              </w:rPr>
              <w:t>18,165</w:t>
            </w:r>
          </w:p>
        </w:tc>
        <w:tc>
          <w:tcPr>
            <w:tcW w:w="1220" w:type="dxa"/>
            <w:vAlign w:val="bottom"/>
            <w:shd w:val="clear" w:color="auto" w:fill="E4E9F2"/>
          </w:tcPr>
          <w:p>
            <w:pPr>
              <w:jc w:val="right"/>
              <w:spacing w:after="0" w:line="222" w:lineRule="exact"/>
              <w:rPr>
                <w:sz w:val="20"/>
                <w:szCs w:val="20"/>
                <w:color w:val="auto"/>
              </w:rPr>
            </w:pPr>
            <w:r>
              <w:rPr>
                <w:rFonts w:ascii="Arial" w:cs="Arial" w:eastAsia="Arial" w:hAnsi="Arial"/>
                <w:sz w:val="16"/>
                <w:szCs w:val="16"/>
                <w:color w:val="auto"/>
              </w:rPr>
              <w:t>18,166</w:t>
            </w:r>
            <w:r>
              <w:rPr>
                <w:rFonts w:ascii="Arial" w:cs="Arial" w:eastAsia="Arial" w:hAnsi="Arial"/>
                <w:sz w:val="25"/>
                <w:szCs w:val="25"/>
                <w:color w:val="auto"/>
                <w:vertAlign w:val="superscript"/>
              </w:rPr>
              <w:t>(2)</w:t>
            </w:r>
          </w:p>
        </w:tc>
        <w:tc>
          <w:tcPr>
            <w:tcW w:w="76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2.75</w:t>
            </w:r>
          </w:p>
        </w:tc>
        <w:tc>
          <w:tcPr>
            <w:tcW w:w="1060" w:type="dxa"/>
            <w:vAlign w:val="bottom"/>
            <w:shd w:val="clear" w:color="auto" w:fill="E4E9F2"/>
          </w:tcPr>
          <w:p>
            <w:pPr>
              <w:jc w:val="right"/>
              <w:ind w:right="161"/>
              <w:spacing w:after="0"/>
              <w:rPr>
                <w:sz w:val="20"/>
                <w:szCs w:val="20"/>
                <w:color w:val="auto"/>
              </w:rPr>
            </w:pPr>
            <w:r>
              <w:rPr>
                <w:rFonts w:ascii="Arial" w:cs="Arial" w:eastAsia="Arial" w:hAnsi="Arial"/>
                <w:sz w:val="16"/>
                <w:szCs w:val="16"/>
                <w:color w:val="auto"/>
              </w:rPr>
              <w:t>5/7/28</w:t>
            </w:r>
          </w:p>
        </w:tc>
        <w:tc>
          <w:tcPr>
            <w:tcW w:w="1300" w:type="dxa"/>
            <w:vAlign w:val="bottom"/>
            <w:gridSpan w:val="2"/>
            <w:shd w:val="clear" w:color="auto" w:fill="E4E9F2"/>
          </w:tcPr>
          <w:p>
            <w:pPr>
              <w:jc w:val="right"/>
              <w:ind w:right="160"/>
              <w:spacing w:after="0" w:line="222" w:lineRule="exact"/>
              <w:rPr>
                <w:sz w:val="20"/>
                <w:szCs w:val="20"/>
                <w:color w:val="auto"/>
              </w:rPr>
            </w:pPr>
            <w:r>
              <w:rPr>
                <w:rFonts w:ascii="Arial" w:cs="Arial" w:eastAsia="Arial" w:hAnsi="Arial"/>
                <w:sz w:val="16"/>
                <w:szCs w:val="16"/>
                <w:color w:val="auto"/>
              </w:rPr>
              <w:t>4,442</w:t>
            </w:r>
            <w:r>
              <w:rPr>
                <w:rFonts w:ascii="Arial" w:cs="Arial" w:eastAsia="Arial" w:hAnsi="Arial"/>
                <w:sz w:val="25"/>
                <w:szCs w:val="25"/>
                <w:color w:val="auto"/>
                <w:vertAlign w:val="superscript"/>
              </w:rPr>
              <w:t>(6)</w:t>
            </w:r>
          </w:p>
        </w:tc>
        <w:tc>
          <w:tcPr>
            <w:tcW w:w="112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21,277</w:t>
            </w:r>
          </w:p>
        </w:tc>
        <w:tc>
          <w:tcPr>
            <w:tcW w:w="138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780" w:type="dxa"/>
            <w:vAlign w:val="bottom"/>
            <w:shd w:val="clear" w:color="auto" w:fill="E4E9F2"/>
          </w:tcPr>
          <w:p>
            <w:pPr>
              <w:spacing w:after="0"/>
              <w:rPr>
                <w:sz w:val="19"/>
                <w:szCs w:val="19"/>
                <w:color w:val="auto"/>
              </w:rPr>
            </w:pPr>
          </w:p>
        </w:tc>
        <w:tc>
          <w:tcPr>
            <w:tcW w:w="1560" w:type="dxa"/>
            <w:vAlign w:val="bottom"/>
            <w:shd w:val="clear" w:color="auto" w:fill="E4E9F2"/>
          </w:tcPr>
          <w:p>
            <w:pPr>
              <w:jc w:val="right"/>
              <w:ind w:right="143"/>
              <w:spacing w:after="0"/>
              <w:rPr>
                <w:sz w:val="20"/>
                <w:szCs w:val="20"/>
                <w:color w:val="auto"/>
              </w:rPr>
            </w:pPr>
            <w:r>
              <w:rPr>
                <w:rFonts w:ascii="Arial" w:cs="Arial" w:eastAsia="Arial" w:hAnsi="Arial"/>
                <w:sz w:val="16"/>
                <w:szCs w:val="16"/>
                <w:color w:val="auto"/>
              </w:rPr>
              <w:t>47,762</w:t>
            </w:r>
          </w:p>
        </w:tc>
        <w:tc>
          <w:tcPr>
            <w:tcW w:w="1220" w:type="dxa"/>
            <w:vAlign w:val="bottom"/>
            <w:shd w:val="clear" w:color="auto" w:fill="E4E9F2"/>
          </w:tcPr>
          <w:p>
            <w:pPr>
              <w:jc w:val="right"/>
              <w:spacing w:after="0" w:line="230" w:lineRule="exact"/>
              <w:rPr>
                <w:sz w:val="20"/>
                <w:szCs w:val="20"/>
                <w:color w:val="auto"/>
              </w:rPr>
            </w:pPr>
            <w:r>
              <w:rPr>
                <w:rFonts w:ascii="Arial" w:cs="Arial" w:eastAsia="Arial" w:hAnsi="Arial"/>
                <w:sz w:val="16"/>
                <w:szCs w:val="16"/>
                <w:color w:val="auto"/>
              </w:rPr>
              <w:t>47,763</w:t>
            </w:r>
            <w:r>
              <w:rPr>
                <w:rFonts w:ascii="Arial" w:cs="Arial" w:eastAsia="Arial" w:hAnsi="Arial"/>
                <w:sz w:val="26"/>
                <w:szCs w:val="26"/>
                <w:color w:val="auto"/>
                <w:vertAlign w:val="superscript"/>
              </w:rPr>
              <w:t>(3)</w:t>
            </w:r>
          </w:p>
        </w:tc>
        <w:tc>
          <w:tcPr>
            <w:tcW w:w="76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2.75</w:t>
            </w:r>
          </w:p>
        </w:tc>
        <w:tc>
          <w:tcPr>
            <w:tcW w:w="1060" w:type="dxa"/>
            <w:vAlign w:val="bottom"/>
            <w:shd w:val="clear" w:color="auto" w:fill="E4E9F2"/>
          </w:tcPr>
          <w:p>
            <w:pPr>
              <w:jc w:val="right"/>
              <w:ind w:right="161"/>
              <w:spacing w:after="0"/>
              <w:rPr>
                <w:sz w:val="20"/>
                <w:szCs w:val="20"/>
                <w:color w:val="auto"/>
              </w:rPr>
            </w:pPr>
            <w:r>
              <w:rPr>
                <w:rFonts w:ascii="Arial" w:cs="Arial" w:eastAsia="Arial" w:hAnsi="Arial"/>
                <w:sz w:val="16"/>
                <w:szCs w:val="16"/>
                <w:color w:val="auto"/>
              </w:rPr>
              <w:t>3/1/29</w:t>
            </w:r>
          </w:p>
        </w:tc>
        <w:tc>
          <w:tcPr>
            <w:tcW w:w="1300" w:type="dxa"/>
            <w:vAlign w:val="bottom"/>
            <w:gridSpan w:val="2"/>
            <w:shd w:val="clear" w:color="auto" w:fill="E4E9F2"/>
          </w:tcPr>
          <w:p>
            <w:pPr>
              <w:jc w:val="right"/>
              <w:ind w:right="160"/>
              <w:spacing w:after="0" w:line="230" w:lineRule="exact"/>
              <w:rPr>
                <w:sz w:val="20"/>
                <w:szCs w:val="20"/>
                <w:color w:val="auto"/>
              </w:rPr>
            </w:pPr>
            <w:r>
              <w:rPr>
                <w:rFonts w:ascii="Arial" w:cs="Arial" w:eastAsia="Arial" w:hAnsi="Arial"/>
                <w:sz w:val="16"/>
                <w:szCs w:val="16"/>
                <w:color w:val="auto"/>
              </w:rPr>
              <w:t>23,457</w:t>
            </w:r>
            <w:r>
              <w:rPr>
                <w:rFonts w:ascii="Arial" w:cs="Arial" w:eastAsia="Arial" w:hAnsi="Arial"/>
                <w:sz w:val="26"/>
                <w:szCs w:val="26"/>
                <w:color w:val="auto"/>
                <w:vertAlign w:val="superscript"/>
              </w:rPr>
              <w:t>(7)</w:t>
            </w:r>
          </w:p>
        </w:tc>
        <w:tc>
          <w:tcPr>
            <w:tcW w:w="112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112,359</w:t>
            </w:r>
          </w:p>
        </w:tc>
        <w:tc>
          <w:tcPr>
            <w:tcW w:w="1380" w:type="dxa"/>
            <w:vAlign w:val="bottom"/>
            <w:shd w:val="clear" w:color="auto" w:fill="E4E9F2"/>
          </w:tcPr>
          <w:p>
            <w:pPr>
              <w:jc w:val="right"/>
              <w:spacing w:after="0" w:line="230" w:lineRule="exact"/>
              <w:rPr>
                <w:sz w:val="20"/>
                <w:szCs w:val="20"/>
                <w:color w:val="auto"/>
              </w:rPr>
            </w:pPr>
            <w:r>
              <w:rPr>
                <w:rFonts w:ascii="Arial" w:cs="Arial" w:eastAsia="Arial" w:hAnsi="Arial"/>
                <w:sz w:val="26"/>
                <w:szCs w:val="26"/>
                <w:color w:val="auto"/>
                <w:vertAlign w:val="subscript"/>
              </w:rPr>
              <w:t>0</w:t>
            </w:r>
            <w:r>
              <w:rPr>
                <w:rFonts w:ascii="Arial" w:cs="Arial" w:eastAsia="Arial" w:hAnsi="Arial"/>
                <w:sz w:val="12"/>
                <w:szCs w:val="12"/>
                <w:color w:val="auto"/>
              </w:rPr>
              <w:t>(10)</w:t>
            </w:r>
          </w:p>
        </w:tc>
        <w:tc>
          <w:tcPr>
            <w:tcW w:w="10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30"/>
        </w:trPr>
        <w:tc>
          <w:tcPr>
            <w:tcW w:w="1780" w:type="dxa"/>
            <w:vAlign w:val="bottom"/>
            <w:shd w:val="clear" w:color="auto" w:fill="E4E9F2"/>
          </w:tcPr>
          <w:p>
            <w:pPr>
              <w:spacing w:after="0"/>
              <w:rPr>
                <w:sz w:val="19"/>
                <w:szCs w:val="19"/>
                <w:color w:val="auto"/>
              </w:rPr>
            </w:pPr>
          </w:p>
        </w:tc>
        <w:tc>
          <w:tcPr>
            <w:tcW w:w="1560" w:type="dxa"/>
            <w:vAlign w:val="bottom"/>
            <w:shd w:val="clear" w:color="auto" w:fill="E4E9F2"/>
          </w:tcPr>
          <w:p>
            <w:pPr>
              <w:spacing w:after="0"/>
              <w:rPr>
                <w:sz w:val="19"/>
                <w:szCs w:val="19"/>
                <w:color w:val="auto"/>
              </w:rPr>
            </w:pPr>
          </w:p>
        </w:tc>
        <w:tc>
          <w:tcPr>
            <w:tcW w:w="1220" w:type="dxa"/>
            <w:vAlign w:val="bottom"/>
            <w:shd w:val="clear" w:color="auto" w:fill="E4E9F2"/>
          </w:tcPr>
          <w:p>
            <w:pPr>
              <w:spacing w:after="0"/>
              <w:rPr>
                <w:sz w:val="19"/>
                <w:szCs w:val="19"/>
                <w:color w:val="auto"/>
              </w:rPr>
            </w:pPr>
          </w:p>
        </w:tc>
        <w:tc>
          <w:tcPr>
            <w:tcW w:w="76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1300" w:type="dxa"/>
            <w:vAlign w:val="bottom"/>
            <w:gridSpan w:val="2"/>
            <w:shd w:val="clear" w:color="auto" w:fill="E4E9F2"/>
          </w:tcPr>
          <w:p>
            <w:pPr>
              <w:jc w:val="right"/>
              <w:ind w:right="160"/>
              <w:spacing w:after="0" w:line="230" w:lineRule="exact"/>
              <w:rPr>
                <w:sz w:val="20"/>
                <w:szCs w:val="20"/>
                <w:color w:val="auto"/>
              </w:rPr>
            </w:pPr>
            <w:r>
              <w:rPr>
                <w:rFonts w:ascii="Arial" w:cs="Arial" w:eastAsia="Arial" w:hAnsi="Arial"/>
                <w:sz w:val="16"/>
                <w:szCs w:val="16"/>
                <w:color w:val="auto"/>
              </w:rPr>
              <w:t>106,860</w:t>
            </w:r>
            <w:r>
              <w:rPr>
                <w:rFonts w:ascii="Arial" w:cs="Arial" w:eastAsia="Arial" w:hAnsi="Arial"/>
                <w:sz w:val="26"/>
                <w:szCs w:val="26"/>
                <w:color w:val="auto"/>
                <w:vertAlign w:val="superscript"/>
              </w:rPr>
              <w:t>(8)</w:t>
            </w:r>
          </w:p>
        </w:tc>
        <w:tc>
          <w:tcPr>
            <w:tcW w:w="1120" w:type="dxa"/>
            <w:vAlign w:val="bottom"/>
            <w:shd w:val="clear" w:color="auto" w:fill="E4E9F2"/>
          </w:tcPr>
          <w:p>
            <w:pPr>
              <w:jc w:val="right"/>
              <w:ind w:right="42"/>
              <w:spacing w:after="0"/>
              <w:rPr>
                <w:sz w:val="20"/>
                <w:szCs w:val="20"/>
                <w:color w:val="auto"/>
              </w:rPr>
            </w:pPr>
            <w:r>
              <w:rPr>
                <w:rFonts w:ascii="Arial" w:cs="Arial" w:eastAsia="Arial" w:hAnsi="Arial"/>
                <w:sz w:val="16"/>
                <w:szCs w:val="16"/>
                <w:color w:val="auto"/>
              </w:rPr>
              <w:t>511,859</w:t>
            </w:r>
          </w:p>
        </w:tc>
        <w:tc>
          <w:tcPr>
            <w:tcW w:w="1380" w:type="dxa"/>
            <w:vAlign w:val="bottom"/>
            <w:shd w:val="clear" w:color="auto" w:fill="E4E9F2"/>
          </w:tcPr>
          <w:p>
            <w:pPr>
              <w:jc w:val="right"/>
              <w:spacing w:after="0" w:line="230" w:lineRule="exact"/>
              <w:rPr>
                <w:sz w:val="20"/>
                <w:szCs w:val="20"/>
                <w:color w:val="auto"/>
              </w:rPr>
            </w:pPr>
            <w:r>
              <w:rPr>
                <w:rFonts w:ascii="Arial" w:cs="Arial" w:eastAsia="Arial" w:hAnsi="Arial"/>
                <w:sz w:val="16"/>
                <w:szCs w:val="16"/>
                <w:color w:val="auto"/>
              </w:rPr>
              <w:t>71,240</w:t>
            </w:r>
            <w:r>
              <w:rPr>
                <w:rFonts w:ascii="Arial" w:cs="Arial" w:eastAsia="Arial" w:hAnsi="Arial"/>
                <w:sz w:val="26"/>
                <w:szCs w:val="26"/>
                <w:color w:val="auto"/>
                <w:vertAlign w:val="superscript"/>
              </w:rPr>
              <w:t>(11)</w:t>
            </w:r>
          </w:p>
        </w:tc>
        <w:tc>
          <w:tcPr>
            <w:tcW w:w="10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341,240</w:t>
            </w:r>
          </w:p>
        </w:tc>
        <w:tc>
          <w:tcPr>
            <w:tcW w:w="0" w:type="dxa"/>
            <w:vAlign w:val="bottom"/>
          </w:tcPr>
          <w:p>
            <w:pPr>
              <w:spacing w:after="0"/>
              <w:rPr>
                <w:sz w:val="1"/>
                <w:szCs w:val="1"/>
                <w:color w:val="auto"/>
              </w:rPr>
            </w:pPr>
          </w:p>
        </w:tc>
      </w:tr>
      <w:tr>
        <w:trPr>
          <w:trHeight w:val="230"/>
        </w:trPr>
        <w:tc>
          <w:tcPr>
            <w:tcW w:w="1780" w:type="dxa"/>
            <w:vAlign w:val="bottom"/>
            <w:tcBorders>
              <w:bottom w:val="single" w:sz="8" w:color="04568A"/>
            </w:tcBorders>
            <w:shd w:val="clear" w:color="auto" w:fill="E4E9F2"/>
          </w:tcPr>
          <w:p>
            <w:pPr>
              <w:spacing w:after="0"/>
              <w:rPr>
                <w:sz w:val="20"/>
                <w:szCs w:val="20"/>
                <w:color w:val="auto"/>
              </w:rPr>
            </w:pPr>
          </w:p>
        </w:tc>
        <w:tc>
          <w:tcPr>
            <w:tcW w:w="1560" w:type="dxa"/>
            <w:vAlign w:val="bottom"/>
            <w:tcBorders>
              <w:bottom w:val="single" w:sz="8" w:color="04568A"/>
            </w:tcBorders>
            <w:shd w:val="clear" w:color="auto" w:fill="E4E9F2"/>
          </w:tcPr>
          <w:p>
            <w:pPr>
              <w:spacing w:after="0"/>
              <w:rPr>
                <w:sz w:val="20"/>
                <w:szCs w:val="20"/>
                <w:color w:val="auto"/>
              </w:rPr>
            </w:pPr>
          </w:p>
        </w:tc>
        <w:tc>
          <w:tcPr>
            <w:tcW w:w="1220" w:type="dxa"/>
            <w:vAlign w:val="bottom"/>
            <w:tcBorders>
              <w:bottom w:val="single" w:sz="8" w:color="04568A"/>
            </w:tcBorders>
            <w:shd w:val="clear" w:color="auto" w:fill="E4E9F2"/>
          </w:tcPr>
          <w:p>
            <w:pPr>
              <w:spacing w:after="0"/>
              <w:rPr>
                <w:sz w:val="20"/>
                <w:szCs w:val="20"/>
                <w:color w:val="auto"/>
              </w:rPr>
            </w:pPr>
          </w:p>
        </w:tc>
        <w:tc>
          <w:tcPr>
            <w:tcW w:w="760" w:type="dxa"/>
            <w:vAlign w:val="bottom"/>
            <w:tcBorders>
              <w:bottom w:val="single" w:sz="8" w:color="04568A"/>
            </w:tcBorders>
            <w:shd w:val="clear" w:color="auto" w:fill="E4E9F2"/>
          </w:tcPr>
          <w:p>
            <w:pPr>
              <w:spacing w:after="0"/>
              <w:rPr>
                <w:sz w:val="20"/>
                <w:szCs w:val="20"/>
                <w:color w:val="auto"/>
              </w:rPr>
            </w:pPr>
          </w:p>
        </w:tc>
        <w:tc>
          <w:tcPr>
            <w:tcW w:w="1060" w:type="dxa"/>
            <w:vAlign w:val="bottom"/>
            <w:tcBorders>
              <w:bottom w:val="single" w:sz="8" w:color="04568A"/>
            </w:tcBorders>
            <w:shd w:val="clear" w:color="auto" w:fill="E4E9F2"/>
          </w:tcPr>
          <w:p>
            <w:pPr>
              <w:spacing w:after="0"/>
              <w:rPr>
                <w:sz w:val="20"/>
                <w:szCs w:val="20"/>
                <w:color w:val="auto"/>
              </w:rPr>
            </w:pPr>
          </w:p>
        </w:tc>
        <w:tc>
          <w:tcPr>
            <w:tcW w:w="1300" w:type="dxa"/>
            <w:vAlign w:val="bottom"/>
            <w:tcBorders>
              <w:bottom w:val="single" w:sz="8" w:color="04568A"/>
            </w:tcBorders>
            <w:gridSpan w:val="2"/>
            <w:shd w:val="clear" w:color="auto" w:fill="E4E9F2"/>
          </w:tcPr>
          <w:p>
            <w:pPr>
              <w:jc w:val="right"/>
              <w:ind w:right="160"/>
              <w:spacing w:after="0" w:line="230" w:lineRule="exact"/>
              <w:rPr>
                <w:sz w:val="20"/>
                <w:szCs w:val="20"/>
                <w:color w:val="auto"/>
              </w:rPr>
            </w:pPr>
            <w:r>
              <w:rPr>
                <w:rFonts w:ascii="Arial" w:cs="Arial" w:eastAsia="Arial" w:hAnsi="Arial"/>
                <w:sz w:val="16"/>
                <w:szCs w:val="16"/>
                <w:color w:val="auto"/>
              </w:rPr>
              <w:t>115,830</w:t>
            </w:r>
            <w:r>
              <w:rPr>
                <w:rFonts w:ascii="Arial" w:cs="Arial" w:eastAsia="Arial" w:hAnsi="Arial"/>
                <w:sz w:val="26"/>
                <w:szCs w:val="26"/>
                <w:color w:val="auto"/>
                <w:vertAlign w:val="superscript"/>
              </w:rPr>
              <w:t>(5)</w:t>
            </w:r>
          </w:p>
        </w:tc>
        <w:tc>
          <w:tcPr>
            <w:tcW w:w="1120" w:type="dxa"/>
            <w:vAlign w:val="bottom"/>
            <w:tcBorders>
              <w:bottom w:val="single" w:sz="8" w:color="04568A"/>
            </w:tcBorders>
            <w:shd w:val="clear" w:color="auto" w:fill="E4E9F2"/>
          </w:tcPr>
          <w:p>
            <w:pPr>
              <w:jc w:val="right"/>
              <w:ind w:right="42"/>
              <w:spacing w:after="0"/>
              <w:rPr>
                <w:sz w:val="20"/>
                <w:szCs w:val="20"/>
                <w:color w:val="auto"/>
              </w:rPr>
            </w:pPr>
            <w:r>
              <w:rPr>
                <w:rFonts w:ascii="Arial" w:cs="Arial" w:eastAsia="Arial" w:hAnsi="Arial"/>
                <w:sz w:val="16"/>
                <w:szCs w:val="16"/>
                <w:color w:val="auto"/>
              </w:rPr>
              <w:t>554,826</w:t>
            </w:r>
          </w:p>
        </w:tc>
        <w:tc>
          <w:tcPr>
            <w:tcW w:w="1380" w:type="dxa"/>
            <w:vAlign w:val="bottom"/>
            <w:tcBorders>
              <w:bottom w:val="single" w:sz="8" w:color="04568A"/>
            </w:tcBorders>
            <w:shd w:val="clear" w:color="auto" w:fill="E4E9F2"/>
          </w:tcPr>
          <w:p>
            <w:pPr>
              <w:jc w:val="right"/>
              <w:spacing w:after="0" w:line="230" w:lineRule="exact"/>
              <w:rPr>
                <w:sz w:val="20"/>
                <w:szCs w:val="20"/>
                <w:color w:val="auto"/>
              </w:rPr>
            </w:pPr>
            <w:r>
              <w:rPr>
                <w:rFonts w:ascii="Arial" w:cs="Arial" w:eastAsia="Arial" w:hAnsi="Arial"/>
                <w:sz w:val="16"/>
                <w:szCs w:val="16"/>
                <w:color w:val="auto"/>
              </w:rPr>
              <w:t>57,915</w:t>
            </w:r>
            <w:r>
              <w:rPr>
                <w:rFonts w:ascii="Arial" w:cs="Arial" w:eastAsia="Arial" w:hAnsi="Arial"/>
                <w:sz w:val="26"/>
                <w:szCs w:val="26"/>
                <w:color w:val="auto"/>
                <w:vertAlign w:val="superscript"/>
              </w:rPr>
              <w:t>(12)</w:t>
            </w:r>
          </w:p>
        </w:tc>
        <w:tc>
          <w:tcPr>
            <w:tcW w:w="106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277,413</w:t>
            </w:r>
          </w:p>
        </w:tc>
        <w:tc>
          <w:tcPr>
            <w:tcW w:w="0" w:type="dxa"/>
            <w:vAlign w:val="bottom"/>
          </w:tcPr>
          <w:p>
            <w:pPr>
              <w:spacing w:after="0"/>
              <w:rPr>
                <w:sz w:val="1"/>
                <w:szCs w:val="1"/>
                <w:color w:val="auto"/>
              </w:rPr>
            </w:pPr>
          </w:p>
        </w:tc>
      </w:tr>
    </w:tbl>
    <w:p>
      <w:pPr>
        <w:spacing w:after="0" w:line="58" w:lineRule="exact"/>
        <w:rPr>
          <w:sz w:val="20"/>
          <w:szCs w:val="20"/>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Based on the closing price of our Class A Common Stock of $4.79 on December 31 2021, the last trading day of the year.</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Stock options vest in one installment on May 7, 2022.</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Stock options vest in two equal installments on March 1, 2022 and March 1, 2023.</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Restricted stock units vest in three equal installments on March 12, 2022, March 12, 2023 and March 12, 2024.</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Restricted stock units vest in four equal installments on March 1, 2022, March 1, 2023, March 1, 2024 and March 1, 2025.</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Restricted stock units vest in one installment on May 7, 2022.</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Restricted stock units vest in two equal installments on March 1, 2022 and March 1, 2023.</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Restricted stock units vest in three equal installments on February 27, 2022, February 27, 2023 and February 27, 2024.</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Restricted stock units vest in two equal installments on June 30, 2022 and June 30, 2023.</w:t>
      </w:r>
    </w:p>
    <w:p>
      <w:pPr>
        <w:spacing w:after="0" w:line="55" w:lineRule="exact"/>
        <w:rPr>
          <w:rFonts w:ascii="Arial" w:cs="Arial" w:eastAsia="Arial" w:hAnsi="Arial"/>
          <w:sz w:val="14"/>
          <w:szCs w:val="14"/>
          <w:i w:val="1"/>
          <w:iCs w:val="1"/>
          <w:color w:val="auto"/>
        </w:rPr>
      </w:pPr>
    </w:p>
    <w:p>
      <w:pPr>
        <w:jc w:val="both"/>
        <w:ind w:left="340" w:right="20" w:hanging="332"/>
        <w:spacing w:after="0" w:line="260" w:lineRule="auto"/>
        <w:tabs>
          <w:tab w:leader="none" w:pos="340" w:val="left"/>
        </w:tabs>
        <w:numPr>
          <w:ilvl w:val="0"/>
          <w:numId w:val="35"/>
        </w:numPr>
        <w:rPr>
          <w:rFonts w:ascii="Arial" w:cs="Arial" w:eastAsia="Arial" w:hAnsi="Arial"/>
          <w:sz w:val="14"/>
          <w:szCs w:val="14"/>
          <w:i w:val="1"/>
          <w:iCs w:val="1"/>
          <w:color w:val="auto"/>
        </w:rPr>
      </w:pPr>
      <w:r>
        <w:rPr>
          <w:rFonts w:ascii="Arial" w:cs="Arial" w:eastAsia="Arial" w:hAnsi="Arial"/>
          <w:sz w:val="14"/>
          <w:szCs w:val="14"/>
          <w:i w:val="1"/>
          <w:iCs w:val="1"/>
          <w:color w:val="auto"/>
        </w:rPr>
        <w:t>The performance-based restricted stock units vest following the conclusion of the January 1, 2019 through December 31, 2021 performance period based upon the level of attainment of our TSR compared to the TSR of companies that comprise the S&amp;P Pharmaceuticals Select Industry Index. Payouts for this performance period are calculated at 0% of the target level.</w:t>
      </w:r>
    </w:p>
    <w:p>
      <w:pPr>
        <w:spacing w:after="0" w:line="143"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41" w:name="page42"/>
    <w:bookmarkEnd w:id="41"/>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81" w:lineRule="exact"/>
        <w:rPr>
          <w:sz w:val="20"/>
          <w:szCs w:val="20"/>
          <w:color w:val="auto"/>
        </w:rPr>
      </w:pPr>
    </w:p>
    <w:p>
      <w:pPr>
        <w:jc w:val="both"/>
        <w:ind w:left="340" w:hanging="332"/>
        <w:spacing w:after="0" w:line="254" w:lineRule="auto"/>
        <w:tabs>
          <w:tab w:leader="none" w:pos="340" w:val="left"/>
        </w:tabs>
        <w:numPr>
          <w:ilvl w:val="0"/>
          <w:numId w:val="36"/>
        </w:numPr>
        <w:rPr>
          <w:rFonts w:ascii="Arial" w:cs="Arial" w:eastAsia="Arial" w:hAnsi="Arial"/>
          <w:sz w:val="14"/>
          <w:szCs w:val="14"/>
          <w:i w:val="1"/>
          <w:iCs w:val="1"/>
          <w:color w:val="auto"/>
        </w:rPr>
      </w:pPr>
      <w:r>
        <w:rPr>
          <w:rFonts w:ascii="Arial" w:cs="Arial" w:eastAsia="Arial" w:hAnsi="Arial"/>
          <w:sz w:val="14"/>
          <w:szCs w:val="14"/>
          <w:i w:val="1"/>
          <w:iCs w:val="1"/>
          <w:color w:val="auto"/>
        </w:rPr>
        <w:t>The performance-based restricted stock units vest following the conclusion of the March 1, 2020 through February 28, 2023 performance period based upon the level of attainment of absolute stock price (based on the closing stock price of the Company’s stock on the New York Stock Exchange). The amounts listed represent the threshold number of units under each award. Total shares earned under the performance-based restricted stock units will range from 0% to 200% of the target number of units based on actual performance.</w:t>
      </w:r>
    </w:p>
    <w:p>
      <w:pPr>
        <w:spacing w:after="0" w:line="20" w:lineRule="exact"/>
        <w:rPr>
          <w:rFonts w:ascii="Arial" w:cs="Arial" w:eastAsia="Arial" w:hAnsi="Arial"/>
          <w:sz w:val="14"/>
          <w:szCs w:val="14"/>
          <w:i w:val="1"/>
          <w:iCs w:val="1"/>
          <w:color w:val="auto"/>
        </w:rPr>
      </w:pPr>
    </w:p>
    <w:p>
      <w:pPr>
        <w:jc w:val="both"/>
        <w:ind w:left="340" w:hanging="332"/>
        <w:spacing w:after="0" w:line="254" w:lineRule="auto"/>
        <w:tabs>
          <w:tab w:leader="none" w:pos="340" w:val="left"/>
        </w:tabs>
        <w:numPr>
          <w:ilvl w:val="0"/>
          <w:numId w:val="36"/>
        </w:numPr>
        <w:rPr>
          <w:rFonts w:ascii="Arial" w:cs="Arial" w:eastAsia="Arial" w:hAnsi="Arial"/>
          <w:sz w:val="14"/>
          <w:szCs w:val="14"/>
          <w:i w:val="1"/>
          <w:iCs w:val="1"/>
          <w:color w:val="auto"/>
        </w:rPr>
      </w:pPr>
      <w:r>
        <w:rPr>
          <w:rFonts w:ascii="Arial" w:cs="Arial" w:eastAsia="Arial" w:hAnsi="Arial"/>
          <w:sz w:val="14"/>
          <w:szCs w:val="14"/>
          <w:i w:val="1"/>
          <w:iCs w:val="1"/>
          <w:color w:val="auto"/>
        </w:rPr>
        <w:t>The performance-based restricted stock units vest following the conclusion of the March 1, 2021 through February 29, 2024 performance period based upon the level of attainment of absolute stock price (based on the closing stock price of the Company’s stock on the New York Stock Exchange). The amounts listed represent the threshold number of units under each award. Total shares earned under the performance-based restricted stock units will range from 0% to 200% of the target number of units based on actual performance.</w:t>
      </w:r>
    </w:p>
    <w:p>
      <w:pPr>
        <w:spacing w:after="0" w:line="317"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2021 Option Exercises and Stock Vested</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4280" w:type="dxa"/>
            <w:vAlign w:val="bottom"/>
          </w:tcPr>
          <w:p>
            <w:pPr>
              <w:spacing w:after="0"/>
              <w:rPr>
                <w:sz w:val="18"/>
                <w:szCs w:val="18"/>
                <w:color w:val="auto"/>
              </w:rPr>
            </w:pPr>
          </w:p>
        </w:tc>
        <w:tc>
          <w:tcPr>
            <w:tcW w:w="3420" w:type="dxa"/>
            <w:vAlign w:val="bottom"/>
            <w:tcBorders>
              <w:bottom w:val="single" w:sz="8" w:color="04568A"/>
            </w:tcBorders>
            <w:gridSpan w:val="2"/>
          </w:tcPr>
          <w:p>
            <w:pPr>
              <w:jc w:val="right"/>
              <w:ind w:right="1060"/>
              <w:spacing w:after="0"/>
              <w:rPr>
                <w:sz w:val="20"/>
                <w:szCs w:val="20"/>
                <w:color w:val="auto"/>
              </w:rPr>
            </w:pPr>
            <w:r>
              <w:rPr>
                <w:rFonts w:ascii="Arial" w:cs="Arial" w:eastAsia="Arial" w:hAnsi="Arial"/>
                <w:sz w:val="16"/>
                <w:szCs w:val="16"/>
                <w:b w:val="1"/>
                <w:bCs w:val="1"/>
                <w:color w:val="04568A"/>
              </w:rPr>
              <w:t>Option Awards</w:t>
            </w:r>
          </w:p>
        </w:tc>
        <w:tc>
          <w:tcPr>
            <w:tcW w:w="220" w:type="dxa"/>
            <w:vAlign w:val="bottom"/>
          </w:tcPr>
          <w:p>
            <w:pPr>
              <w:spacing w:after="0"/>
              <w:rPr>
                <w:sz w:val="18"/>
                <w:szCs w:val="18"/>
                <w:color w:val="auto"/>
              </w:rPr>
            </w:pPr>
          </w:p>
        </w:tc>
        <w:tc>
          <w:tcPr>
            <w:tcW w:w="3320" w:type="dxa"/>
            <w:vAlign w:val="bottom"/>
            <w:tcBorders>
              <w:bottom w:val="single" w:sz="8" w:color="04568A"/>
            </w:tcBorders>
            <w:gridSpan w:val="2"/>
          </w:tcPr>
          <w:p>
            <w:pPr>
              <w:jc w:val="right"/>
              <w:ind w:right="1040"/>
              <w:spacing w:after="0"/>
              <w:rPr>
                <w:sz w:val="20"/>
                <w:szCs w:val="20"/>
                <w:color w:val="auto"/>
              </w:rPr>
            </w:pPr>
            <w:r>
              <w:rPr>
                <w:rFonts w:ascii="Arial" w:cs="Arial" w:eastAsia="Arial" w:hAnsi="Arial"/>
                <w:sz w:val="16"/>
                <w:szCs w:val="16"/>
                <w:b w:val="1"/>
                <w:bCs w:val="1"/>
                <w:color w:val="04568A"/>
              </w:rPr>
              <w:t>Stock Awards</w:t>
            </w:r>
          </w:p>
        </w:tc>
        <w:tc>
          <w:tcPr>
            <w:tcW w:w="0" w:type="dxa"/>
            <w:vAlign w:val="bottom"/>
          </w:tcPr>
          <w:p>
            <w:pPr>
              <w:spacing w:after="0"/>
              <w:rPr>
                <w:sz w:val="1"/>
                <w:szCs w:val="1"/>
                <w:color w:val="auto"/>
              </w:rPr>
            </w:pPr>
          </w:p>
        </w:tc>
      </w:tr>
      <w:tr>
        <w:trPr>
          <w:trHeight w:val="164"/>
        </w:trPr>
        <w:tc>
          <w:tcPr>
            <w:tcW w:w="4280" w:type="dxa"/>
            <w:vAlign w:val="bottom"/>
          </w:tcPr>
          <w:p>
            <w:pPr>
              <w:spacing w:after="0"/>
              <w:rPr>
                <w:sz w:val="14"/>
                <w:szCs w:val="14"/>
                <w:color w:val="auto"/>
              </w:rPr>
            </w:pPr>
          </w:p>
        </w:tc>
        <w:tc>
          <w:tcPr>
            <w:tcW w:w="1820" w:type="dxa"/>
            <w:vAlign w:val="bottom"/>
          </w:tcPr>
          <w:p>
            <w:pPr>
              <w:jc w:val="right"/>
              <w:ind w:right="259"/>
              <w:spacing w:after="0" w:line="165" w:lineRule="exact"/>
              <w:rPr>
                <w:sz w:val="20"/>
                <w:szCs w:val="20"/>
                <w:color w:val="auto"/>
              </w:rPr>
            </w:pPr>
            <w:r>
              <w:rPr>
                <w:rFonts w:ascii="Arial" w:cs="Arial" w:eastAsia="Arial" w:hAnsi="Arial"/>
                <w:sz w:val="16"/>
                <w:szCs w:val="16"/>
                <w:b w:val="1"/>
                <w:bCs w:val="1"/>
                <w:color w:val="04568A"/>
              </w:rPr>
              <w:t>Number of</w:t>
            </w:r>
          </w:p>
        </w:tc>
        <w:tc>
          <w:tcPr>
            <w:tcW w:w="1820" w:type="dxa"/>
            <w:vAlign w:val="bottom"/>
            <w:gridSpan w:val="2"/>
            <w:vMerge w:val="restart"/>
          </w:tcPr>
          <w:p>
            <w:pPr>
              <w:jc w:val="right"/>
              <w:ind w:right="340"/>
              <w:spacing w:after="0"/>
              <w:rPr>
                <w:sz w:val="20"/>
                <w:szCs w:val="20"/>
                <w:color w:val="auto"/>
              </w:rPr>
            </w:pPr>
            <w:r>
              <w:rPr>
                <w:rFonts w:ascii="Arial" w:cs="Arial" w:eastAsia="Arial" w:hAnsi="Arial"/>
                <w:sz w:val="16"/>
                <w:szCs w:val="16"/>
                <w:b w:val="1"/>
                <w:bCs w:val="1"/>
                <w:color w:val="04568A"/>
              </w:rPr>
              <w:t>Value Realized</w:t>
            </w:r>
          </w:p>
        </w:tc>
        <w:tc>
          <w:tcPr>
            <w:tcW w:w="1760" w:type="dxa"/>
            <w:vAlign w:val="bottom"/>
          </w:tcPr>
          <w:p>
            <w:pPr>
              <w:jc w:val="right"/>
              <w:ind w:right="239"/>
              <w:spacing w:after="0" w:line="165" w:lineRule="exact"/>
              <w:rPr>
                <w:sz w:val="20"/>
                <w:szCs w:val="20"/>
                <w:color w:val="auto"/>
              </w:rPr>
            </w:pPr>
            <w:r>
              <w:rPr>
                <w:rFonts w:ascii="Arial" w:cs="Arial" w:eastAsia="Arial" w:hAnsi="Arial"/>
                <w:sz w:val="16"/>
                <w:szCs w:val="16"/>
                <w:b w:val="1"/>
                <w:bCs w:val="1"/>
                <w:color w:val="04568A"/>
              </w:rPr>
              <w:t>Number of</w:t>
            </w:r>
          </w:p>
        </w:tc>
        <w:tc>
          <w:tcPr>
            <w:tcW w:w="1560" w:type="dxa"/>
            <w:vAlign w:val="bottom"/>
            <w:vMerge w:val="restart"/>
          </w:tcPr>
          <w:p>
            <w:pPr>
              <w:jc w:val="right"/>
              <w:ind w:right="20"/>
              <w:spacing w:after="0"/>
              <w:rPr>
                <w:sz w:val="20"/>
                <w:szCs w:val="20"/>
                <w:color w:val="auto"/>
              </w:rPr>
            </w:pPr>
            <w:r>
              <w:rPr>
                <w:rFonts w:ascii="Arial" w:cs="Arial" w:eastAsia="Arial" w:hAnsi="Arial"/>
                <w:sz w:val="16"/>
                <w:szCs w:val="16"/>
                <w:b w:val="1"/>
                <w:bCs w:val="1"/>
                <w:color w:val="04568A"/>
              </w:rPr>
              <w:t>Value Realized</w:t>
            </w:r>
          </w:p>
        </w:tc>
        <w:tc>
          <w:tcPr>
            <w:tcW w:w="0" w:type="dxa"/>
            <w:vAlign w:val="bottom"/>
          </w:tcPr>
          <w:p>
            <w:pPr>
              <w:spacing w:after="0"/>
              <w:rPr>
                <w:sz w:val="1"/>
                <w:szCs w:val="1"/>
                <w:color w:val="auto"/>
              </w:rPr>
            </w:pPr>
          </w:p>
        </w:tc>
      </w:tr>
      <w:tr>
        <w:trPr>
          <w:trHeight w:val="167"/>
        </w:trPr>
        <w:tc>
          <w:tcPr>
            <w:tcW w:w="4280" w:type="dxa"/>
            <w:vAlign w:val="bottom"/>
          </w:tcPr>
          <w:p>
            <w:pPr>
              <w:spacing w:after="0"/>
              <w:rPr>
                <w:sz w:val="14"/>
                <w:szCs w:val="14"/>
                <w:color w:val="auto"/>
              </w:rPr>
            </w:pPr>
          </w:p>
        </w:tc>
        <w:tc>
          <w:tcPr>
            <w:tcW w:w="1820" w:type="dxa"/>
            <w:vAlign w:val="bottom"/>
          </w:tcPr>
          <w:p>
            <w:pPr>
              <w:jc w:val="right"/>
              <w:ind w:right="259"/>
              <w:spacing w:after="0" w:line="167" w:lineRule="exact"/>
              <w:rPr>
                <w:sz w:val="20"/>
                <w:szCs w:val="20"/>
                <w:color w:val="auto"/>
              </w:rPr>
            </w:pPr>
            <w:r>
              <w:rPr>
                <w:rFonts w:ascii="Arial" w:cs="Arial" w:eastAsia="Arial" w:hAnsi="Arial"/>
                <w:sz w:val="16"/>
                <w:szCs w:val="16"/>
                <w:b w:val="1"/>
                <w:bCs w:val="1"/>
                <w:color w:val="04568A"/>
              </w:rPr>
              <w:t>Shares Acquired</w:t>
            </w:r>
          </w:p>
        </w:tc>
        <w:tc>
          <w:tcPr>
            <w:tcW w:w="1820" w:type="dxa"/>
            <w:vAlign w:val="bottom"/>
            <w:gridSpan w:val="2"/>
            <w:vMerge w:val="continue"/>
          </w:tcPr>
          <w:p>
            <w:pPr>
              <w:spacing w:after="0"/>
              <w:rPr>
                <w:sz w:val="14"/>
                <w:szCs w:val="14"/>
                <w:color w:val="auto"/>
              </w:rPr>
            </w:pPr>
          </w:p>
        </w:tc>
        <w:tc>
          <w:tcPr>
            <w:tcW w:w="1760" w:type="dxa"/>
            <w:vAlign w:val="bottom"/>
          </w:tcPr>
          <w:p>
            <w:pPr>
              <w:jc w:val="right"/>
              <w:ind w:right="239"/>
              <w:spacing w:after="0" w:line="167" w:lineRule="exact"/>
              <w:rPr>
                <w:sz w:val="20"/>
                <w:szCs w:val="20"/>
                <w:color w:val="auto"/>
              </w:rPr>
            </w:pPr>
            <w:r>
              <w:rPr>
                <w:rFonts w:ascii="Arial" w:cs="Arial" w:eastAsia="Arial" w:hAnsi="Arial"/>
                <w:sz w:val="16"/>
                <w:szCs w:val="16"/>
                <w:b w:val="1"/>
                <w:bCs w:val="1"/>
                <w:color w:val="04568A"/>
              </w:rPr>
              <w:t>Shares Acquired</w:t>
            </w:r>
          </w:p>
        </w:tc>
        <w:tc>
          <w:tcPr>
            <w:tcW w:w="15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1"/>
        </w:trPr>
        <w:tc>
          <w:tcPr>
            <w:tcW w:w="4280" w:type="dxa"/>
            <w:vAlign w:val="bottom"/>
          </w:tcPr>
          <w:p>
            <w:pPr>
              <w:spacing w:after="0"/>
              <w:rPr>
                <w:sz w:val="18"/>
                <w:szCs w:val="18"/>
                <w:color w:val="auto"/>
              </w:rPr>
            </w:pPr>
          </w:p>
        </w:tc>
        <w:tc>
          <w:tcPr>
            <w:tcW w:w="1820" w:type="dxa"/>
            <w:vAlign w:val="bottom"/>
          </w:tcPr>
          <w:p>
            <w:pPr>
              <w:jc w:val="right"/>
              <w:ind w:right="259"/>
              <w:spacing w:after="0"/>
              <w:rPr>
                <w:sz w:val="20"/>
                <w:szCs w:val="20"/>
                <w:color w:val="auto"/>
              </w:rPr>
            </w:pPr>
            <w:r>
              <w:rPr>
                <w:rFonts w:ascii="Arial" w:cs="Arial" w:eastAsia="Arial" w:hAnsi="Arial"/>
                <w:sz w:val="16"/>
                <w:szCs w:val="16"/>
                <w:b w:val="1"/>
                <w:bCs w:val="1"/>
                <w:color w:val="04568A"/>
              </w:rPr>
              <w:t>on Exercise</w:t>
            </w:r>
          </w:p>
        </w:tc>
        <w:tc>
          <w:tcPr>
            <w:tcW w:w="1820" w:type="dxa"/>
            <w:vAlign w:val="bottom"/>
            <w:gridSpan w:val="2"/>
          </w:tcPr>
          <w:p>
            <w:pPr>
              <w:jc w:val="right"/>
              <w:ind w:right="340"/>
              <w:spacing w:after="0" w:line="211" w:lineRule="exact"/>
              <w:rPr>
                <w:sz w:val="20"/>
                <w:szCs w:val="20"/>
                <w:color w:val="auto"/>
              </w:rPr>
            </w:pPr>
            <w:r>
              <w:rPr>
                <w:rFonts w:ascii="Arial" w:cs="Arial" w:eastAsia="Arial" w:hAnsi="Arial"/>
                <w:sz w:val="15"/>
                <w:szCs w:val="15"/>
                <w:b w:val="1"/>
                <w:bCs w:val="1"/>
                <w:color w:val="04568A"/>
              </w:rPr>
              <w:t>on Exercise</w:t>
            </w:r>
            <w:r>
              <w:rPr>
                <w:rFonts w:ascii="Arial" w:cs="Arial" w:eastAsia="Arial" w:hAnsi="Arial"/>
                <w:sz w:val="24"/>
                <w:szCs w:val="24"/>
                <w:b w:val="1"/>
                <w:bCs w:val="1"/>
                <w:color w:val="04568A"/>
                <w:vertAlign w:val="superscript"/>
              </w:rPr>
              <w:t>(1)</w:t>
            </w:r>
          </w:p>
        </w:tc>
        <w:tc>
          <w:tcPr>
            <w:tcW w:w="1760" w:type="dxa"/>
            <w:vAlign w:val="bottom"/>
          </w:tcPr>
          <w:p>
            <w:pPr>
              <w:jc w:val="right"/>
              <w:ind w:right="239"/>
              <w:spacing w:after="0"/>
              <w:rPr>
                <w:sz w:val="20"/>
                <w:szCs w:val="20"/>
                <w:color w:val="auto"/>
              </w:rPr>
            </w:pPr>
            <w:r>
              <w:rPr>
                <w:rFonts w:ascii="Arial" w:cs="Arial" w:eastAsia="Arial" w:hAnsi="Arial"/>
                <w:sz w:val="16"/>
                <w:szCs w:val="16"/>
                <w:b w:val="1"/>
                <w:bCs w:val="1"/>
                <w:color w:val="04568A"/>
              </w:rPr>
              <w:t>on Vesting</w:t>
            </w:r>
          </w:p>
        </w:tc>
        <w:tc>
          <w:tcPr>
            <w:tcW w:w="1560" w:type="dxa"/>
            <w:vAlign w:val="bottom"/>
          </w:tcPr>
          <w:p>
            <w:pPr>
              <w:jc w:val="right"/>
              <w:ind w:right="80"/>
              <w:spacing w:after="0" w:line="211" w:lineRule="exact"/>
              <w:rPr>
                <w:sz w:val="20"/>
                <w:szCs w:val="20"/>
                <w:color w:val="auto"/>
              </w:rPr>
            </w:pPr>
            <w:r>
              <w:rPr>
                <w:rFonts w:ascii="Arial" w:cs="Arial" w:eastAsia="Arial" w:hAnsi="Arial"/>
                <w:sz w:val="15"/>
                <w:szCs w:val="15"/>
                <w:b w:val="1"/>
                <w:bCs w:val="1"/>
                <w:color w:val="04568A"/>
              </w:rPr>
              <w:t>on Vesting</w:t>
            </w:r>
            <w:r>
              <w:rPr>
                <w:rFonts w:ascii="Arial" w:cs="Arial" w:eastAsia="Arial" w:hAnsi="Arial"/>
                <w:sz w:val="24"/>
                <w:szCs w:val="24"/>
                <w:b w:val="1"/>
                <w:bCs w:val="1"/>
                <w:color w:val="04568A"/>
                <w:vertAlign w:val="superscript"/>
              </w:rPr>
              <w:t>(2)</w:t>
            </w:r>
          </w:p>
        </w:tc>
        <w:tc>
          <w:tcPr>
            <w:tcW w:w="0" w:type="dxa"/>
            <w:vAlign w:val="bottom"/>
          </w:tcPr>
          <w:p>
            <w:pPr>
              <w:spacing w:after="0"/>
              <w:rPr>
                <w:sz w:val="1"/>
                <w:szCs w:val="1"/>
                <w:color w:val="auto"/>
              </w:rPr>
            </w:pPr>
          </w:p>
        </w:tc>
      </w:tr>
      <w:tr>
        <w:trPr>
          <w:trHeight w:val="207"/>
        </w:trPr>
        <w:tc>
          <w:tcPr>
            <w:tcW w:w="428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Name</w:t>
            </w:r>
          </w:p>
        </w:tc>
        <w:tc>
          <w:tcPr>
            <w:tcW w:w="1820" w:type="dxa"/>
            <w:vAlign w:val="bottom"/>
            <w:tcBorders>
              <w:bottom w:val="single" w:sz="8" w:color="04568A"/>
            </w:tcBorders>
          </w:tcPr>
          <w:p>
            <w:pPr>
              <w:jc w:val="right"/>
              <w:ind w:right="259"/>
              <w:spacing w:after="0"/>
              <w:rPr>
                <w:sz w:val="20"/>
                <w:szCs w:val="20"/>
                <w:color w:val="auto"/>
              </w:rPr>
            </w:pPr>
            <w:r>
              <w:rPr>
                <w:rFonts w:ascii="Arial" w:cs="Arial" w:eastAsia="Arial" w:hAnsi="Arial"/>
                <w:sz w:val="16"/>
                <w:szCs w:val="16"/>
                <w:b w:val="1"/>
                <w:bCs w:val="1"/>
                <w:color w:val="04568A"/>
              </w:rPr>
              <w:t>(#)</w:t>
            </w:r>
          </w:p>
        </w:tc>
        <w:tc>
          <w:tcPr>
            <w:tcW w:w="1600" w:type="dxa"/>
            <w:vAlign w:val="bottom"/>
            <w:tcBorders>
              <w:bottom w:val="single" w:sz="8" w:color="04568A"/>
            </w:tcBorders>
          </w:tcPr>
          <w:p>
            <w:pPr>
              <w:jc w:val="right"/>
              <w:ind w:right="40"/>
              <w:spacing w:after="0"/>
              <w:rPr>
                <w:sz w:val="20"/>
                <w:szCs w:val="20"/>
                <w:color w:val="auto"/>
              </w:rPr>
            </w:pPr>
            <w:r>
              <w:rPr>
                <w:rFonts w:ascii="Arial" w:cs="Arial" w:eastAsia="Arial" w:hAnsi="Arial"/>
                <w:sz w:val="16"/>
                <w:szCs w:val="16"/>
                <w:b w:val="1"/>
                <w:bCs w:val="1"/>
                <w:color w:val="04568A"/>
              </w:rPr>
              <w:t>($)</w:t>
            </w:r>
          </w:p>
        </w:tc>
        <w:tc>
          <w:tcPr>
            <w:tcW w:w="220" w:type="dxa"/>
            <w:vAlign w:val="bottom"/>
            <w:tcBorders>
              <w:bottom w:val="single" w:sz="8" w:color="04568A"/>
            </w:tcBorders>
          </w:tcPr>
          <w:p>
            <w:pPr>
              <w:spacing w:after="0"/>
              <w:rPr>
                <w:sz w:val="18"/>
                <w:szCs w:val="18"/>
                <w:color w:val="auto"/>
              </w:rPr>
            </w:pPr>
          </w:p>
        </w:tc>
        <w:tc>
          <w:tcPr>
            <w:tcW w:w="1760" w:type="dxa"/>
            <w:vAlign w:val="bottom"/>
            <w:tcBorders>
              <w:bottom w:val="single" w:sz="8" w:color="04568A"/>
            </w:tcBorders>
          </w:tcPr>
          <w:p>
            <w:pPr>
              <w:jc w:val="right"/>
              <w:ind w:right="239"/>
              <w:spacing w:after="0"/>
              <w:rPr>
                <w:sz w:val="20"/>
                <w:szCs w:val="20"/>
                <w:color w:val="auto"/>
              </w:rPr>
            </w:pPr>
            <w:r>
              <w:rPr>
                <w:rFonts w:ascii="Arial" w:cs="Arial" w:eastAsia="Arial" w:hAnsi="Arial"/>
                <w:sz w:val="16"/>
                <w:szCs w:val="16"/>
                <w:b w:val="1"/>
                <w:bCs w:val="1"/>
                <w:color w:val="04568A"/>
              </w:rPr>
              <w:t>(#)</w:t>
            </w:r>
          </w:p>
        </w:tc>
        <w:tc>
          <w:tcPr>
            <w:tcW w:w="1560" w:type="dxa"/>
            <w:vAlign w:val="bottom"/>
            <w:tcBorders>
              <w:bottom w:val="single" w:sz="8" w:color="04568A"/>
            </w:tcBorders>
          </w:tcPr>
          <w:p>
            <w:pPr>
              <w:jc w:val="right"/>
              <w:ind w:right="20"/>
              <w:spacing w:after="0"/>
              <w:rPr>
                <w:sz w:val="20"/>
                <w:szCs w:val="20"/>
                <w:color w:val="auto"/>
              </w:rPr>
            </w:pPr>
            <w:r>
              <w:rPr>
                <w:rFonts w:ascii="Arial" w:cs="Arial" w:eastAsia="Arial" w:hAnsi="Arial"/>
                <w:sz w:val="16"/>
                <w:szCs w:val="16"/>
                <w:b w:val="1"/>
                <w:bCs w:val="1"/>
                <w:color w:val="04568A"/>
              </w:rPr>
              <w:t>($)</w:t>
            </w:r>
          </w:p>
        </w:tc>
        <w:tc>
          <w:tcPr>
            <w:tcW w:w="0" w:type="dxa"/>
            <w:vAlign w:val="bottom"/>
          </w:tcPr>
          <w:p>
            <w:pPr>
              <w:spacing w:after="0"/>
              <w:rPr>
                <w:sz w:val="1"/>
                <w:szCs w:val="1"/>
                <w:color w:val="auto"/>
              </w:rPr>
            </w:pPr>
          </w:p>
        </w:tc>
      </w:tr>
      <w:tr>
        <w:trPr>
          <w:trHeight w:val="183"/>
        </w:trPr>
        <w:tc>
          <w:tcPr>
            <w:tcW w:w="4280" w:type="dxa"/>
            <w:vAlign w:val="bottom"/>
          </w:tcPr>
          <w:p>
            <w:pPr>
              <w:ind w:left="60"/>
              <w:spacing w:after="0" w:line="183" w:lineRule="exact"/>
              <w:rPr>
                <w:sz w:val="20"/>
                <w:szCs w:val="20"/>
                <w:color w:val="auto"/>
              </w:rPr>
            </w:pPr>
            <w:r>
              <w:rPr>
                <w:rFonts w:ascii="Arial" w:cs="Arial" w:eastAsia="Arial" w:hAnsi="Arial"/>
                <w:sz w:val="16"/>
                <w:szCs w:val="16"/>
                <w:color w:val="auto"/>
              </w:rPr>
              <w:t>Chirag Patel</w:t>
            </w:r>
          </w:p>
        </w:tc>
        <w:tc>
          <w:tcPr>
            <w:tcW w:w="1820" w:type="dxa"/>
            <w:vAlign w:val="bottom"/>
          </w:tcPr>
          <w:p>
            <w:pPr>
              <w:jc w:val="right"/>
              <w:ind w:right="259"/>
              <w:spacing w:after="0" w:line="183" w:lineRule="exact"/>
              <w:rPr>
                <w:sz w:val="20"/>
                <w:szCs w:val="20"/>
                <w:color w:val="auto"/>
              </w:rPr>
            </w:pPr>
            <w:r>
              <w:rPr>
                <w:rFonts w:ascii="Arial" w:cs="Arial" w:eastAsia="Arial" w:hAnsi="Arial"/>
                <w:sz w:val="16"/>
                <w:szCs w:val="16"/>
                <w:color w:val="auto"/>
              </w:rPr>
              <w:t>—</w:t>
            </w:r>
          </w:p>
        </w:tc>
        <w:tc>
          <w:tcPr>
            <w:tcW w:w="1820" w:type="dxa"/>
            <w:vAlign w:val="bottom"/>
            <w:gridSpan w:val="2"/>
          </w:tcPr>
          <w:p>
            <w:pPr>
              <w:jc w:val="right"/>
              <w:ind w:right="340"/>
              <w:spacing w:after="0" w:line="183" w:lineRule="exact"/>
              <w:rPr>
                <w:sz w:val="20"/>
                <w:szCs w:val="20"/>
                <w:color w:val="auto"/>
              </w:rPr>
            </w:pPr>
            <w:r>
              <w:rPr>
                <w:rFonts w:ascii="Arial" w:cs="Arial" w:eastAsia="Arial" w:hAnsi="Arial"/>
                <w:sz w:val="16"/>
                <w:szCs w:val="16"/>
                <w:color w:val="auto"/>
              </w:rPr>
              <w:t>—</w:t>
            </w:r>
          </w:p>
        </w:tc>
        <w:tc>
          <w:tcPr>
            <w:tcW w:w="1760" w:type="dxa"/>
            <w:vAlign w:val="bottom"/>
          </w:tcPr>
          <w:p>
            <w:pPr>
              <w:jc w:val="right"/>
              <w:ind w:right="239"/>
              <w:spacing w:after="0" w:line="183" w:lineRule="exact"/>
              <w:rPr>
                <w:sz w:val="20"/>
                <w:szCs w:val="20"/>
                <w:color w:val="auto"/>
              </w:rPr>
            </w:pPr>
            <w:r>
              <w:rPr>
                <w:rFonts w:ascii="Arial" w:cs="Arial" w:eastAsia="Arial" w:hAnsi="Arial"/>
                <w:sz w:val="16"/>
                <w:szCs w:val="16"/>
                <w:color w:val="auto"/>
              </w:rPr>
              <w:t>—</w:t>
            </w:r>
          </w:p>
        </w:tc>
        <w:tc>
          <w:tcPr>
            <w:tcW w:w="1560" w:type="dxa"/>
            <w:vAlign w:val="bottom"/>
          </w:tcPr>
          <w:p>
            <w:pPr>
              <w:jc w:val="right"/>
              <w:ind w:right="20"/>
              <w:spacing w:after="0" w:line="183" w:lineRule="exact"/>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89"/>
        </w:trPr>
        <w:tc>
          <w:tcPr>
            <w:tcW w:w="4280" w:type="dxa"/>
            <w:vAlign w:val="bottom"/>
            <w:shd w:val="clear" w:color="auto" w:fill="E4E9F2"/>
          </w:tcPr>
          <w:p>
            <w:pPr>
              <w:ind w:left="60"/>
              <w:spacing w:after="0"/>
              <w:rPr>
                <w:sz w:val="20"/>
                <w:szCs w:val="20"/>
                <w:color w:val="auto"/>
              </w:rPr>
            </w:pPr>
            <w:r>
              <w:rPr>
                <w:rFonts w:ascii="Arial" w:cs="Arial" w:eastAsia="Arial" w:hAnsi="Arial"/>
                <w:sz w:val="16"/>
                <w:szCs w:val="16"/>
                <w:color w:val="auto"/>
              </w:rPr>
              <w:t>Chintu Patel</w:t>
            </w:r>
          </w:p>
        </w:tc>
        <w:tc>
          <w:tcPr>
            <w:tcW w:w="182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w:t>
            </w:r>
          </w:p>
        </w:tc>
        <w:tc>
          <w:tcPr>
            <w:tcW w:w="1820" w:type="dxa"/>
            <w:vAlign w:val="bottom"/>
            <w:gridSpan w:val="2"/>
            <w:shd w:val="clear" w:color="auto" w:fill="E4E9F2"/>
          </w:tcPr>
          <w:p>
            <w:pPr>
              <w:jc w:val="right"/>
              <w:ind w:right="340"/>
              <w:spacing w:after="0"/>
              <w:rPr>
                <w:sz w:val="20"/>
                <w:szCs w:val="20"/>
                <w:color w:val="auto"/>
              </w:rPr>
            </w:pPr>
            <w:r>
              <w:rPr>
                <w:rFonts w:ascii="Arial" w:cs="Arial" w:eastAsia="Arial" w:hAnsi="Arial"/>
                <w:sz w:val="16"/>
                <w:szCs w:val="16"/>
                <w:color w:val="auto"/>
              </w:rPr>
              <w:t>—</w:t>
            </w:r>
          </w:p>
        </w:tc>
        <w:tc>
          <w:tcPr>
            <w:tcW w:w="1760" w:type="dxa"/>
            <w:vAlign w:val="bottom"/>
            <w:shd w:val="clear" w:color="auto" w:fill="E4E9F2"/>
          </w:tcPr>
          <w:p>
            <w:pPr>
              <w:jc w:val="right"/>
              <w:ind w:right="239"/>
              <w:spacing w:after="0"/>
              <w:rPr>
                <w:sz w:val="20"/>
                <w:szCs w:val="20"/>
                <w:color w:val="auto"/>
              </w:rPr>
            </w:pPr>
            <w:r>
              <w:rPr>
                <w:rFonts w:ascii="Arial" w:cs="Arial" w:eastAsia="Arial" w:hAnsi="Arial"/>
                <w:sz w:val="16"/>
                <w:szCs w:val="16"/>
                <w:color w:val="auto"/>
              </w:rPr>
              <w:t>—</w:t>
            </w:r>
          </w:p>
        </w:tc>
        <w:tc>
          <w:tcPr>
            <w:tcW w:w="1560" w:type="dxa"/>
            <w:vAlign w:val="bottom"/>
            <w:shd w:val="clear" w:color="auto" w:fill="E4E9F2"/>
          </w:tcPr>
          <w:p>
            <w:pPr>
              <w:jc w:val="right"/>
              <w:ind w:right="2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89"/>
        </w:trPr>
        <w:tc>
          <w:tcPr>
            <w:tcW w:w="4280" w:type="dxa"/>
            <w:vAlign w:val="bottom"/>
          </w:tcPr>
          <w:p>
            <w:pPr>
              <w:ind w:left="60"/>
              <w:spacing w:after="0"/>
              <w:rPr>
                <w:sz w:val="20"/>
                <w:szCs w:val="20"/>
                <w:color w:val="auto"/>
              </w:rPr>
            </w:pPr>
            <w:r>
              <w:rPr>
                <w:rFonts w:ascii="Arial" w:cs="Arial" w:eastAsia="Arial" w:hAnsi="Arial"/>
                <w:sz w:val="16"/>
                <w:szCs w:val="16"/>
                <w:color w:val="auto"/>
              </w:rPr>
              <w:t>Anastasios Konidaris</w:t>
            </w:r>
          </w:p>
        </w:tc>
        <w:tc>
          <w:tcPr>
            <w:tcW w:w="1820" w:type="dxa"/>
            <w:vAlign w:val="bottom"/>
          </w:tcPr>
          <w:p>
            <w:pPr>
              <w:jc w:val="right"/>
              <w:ind w:right="259"/>
              <w:spacing w:after="0"/>
              <w:rPr>
                <w:sz w:val="20"/>
                <w:szCs w:val="20"/>
                <w:color w:val="auto"/>
              </w:rPr>
            </w:pPr>
            <w:r>
              <w:rPr>
                <w:rFonts w:ascii="Arial" w:cs="Arial" w:eastAsia="Arial" w:hAnsi="Arial"/>
                <w:sz w:val="16"/>
                <w:szCs w:val="16"/>
                <w:color w:val="auto"/>
              </w:rPr>
              <w:t>—</w:t>
            </w:r>
          </w:p>
        </w:tc>
        <w:tc>
          <w:tcPr>
            <w:tcW w:w="1820" w:type="dxa"/>
            <w:vAlign w:val="bottom"/>
            <w:gridSpan w:val="2"/>
          </w:tcPr>
          <w:p>
            <w:pPr>
              <w:jc w:val="right"/>
              <w:ind w:right="340"/>
              <w:spacing w:after="0"/>
              <w:rPr>
                <w:sz w:val="20"/>
                <w:szCs w:val="20"/>
                <w:color w:val="auto"/>
              </w:rPr>
            </w:pPr>
            <w:r>
              <w:rPr>
                <w:rFonts w:ascii="Arial" w:cs="Arial" w:eastAsia="Arial" w:hAnsi="Arial"/>
                <w:sz w:val="16"/>
                <w:szCs w:val="16"/>
                <w:color w:val="auto"/>
              </w:rPr>
              <w:t>—</w:t>
            </w:r>
          </w:p>
        </w:tc>
        <w:tc>
          <w:tcPr>
            <w:tcW w:w="1760" w:type="dxa"/>
            <w:vAlign w:val="bottom"/>
          </w:tcPr>
          <w:p>
            <w:pPr>
              <w:jc w:val="right"/>
              <w:ind w:right="239"/>
              <w:spacing w:after="0"/>
              <w:rPr>
                <w:sz w:val="20"/>
                <w:szCs w:val="20"/>
                <w:color w:val="auto"/>
              </w:rPr>
            </w:pPr>
            <w:r>
              <w:rPr>
                <w:rFonts w:ascii="Arial" w:cs="Arial" w:eastAsia="Arial" w:hAnsi="Arial"/>
                <w:sz w:val="16"/>
                <w:szCs w:val="16"/>
                <w:color w:val="auto"/>
              </w:rPr>
              <w:t>87,719</w:t>
            </w:r>
          </w:p>
        </w:tc>
        <w:tc>
          <w:tcPr>
            <w:tcW w:w="1560" w:type="dxa"/>
            <w:vAlign w:val="bottom"/>
          </w:tcPr>
          <w:p>
            <w:pPr>
              <w:jc w:val="right"/>
              <w:ind w:right="20"/>
              <w:spacing w:after="0"/>
              <w:rPr>
                <w:sz w:val="20"/>
                <w:szCs w:val="20"/>
                <w:color w:val="auto"/>
              </w:rPr>
            </w:pPr>
            <w:r>
              <w:rPr>
                <w:rFonts w:ascii="Arial" w:cs="Arial" w:eastAsia="Arial" w:hAnsi="Arial"/>
                <w:sz w:val="16"/>
                <w:szCs w:val="16"/>
                <w:color w:val="auto"/>
              </w:rPr>
              <w:t>528,068</w:t>
            </w:r>
          </w:p>
        </w:tc>
        <w:tc>
          <w:tcPr>
            <w:tcW w:w="0" w:type="dxa"/>
            <w:vAlign w:val="bottom"/>
          </w:tcPr>
          <w:p>
            <w:pPr>
              <w:spacing w:after="0"/>
              <w:rPr>
                <w:sz w:val="1"/>
                <w:szCs w:val="1"/>
                <w:color w:val="auto"/>
              </w:rPr>
            </w:pPr>
          </w:p>
        </w:tc>
      </w:tr>
      <w:tr>
        <w:trPr>
          <w:trHeight w:val="189"/>
        </w:trPr>
        <w:tc>
          <w:tcPr>
            <w:tcW w:w="4280" w:type="dxa"/>
            <w:vAlign w:val="bottom"/>
            <w:shd w:val="clear" w:color="auto" w:fill="E4E9F2"/>
          </w:tcPr>
          <w:p>
            <w:pPr>
              <w:ind w:left="60"/>
              <w:spacing w:after="0"/>
              <w:rPr>
                <w:sz w:val="20"/>
                <w:szCs w:val="20"/>
                <w:color w:val="auto"/>
              </w:rPr>
            </w:pPr>
            <w:r>
              <w:rPr>
                <w:rFonts w:ascii="Arial" w:cs="Arial" w:eastAsia="Arial" w:hAnsi="Arial"/>
                <w:sz w:val="16"/>
                <w:szCs w:val="16"/>
                <w:color w:val="auto"/>
              </w:rPr>
              <w:t>Andrew Boyer</w:t>
            </w:r>
          </w:p>
        </w:tc>
        <w:tc>
          <w:tcPr>
            <w:tcW w:w="182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w:t>
            </w:r>
          </w:p>
        </w:tc>
        <w:tc>
          <w:tcPr>
            <w:tcW w:w="1820" w:type="dxa"/>
            <w:vAlign w:val="bottom"/>
            <w:gridSpan w:val="2"/>
            <w:shd w:val="clear" w:color="auto" w:fill="E4E9F2"/>
          </w:tcPr>
          <w:p>
            <w:pPr>
              <w:jc w:val="right"/>
              <w:ind w:right="340"/>
              <w:spacing w:after="0"/>
              <w:rPr>
                <w:sz w:val="20"/>
                <w:szCs w:val="20"/>
                <w:color w:val="auto"/>
              </w:rPr>
            </w:pPr>
            <w:r>
              <w:rPr>
                <w:rFonts w:ascii="Arial" w:cs="Arial" w:eastAsia="Arial" w:hAnsi="Arial"/>
                <w:sz w:val="16"/>
                <w:szCs w:val="16"/>
                <w:color w:val="auto"/>
              </w:rPr>
              <w:t>—</w:t>
            </w:r>
          </w:p>
        </w:tc>
        <w:tc>
          <w:tcPr>
            <w:tcW w:w="1760" w:type="dxa"/>
            <w:vAlign w:val="bottom"/>
            <w:shd w:val="clear" w:color="auto" w:fill="E4E9F2"/>
          </w:tcPr>
          <w:p>
            <w:pPr>
              <w:jc w:val="right"/>
              <w:ind w:right="239"/>
              <w:spacing w:after="0"/>
              <w:rPr>
                <w:sz w:val="20"/>
                <w:szCs w:val="20"/>
                <w:color w:val="auto"/>
              </w:rPr>
            </w:pPr>
            <w:r>
              <w:rPr>
                <w:rFonts w:ascii="Arial" w:cs="Arial" w:eastAsia="Arial" w:hAnsi="Arial"/>
                <w:sz w:val="16"/>
                <w:szCs w:val="16"/>
                <w:color w:val="auto"/>
              </w:rPr>
              <w:t>83,758</w:t>
            </w:r>
          </w:p>
        </w:tc>
        <w:tc>
          <w:tcPr>
            <w:tcW w:w="1560" w:type="dxa"/>
            <w:vAlign w:val="bottom"/>
            <w:shd w:val="clear" w:color="auto" w:fill="E4E9F2"/>
          </w:tcPr>
          <w:p>
            <w:pPr>
              <w:jc w:val="right"/>
              <w:ind w:right="20"/>
              <w:spacing w:after="0"/>
              <w:rPr>
                <w:sz w:val="20"/>
                <w:szCs w:val="20"/>
                <w:color w:val="auto"/>
              </w:rPr>
            </w:pPr>
            <w:r>
              <w:rPr>
                <w:rFonts w:ascii="Arial" w:cs="Arial" w:eastAsia="Arial" w:hAnsi="Arial"/>
                <w:sz w:val="16"/>
                <w:szCs w:val="16"/>
                <w:color w:val="auto"/>
              </w:rPr>
              <w:t>439,463</w:t>
            </w:r>
          </w:p>
        </w:tc>
        <w:tc>
          <w:tcPr>
            <w:tcW w:w="0" w:type="dxa"/>
            <w:vAlign w:val="bottom"/>
          </w:tcPr>
          <w:p>
            <w:pPr>
              <w:spacing w:after="0"/>
              <w:rPr>
                <w:sz w:val="1"/>
                <w:szCs w:val="1"/>
                <w:color w:val="auto"/>
              </w:rPr>
            </w:pPr>
          </w:p>
        </w:tc>
      </w:tr>
      <w:tr>
        <w:trPr>
          <w:trHeight w:val="189"/>
        </w:trPr>
        <w:tc>
          <w:tcPr>
            <w:tcW w:w="4280" w:type="dxa"/>
            <w:vAlign w:val="bottom"/>
          </w:tcPr>
          <w:p>
            <w:pPr>
              <w:ind w:left="60"/>
              <w:spacing w:after="0"/>
              <w:rPr>
                <w:sz w:val="20"/>
                <w:szCs w:val="20"/>
                <w:color w:val="auto"/>
              </w:rPr>
            </w:pPr>
            <w:r>
              <w:rPr>
                <w:rFonts w:ascii="Arial" w:cs="Arial" w:eastAsia="Arial" w:hAnsi="Arial"/>
                <w:sz w:val="16"/>
                <w:szCs w:val="16"/>
                <w:color w:val="auto"/>
              </w:rPr>
              <w:t>Joseph Todisco</w:t>
            </w:r>
          </w:p>
        </w:tc>
        <w:tc>
          <w:tcPr>
            <w:tcW w:w="1820" w:type="dxa"/>
            <w:vAlign w:val="bottom"/>
          </w:tcPr>
          <w:p>
            <w:pPr>
              <w:jc w:val="right"/>
              <w:ind w:right="259"/>
              <w:spacing w:after="0"/>
              <w:rPr>
                <w:sz w:val="20"/>
                <w:szCs w:val="20"/>
                <w:color w:val="auto"/>
              </w:rPr>
            </w:pPr>
            <w:r>
              <w:rPr>
                <w:rFonts w:ascii="Arial" w:cs="Arial" w:eastAsia="Arial" w:hAnsi="Arial"/>
                <w:sz w:val="16"/>
                <w:szCs w:val="16"/>
                <w:color w:val="auto"/>
              </w:rPr>
              <w:t>36,330</w:t>
            </w:r>
          </w:p>
        </w:tc>
        <w:tc>
          <w:tcPr>
            <w:tcW w:w="1600" w:type="dxa"/>
            <w:vAlign w:val="bottom"/>
          </w:tcPr>
          <w:p>
            <w:pPr>
              <w:jc w:val="right"/>
              <w:ind w:right="40"/>
              <w:spacing w:after="0"/>
              <w:rPr>
                <w:sz w:val="20"/>
                <w:szCs w:val="20"/>
                <w:color w:val="auto"/>
              </w:rPr>
            </w:pPr>
            <w:r>
              <w:rPr>
                <w:rFonts w:ascii="Arial" w:cs="Arial" w:eastAsia="Arial" w:hAnsi="Arial"/>
                <w:sz w:val="16"/>
                <w:szCs w:val="16"/>
                <w:color w:val="auto"/>
              </w:rPr>
              <w:t>147,960</w:t>
            </w:r>
          </w:p>
        </w:tc>
        <w:tc>
          <w:tcPr>
            <w:tcW w:w="220" w:type="dxa"/>
            <w:vAlign w:val="bottom"/>
          </w:tcPr>
          <w:p>
            <w:pPr>
              <w:spacing w:after="0"/>
              <w:rPr>
                <w:sz w:val="16"/>
                <w:szCs w:val="16"/>
                <w:color w:val="auto"/>
              </w:rPr>
            </w:pPr>
          </w:p>
        </w:tc>
        <w:tc>
          <w:tcPr>
            <w:tcW w:w="1760" w:type="dxa"/>
            <w:vAlign w:val="bottom"/>
          </w:tcPr>
          <w:p>
            <w:pPr>
              <w:jc w:val="right"/>
              <w:ind w:right="239"/>
              <w:spacing w:after="0"/>
              <w:rPr>
                <w:sz w:val="20"/>
                <w:szCs w:val="20"/>
                <w:color w:val="auto"/>
              </w:rPr>
            </w:pPr>
            <w:r>
              <w:rPr>
                <w:rFonts w:ascii="Arial" w:cs="Arial" w:eastAsia="Arial" w:hAnsi="Arial"/>
                <w:sz w:val="16"/>
                <w:szCs w:val="16"/>
                <w:color w:val="auto"/>
              </w:rPr>
              <w:t>45,235</w:t>
            </w:r>
          </w:p>
        </w:tc>
        <w:tc>
          <w:tcPr>
            <w:tcW w:w="1560" w:type="dxa"/>
            <w:vAlign w:val="bottom"/>
          </w:tcPr>
          <w:p>
            <w:pPr>
              <w:jc w:val="right"/>
              <w:ind w:right="20"/>
              <w:spacing w:after="0"/>
              <w:rPr>
                <w:sz w:val="20"/>
                <w:szCs w:val="20"/>
                <w:color w:val="auto"/>
              </w:rPr>
            </w:pPr>
            <w:r>
              <w:rPr>
                <w:rFonts w:ascii="Arial" w:cs="Arial" w:eastAsia="Arial" w:hAnsi="Arial"/>
                <w:sz w:val="16"/>
                <w:szCs w:val="16"/>
                <w:color w:val="auto"/>
              </w:rPr>
              <w:t>240,640</w:t>
            </w:r>
          </w:p>
        </w:tc>
        <w:tc>
          <w:tcPr>
            <w:tcW w:w="0" w:type="dxa"/>
            <w:vAlign w:val="bottom"/>
          </w:tcPr>
          <w:p>
            <w:pPr>
              <w:spacing w:after="0"/>
              <w:rPr>
                <w:sz w:val="1"/>
                <w:szCs w:val="1"/>
                <w:color w:val="auto"/>
              </w:rPr>
            </w:pPr>
          </w:p>
        </w:tc>
      </w:tr>
      <w:tr>
        <w:trPr>
          <w:trHeight w:val="189"/>
        </w:trPr>
        <w:tc>
          <w:tcPr>
            <w:tcW w:w="428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1820" w:type="dxa"/>
            <w:vAlign w:val="bottom"/>
            <w:tcBorders>
              <w:bottom w:val="single" w:sz="8" w:color="04568A"/>
            </w:tcBorders>
            <w:shd w:val="clear" w:color="auto" w:fill="E4E9F2"/>
          </w:tcPr>
          <w:p>
            <w:pPr>
              <w:jc w:val="right"/>
              <w:ind w:right="259"/>
              <w:spacing w:after="0"/>
              <w:rPr>
                <w:sz w:val="20"/>
                <w:szCs w:val="20"/>
                <w:color w:val="auto"/>
              </w:rPr>
            </w:pPr>
            <w:r>
              <w:rPr>
                <w:rFonts w:ascii="Arial" w:cs="Arial" w:eastAsia="Arial" w:hAnsi="Arial"/>
                <w:sz w:val="16"/>
                <w:szCs w:val="16"/>
                <w:color w:val="auto"/>
              </w:rPr>
              <w:t>36,330</w:t>
            </w:r>
          </w:p>
        </w:tc>
        <w:tc>
          <w:tcPr>
            <w:tcW w:w="1600" w:type="dxa"/>
            <w:vAlign w:val="bottom"/>
            <w:tcBorders>
              <w:bottom w:val="single" w:sz="8" w:color="04568A"/>
            </w:tcBorders>
            <w:shd w:val="clear" w:color="auto" w:fill="E4E9F2"/>
          </w:tcPr>
          <w:p>
            <w:pPr>
              <w:jc w:val="right"/>
              <w:ind w:right="40"/>
              <w:spacing w:after="0"/>
              <w:rPr>
                <w:sz w:val="20"/>
                <w:szCs w:val="20"/>
                <w:color w:val="auto"/>
              </w:rPr>
            </w:pPr>
            <w:r>
              <w:rPr>
                <w:rFonts w:ascii="Arial" w:cs="Arial" w:eastAsia="Arial" w:hAnsi="Arial"/>
                <w:sz w:val="16"/>
                <w:szCs w:val="16"/>
                <w:color w:val="auto"/>
              </w:rPr>
              <w:t>149,584</w:t>
            </w:r>
          </w:p>
        </w:tc>
        <w:tc>
          <w:tcPr>
            <w:tcW w:w="220" w:type="dxa"/>
            <w:vAlign w:val="bottom"/>
            <w:tcBorders>
              <w:bottom w:val="single" w:sz="8" w:color="04568A"/>
            </w:tcBorders>
            <w:shd w:val="clear" w:color="auto" w:fill="E4E9F2"/>
          </w:tcPr>
          <w:p>
            <w:pPr>
              <w:spacing w:after="0"/>
              <w:rPr>
                <w:sz w:val="16"/>
                <w:szCs w:val="16"/>
                <w:color w:val="auto"/>
              </w:rPr>
            </w:pPr>
          </w:p>
        </w:tc>
        <w:tc>
          <w:tcPr>
            <w:tcW w:w="1760" w:type="dxa"/>
            <w:vAlign w:val="bottom"/>
            <w:tcBorders>
              <w:bottom w:val="single" w:sz="8" w:color="04568A"/>
            </w:tcBorders>
            <w:shd w:val="clear" w:color="auto" w:fill="E4E9F2"/>
          </w:tcPr>
          <w:p>
            <w:pPr>
              <w:jc w:val="right"/>
              <w:ind w:right="239"/>
              <w:spacing w:after="0"/>
              <w:rPr>
                <w:sz w:val="20"/>
                <w:szCs w:val="20"/>
                <w:color w:val="auto"/>
              </w:rPr>
            </w:pPr>
            <w:r>
              <w:rPr>
                <w:rFonts w:ascii="Arial" w:cs="Arial" w:eastAsia="Arial" w:hAnsi="Arial"/>
                <w:sz w:val="16"/>
                <w:szCs w:val="16"/>
                <w:color w:val="auto"/>
              </w:rPr>
              <w:t>51,790</w:t>
            </w:r>
          </w:p>
        </w:tc>
        <w:tc>
          <w:tcPr>
            <w:tcW w:w="1560" w:type="dxa"/>
            <w:vAlign w:val="bottom"/>
            <w:tcBorders>
              <w:bottom w:val="single" w:sz="8" w:color="04568A"/>
            </w:tcBorders>
            <w:shd w:val="clear" w:color="auto" w:fill="E4E9F2"/>
          </w:tcPr>
          <w:p>
            <w:pPr>
              <w:jc w:val="right"/>
              <w:ind w:right="20"/>
              <w:spacing w:after="0"/>
              <w:rPr>
                <w:sz w:val="20"/>
                <w:szCs w:val="20"/>
                <w:color w:val="auto"/>
              </w:rPr>
            </w:pPr>
            <w:r>
              <w:rPr>
                <w:rFonts w:ascii="Arial" w:cs="Arial" w:eastAsia="Arial" w:hAnsi="Arial"/>
                <w:sz w:val="16"/>
                <w:szCs w:val="16"/>
                <w:color w:val="auto"/>
              </w:rPr>
              <w:t>275,841</w:t>
            </w:r>
          </w:p>
        </w:tc>
        <w:tc>
          <w:tcPr>
            <w:tcW w:w="0" w:type="dxa"/>
            <w:vAlign w:val="bottom"/>
          </w:tcPr>
          <w:p>
            <w:pPr>
              <w:spacing w:after="0"/>
              <w:rPr>
                <w:sz w:val="1"/>
                <w:szCs w:val="1"/>
                <w:color w:val="auto"/>
              </w:rPr>
            </w:pPr>
          </w:p>
        </w:tc>
      </w:tr>
    </w:tbl>
    <w:p>
      <w:pPr>
        <w:spacing w:after="0" w:line="58" w:lineRule="exact"/>
        <w:rPr>
          <w:sz w:val="20"/>
          <w:szCs w:val="20"/>
          <w:color w:val="auto"/>
        </w:rPr>
      </w:pPr>
    </w:p>
    <w:p>
      <w:pPr>
        <w:ind w:left="340" w:hanging="332"/>
        <w:spacing w:after="0"/>
        <w:tabs>
          <w:tab w:leader="none" w:pos="340" w:val="left"/>
        </w:tabs>
        <w:numPr>
          <w:ilvl w:val="0"/>
          <w:numId w:val="37"/>
        </w:numPr>
        <w:rPr>
          <w:rFonts w:ascii="Arial" w:cs="Arial" w:eastAsia="Arial" w:hAnsi="Arial"/>
          <w:sz w:val="14"/>
          <w:szCs w:val="14"/>
          <w:i w:val="1"/>
          <w:iCs w:val="1"/>
          <w:color w:val="auto"/>
        </w:rPr>
      </w:pPr>
      <w:r>
        <w:rPr>
          <w:rFonts w:ascii="Arial" w:cs="Arial" w:eastAsia="Arial" w:hAnsi="Arial"/>
          <w:sz w:val="14"/>
          <w:szCs w:val="14"/>
          <w:i w:val="1"/>
          <w:iCs w:val="1"/>
          <w:color w:val="auto"/>
        </w:rPr>
        <w:t>Value realized on exercise is based on the difference between the aggregate exercise price and the fair market value of the shares acquired on the date of exercise.</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37"/>
        </w:numPr>
        <w:rPr>
          <w:rFonts w:ascii="Arial" w:cs="Arial" w:eastAsia="Arial" w:hAnsi="Arial"/>
          <w:sz w:val="14"/>
          <w:szCs w:val="14"/>
          <w:i w:val="1"/>
          <w:iCs w:val="1"/>
          <w:color w:val="auto"/>
        </w:rPr>
      </w:pPr>
      <w:r>
        <w:rPr>
          <w:rFonts w:ascii="Arial" w:cs="Arial" w:eastAsia="Arial" w:hAnsi="Arial"/>
          <w:sz w:val="14"/>
          <w:szCs w:val="14"/>
          <w:i w:val="1"/>
          <w:iCs w:val="1"/>
          <w:color w:val="auto"/>
        </w:rPr>
        <w:t>Amounts reported are based on the closing price of our Class A Common Stock on the NYSE on the vesting date.</w:t>
      </w:r>
    </w:p>
    <w:p>
      <w:pPr>
        <w:spacing w:after="0" w:line="352"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Management Employment &amp; Separation Agreements</w:t>
      </w:r>
    </w:p>
    <w:p>
      <w:pPr>
        <w:spacing w:after="0" w:line="237" w:lineRule="exact"/>
        <w:rPr>
          <w:sz w:val="20"/>
          <w:szCs w:val="20"/>
          <w:color w:val="auto"/>
        </w:rPr>
      </w:pPr>
    </w:p>
    <w:p>
      <w:pPr>
        <w:spacing w:after="0"/>
        <w:rPr>
          <w:sz w:val="20"/>
          <w:szCs w:val="20"/>
          <w:color w:val="auto"/>
        </w:rPr>
      </w:pPr>
      <w:r>
        <w:rPr>
          <w:rFonts w:ascii="Arial" w:cs="Arial" w:eastAsia="Arial" w:hAnsi="Arial"/>
          <w:sz w:val="16"/>
          <w:szCs w:val="16"/>
          <w:color w:val="auto"/>
        </w:rPr>
        <w:t>Among our named executive officers, we have or had employment agreements with Andrew Boyer, Anastasios Konidaris, Nikita Shah and Joseph Todisco.</w:t>
      </w:r>
    </w:p>
    <w:p>
      <w:pPr>
        <w:spacing w:after="0" w:line="270"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Andrew Boyer</w:t>
      </w: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Andrew Boyer is party to an Employment Agreement, effective as of February 5, 2018, with Amneal (the “Boyer Employment Agreement”).</w:t>
      </w:r>
    </w:p>
    <w:p>
      <w:pPr>
        <w:spacing w:after="0" w:line="194"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initial term of the Boyer Employment Agreement began on February 5, 2018 and was scheduled to expire on June 30, 2022, unless further extended or earlier terminated as provided in the Boyer Employment Agreement.</w:t>
      </w:r>
    </w:p>
    <w:p>
      <w:pPr>
        <w:spacing w:after="0" w:line="16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On July 31, 2020, the Company entered into Modification No. 1 to the Boyer Employment Agreement, effective as of August 1, 2020 (the “Effective Date”). Pursuant to the Modification, the term of Mr. Boyer’s Employment Agreement was extended until June 30, 2023 (the “Term”) and will automatically be renewed thereafter for single one-year periods unless written notice of non-renewal is provided by any party at least 90 days prior to the end of the Term or the agreement is earlier terminated in accordance with its terms. Under the Modification, as of the Effective Date, Mr. Boyer began serving as the Executive Vice President, Chief Commercial Officer – Generics and receiving an annual base salary of $600,000 (reduced from $661,917), which amount is subject to increase by the Company’s Board of Directors. Further, in connection with the Modification, Mr. Boyer received an award of restricted stock units having a grant date fair value equal to $300,000 with a third of such units vesting on each of June 30, 2021, June 30, 2022 and June 30, 2023, subject to Mr. Boyer’s continued employment through the applicable vesting date.</w:t>
      </w:r>
    </w:p>
    <w:p>
      <w:pPr>
        <w:spacing w:after="0" w:line="180"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Mr. Boyer is also eligible to receive an annual bonus targeted at 80% of his base salary under the annual bonus program, and such amount may be between zero and 150% of Mr. Boyer’s base salary.</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41</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42" w:name="page43"/>
    <w:bookmarkEnd w:id="42"/>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62"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Severance</w:t>
      </w:r>
    </w:p>
    <w:p>
      <w:pPr>
        <w:spacing w:after="0" w:line="205" w:lineRule="exact"/>
        <w:rPr>
          <w:sz w:val="20"/>
          <w:szCs w:val="20"/>
          <w:color w:val="auto"/>
        </w:rPr>
      </w:pPr>
    </w:p>
    <w:p>
      <w:pPr>
        <w:jc w:val="both"/>
        <w:spacing w:after="0" w:line="247" w:lineRule="auto"/>
        <w:rPr>
          <w:sz w:val="20"/>
          <w:szCs w:val="20"/>
          <w:color w:val="auto"/>
        </w:rPr>
      </w:pPr>
      <w:r>
        <w:rPr>
          <w:rFonts w:ascii="Arial" w:cs="Arial" w:eastAsia="Arial" w:hAnsi="Arial"/>
          <w:sz w:val="16"/>
          <w:szCs w:val="16"/>
          <w:color w:val="auto"/>
        </w:rPr>
        <w:t>The Boyer Employment Agreement provides for severance payments and benefits if (i) Mr. Boyer resigns for “good reason” (as defined in the Boyer Employment Agreement) or (ii) the Board of Directors terminates Mr. Boyer’s employment without “cause” (as defined in the Boyer Employment Agreement), in each case other than during the period that is within three months preceding or 24 months following a “change in control” (as defined in the Boyer Employment Agreement). In addition to payment of earned and vested payments and benefits, these severance payments and benefits include: (A) two times his base salary as then in effect; (B) a pro rata portion of his annual bonus for the fiscal year in which the termination occurs, based on actual performance for such fiscal year, and the prior year’s bonus to the extent not then already paid (based on the higher of target or actual performance of the relevant goals); (C) continuation of healthcare benefits until the second anniversary of his termination date; (D) the vesting and, if applicable, exercisability of each outstanding equity award granted to Mr. Boyer will be accelerated to the extent such equity award would have vested had Mr. Boyer’s employment continued until the first anniversary of his termination date (and, to the extent applicable, each outstanding equity award granted to Mr. Boyer will remain exercisable until the first anniversary of his termination date); and (E) outplacement services by a reputable national outplacement service for up to two years following his termination date.</w:t>
      </w:r>
    </w:p>
    <w:p>
      <w:pPr>
        <w:spacing w:after="0" w:line="183"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Severance Upon a Change in Control</w:t>
      </w:r>
    </w:p>
    <w:p>
      <w:pPr>
        <w:spacing w:after="0" w:line="205"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 Boyer Employment Agreement also provides for severance payments and benefits if (i) Mr. Boyer resigns for good reason, (ii) the Board of Directors terminates Mr. Boyer’s employment without cause or (iii) Mr. Boyer’s employment terminates by reason of death or disability (as defined in the Boyer Employment Agreement), in each case within three months preceding or 24 months following a change in control. In addition to payment of earned and vested payments and benefits, these severance payments and benefits include: (A) the sum of (x) two times his base salary as then in effect plus (y) two times his target annual bonus as then in effect; (B) a pro rata portion of his annual bonus for the fiscal year in which the termination occurs, based on actual performance for such fiscal year, and the prior year’s bonus to the extent not then already paid (based on the higher of target or actual performance of the relevant goals); (C) continuation of healthcare benefits until the second anniversary of his termination date; (D) the vesting and, if applicable, exercisability of each equity award granted to Mr. Boyer will be fully accelerated (and, to the extent applicable, each outstanding equity award granted to Mr. Boyer will remain exercisable until the first anniversary of his termination date); and (E) outplacement services by a reputable national outplacement service for up to two years following his termination date.</w:t>
      </w:r>
    </w:p>
    <w:p>
      <w:pPr>
        <w:spacing w:after="0" w:line="178"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Boyer Employment Agreement requires Mr. Boyer to maintain the confidentiality of information relating to the Company during and after the term of such agreement and also contains non-competition, non-solicitation and non-disparagement covenants as well as other provisions customary for this type of employment agreement.</w:t>
      </w:r>
    </w:p>
    <w:p>
      <w:pPr>
        <w:spacing w:after="0" w:line="250"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Anastasios Konidaris</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Anastasios Konidaris is party to an Employment Agreement, dated March 11, 2020, by and among Amneal, the Company and Mr. Konidaris (the “Konidaris Employment Agreement”).</w:t>
      </w:r>
    </w:p>
    <w:p>
      <w:pPr>
        <w:spacing w:after="0" w:line="16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 Konidaris Employment Agreement provides that Mr. Konidaris will be employed as the Company’s Senior Vice President and Chief Financial Officer at an annual base salary of $550,000. Further, Mr. Konidaris is eligible to earn annual incentive compensation under the Company’s annual bonus plan, in an amount ranging from 0% of his base salary to 150% of his base salary, with the target amount of his annual bonus being equal to 55% of his base salary. Pursuant to the Konidaris Employment Agreement, not later than 30 days following the effective date of the agreement, the Company granted to Mr. Konidaris an award of restricted stock units having a value equal to $1,000,000 and an award of PSUs having a value equal to $1,000,000. Subject to Mr. Konidaris’s continuous services to the Company through each vesting date, the restricted stock units will vest in four equal installments beginning on the first anniversary of the effective date of the Konidaris Employment Agreement, and the PSUs will be earned and will vest based on the same vesting and performance conditions as the performance-based restricted stock units awarded to the Company’s other named executive officers in 2020.</w:t>
      </w:r>
    </w:p>
    <w:p>
      <w:pPr>
        <w:spacing w:after="0" w:line="178"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Severance</w:t>
      </w:r>
    </w:p>
    <w:p>
      <w:pPr>
        <w:spacing w:after="0" w:line="205" w:lineRule="exact"/>
        <w:rPr>
          <w:sz w:val="20"/>
          <w:szCs w:val="20"/>
          <w:color w:val="auto"/>
        </w:rPr>
      </w:pPr>
    </w:p>
    <w:p>
      <w:pPr>
        <w:jc w:val="both"/>
        <w:spacing w:after="0" w:line="246" w:lineRule="auto"/>
        <w:rPr>
          <w:sz w:val="20"/>
          <w:szCs w:val="20"/>
          <w:color w:val="auto"/>
        </w:rPr>
      </w:pPr>
      <w:r>
        <w:rPr>
          <w:rFonts w:ascii="Arial" w:cs="Arial" w:eastAsia="Arial" w:hAnsi="Arial"/>
          <w:sz w:val="16"/>
          <w:szCs w:val="16"/>
          <w:color w:val="auto"/>
        </w:rPr>
        <w:t>In the case of termination by the Company without cause or a termination by Mr. Konidaris for good reason (each as defined in the Konidaris Employment Agreement), Mr. Konidaris will be entitled to receive the following severance benefits: (1) an amount equal to 150% of his then-current annual base salary;</w:t>
      </w:r>
    </w:p>
    <w:p>
      <w:pPr>
        <w:spacing w:after="0" w:line="1" w:lineRule="exact"/>
        <w:rPr>
          <w:sz w:val="20"/>
          <w:szCs w:val="20"/>
          <w:color w:val="auto"/>
        </w:rPr>
      </w:pPr>
    </w:p>
    <w:p>
      <w:pPr>
        <w:ind w:right="20" w:firstLine="8"/>
        <w:spacing w:after="0" w:line="260" w:lineRule="auto"/>
        <w:tabs>
          <w:tab w:leader="none" w:pos="266" w:val="left"/>
        </w:tabs>
        <w:numPr>
          <w:ilvl w:val="0"/>
          <w:numId w:val="38"/>
        </w:numPr>
        <w:rPr>
          <w:rFonts w:ascii="Arial" w:cs="Arial" w:eastAsia="Arial" w:hAnsi="Arial"/>
          <w:sz w:val="16"/>
          <w:szCs w:val="16"/>
          <w:color w:val="auto"/>
        </w:rPr>
      </w:pPr>
      <w:r>
        <w:rPr>
          <w:rFonts w:ascii="Arial" w:cs="Arial" w:eastAsia="Arial" w:hAnsi="Arial"/>
          <w:sz w:val="16"/>
          <w:szCs w:val="16"/>
          <w:color w:val="auto"/>
        </w:rPr>
        <w:t>a pro-rated portion of the annual bonus award for the year during which the termination occurs; (3) benefits continuation for a period of 18 months following the date of termination; and (4) outplacement assistance for a period of 12 months following the date of termination.</w:t>
      </w:r>
    </w:p>
    <w:p>
      <w:pPr>
        <w:spacing w:after="0" w:line="166"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Severance Upon a Change in Control</w:t>
      </w:r>
    </w:p>
    <w:p>
      <w:pPr>
        <w:spacing w:after="0" w:line="232"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In the case of a termination by the Company without cause or a termination by Mr. Konidaris for good reason within three months prior to or 12 months following a change in control (as defined in the Konidaris Employment Agreement), Mr. Konidaris will be entitled to receive the severance benefits described above. In addition, the vesting and exercisability of each equity award granted to Mr. Konidaris will accelerate effective as of the date of termination, with any performance conditions determined based on actual achievement as of the date of termination, and, if applicable, will remain exercisable for a period of not less than 12 months following the termination.</w:t>
      </w:r>
    </w:p>
    <w:p>
      <w:pPr>
        <w:spacing w:after="0" w:line="156"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43" w:name="page44"/>
    <w:bookmarkEnd w:id="43"/>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Nikita Shah</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Nikita Shah is party to an Employment Agreement, dated July 29, 2020, by and among Amneal, the Company and Ms. Shah (the “Shah Employment Agreement”).</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Shah Employment Agreement provides that Ms. Shah will be employed as the Company’s Executive Vice President, Chief Human Resources Officer and Strategic Planning Officer at an annual base salary of (i) $450,000 beginning on August 1, 2020; and (ii) $485,000 beginning on January 1, 2021. Further, Ms. Shah is eligible to earn annual incentive compensation under the Company’s annual bonus plan, in an amount ranging from 0% to 150% of her base salary, with the target amount of her annual bonus being equal to 55% of her base salary. Ms. Shah will be eligible to participate in the Company’s long term incentive plan.</w:t>
      </w:r>
    </w:p>
    <w:p>
      <w:pPr>
        <w:spacing w:after="0" w:line="173"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Severance</w:t>
      </w:r>
    </w:p>
    <w:p>
      <w:pPr>
        <w:spacing w:after="0" w:line="205"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In the case of termination by the Company without cause or a termination by Ms. Shah for good reason (each as defined in the Shah Employment Agreement), Ms. Shah will be entitled to receive the following severance benefits: (1) an amount equal to 150% of her then-current annual base salary; (2) a pro-rated portion of the annual bonus award for the year during which the termination occurs; (3) benefits continuation for a period of 18 months following the date of termination; and (4) outplacement assistance for a period of 12 months following the date of termination.</w:t>
      </w:r>
    </w:p>
    <w:p>
      <w:pPr>
        <w:spacing w:after="0" w:line="173"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Severance Upon a Change in Control</w:t>
      </w:r>
    </w:p>
    <w:p>
      <w:pPr>
        <w:spacing w:after="0" w:line="205"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In June 2020, the Compensation Committee approved severance benefits for Ms. Shah in the case of a termination by the Company without cause or a termination by Ms. Shah for good reason within three months prior to or 12 months following a change in control (as defined in the Shah Employment Agreement); in such case, Ms. Shah will be entitled to receive the severance benefits described above. In addition, the vesting and exercisability of each outstanding equity award granted to Ms. Shah will accelerate effective as of the date of termination, with any performance conditions determined based on actual achievement as of the date of termination, and, if applicable, will remain exercisable for a period of not less than 12 months following the termination.</w:t>
      </w:r>
    </w:p>
    <w:p>
      <w:pPr>
        <w:spacing w:after="0" w:line="251"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Joseph Todisco</w:t>
      </w:r>
    </w:p>
    <w:p>
      <w:pPr>
        <w:spacing w:after="0" w:line="231"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Joseph Todisco is party to an Employment Agreement, dated July 29, 2020, by and among Amneal, the Company and Mr. Todisco (the “Todisco Employment Agreement”).</w:t>
      </w:r>
    </w:p>
    <w:p>
      <w:pPr>
        <w:spacing w:after="0" w:line="168"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The Todisco Employment Agreement provides that Mr. Todisco will be employed as the Company’s Executive Vice President, Chief Commercial Officer - Specialty at an annual base salary of (i) $485,000 beginning on August 1, 2020; and (ii), $525,000 beginning on January 1, 2021. Further, Mr. Todisco is eligible to earn annual incentive compensation under the Company’s annual bonus plan, in an amount ranging from 0% to 150% of his base salary, with the target amount of his annual bonus being equal to 60% of his base salary. Mr. Todisco will be eligible to participate in the Company’s long term incentive plan.</w:t>
      </w:r>
    </w:p>
    <w:p>
      <w:pPr>
        <w:spacing w:after="0" w:line="175" w:lineRule="exact"/>
        <w:rPr>
          <w:sz w:val="20"/>
          <w:szCs w:val="20"/>
          <w:color w:val="auto"/>
        </w:rPr>
      </w:pPr>
    </w:p>
    <w:p>
      <w:pPr>
        <w:spacing w:after="0"/>
        <w:rPr>
          <w:sz w:val="20"/>
          <w:szCs w:val="20"/>
          <w:color w:val="auto"/>
        </w:rPr>
      </w:pPr>
      <w:r>
        <w:rPr>
          <w:rFonts w:ascii="Arial" w:cs="Arial" w:eastAsia="Arial" w:hAnsi="Arial"/>
          <w:sz w:val="16"/>
          <w:szCs w:val="16"/>
          <w:color w:val="auto"/>
        </w:rPr>
        <w:t>On March 15, 2022, Mr. Todisco informed the Company of his decision to step down from his role to pursue another opportunity outside of the Company. Mr.</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Todisco will remain with the Company for a transition period expected to last through May 15, 2022.</w:t>
      </w:r>
    </w:p>
    <w:p>
      <w:pPr>
        <w:spacing w:after="0" w:line="192"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Severance</w:t>
      </w:r>
    </w:p>
    <w:p>
      <w:pPr>
        <w:spacing w:after="0" w:line="205" w:lineRule="exact"/>
        <w:rPr>
          <w:sz w:val="20"/>
          <w:szCs w:val="20"/>
          <w:color w:val="auto"/>
        </w:rPr>
      </w:pPr>
    </w:p>
    <w:p>
      <w:pPr>
        <w:jc w:val="both"/>
        <w:ind w:right="20"/>
        <w:spacing w:after="0" w:line="251" w:lineRule="auto"/>
        <w:rPr>
          <w:sz w:val="20"/>
          <w:szCs w:val="20"/>
          <w:color w:val="auto"/>
        </w:rPr>
      </w:pPr>
      <w:r>
        <w:rPr>
          <w:rFonts w:ascii="Arial" w:cs="Arial" w:eastAsia="Arial" w:hAnsi="Arial"/>
          <w:sz w:val="16"/>
          <w:szCs w:val="16"/>
          <w:color w:val="auto"/>
        </w:rPr>
        <w:t>In the case of termination by the Company without cause or a termination by Mr. Todisco for good reason (each as defined in the Todisco Employment Agreement), Mr. Todisco will be entitled to receive the following severance benefits: (1) an amount equal to 150% of his then-current annual base salary; (2) a pro-rated portion of the annual bonus award for the year during which the termination occurs; (3) benefits continuation for a period of 18 months following the date of termination; and (4) outplacement assistance for a period of 12 months following the date of termination.</w:t>
      </w:r>
    </w:p>
    <w:p>
      <w:pPr>
        <w:spacing w:after="0" w:line="173"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Severance Upon a Change in Control</w:t>
      </w:r>
    </w:p>
    <w:p>
      <w:pPr>
        <w:spacing w:after="0" w:line="205"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In June 2020, the Compensation Committee approved severance benefits for Mr. Todisco in the case of a termination by the Company without cause or a termination by Mr. Todisco for good reason within three months prior to or 12 months following a change in control (as defined in the Todisco agreement); in such case, Mr. Todisco will be entitled to receive the severance benefits described above. In addition, the vesting and exercisability of each outstanding equity award granted to Mr. Todisco will accelerate effective as of the date of termination, with any performance conditions determined based on actual achievement as of the date of termination, and, if applicable, will remain exercisable for a period of not less than 12 months following the termination.</w:t>
      </w:r>
    </w:p>
    <w:p>
      <w:pPr>
        <w:spacing w:after="0" w:line="327"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Severance Plan</w:t>
      </w:r>
    </w:p>
    <w:p>
      <w:pPr>
        <w:spacing w:after="0" w:line="237"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On June 17, 2020, the Compensation Committee adopted the Amneal Pharmaceuticals LLC Severance Plan (the “Severance Plan”). The Severance Plan is intended to constitute an “employee welfare benefit plan” under Section 3(1) of the Employee Retirement Income Security Act of 1974, as amended (“ERISA”). Under the Severance Plan, in the event of (a) a participant’s involuntary termination of employment without Cause (as defined below) due to (i) a reduction-in-force; (ii) a layoff; (iii) the elimination of a participant’s role; (iv) the reorganization of the Company, or a business unit, division, or department of the Company; (v) a change in business plan or structure that results in the participant’s separation from employment; or (vi) any other reason</w:t>
      </w:r>
    </w:p>
    <w:p>
      <w:pPr>
        <w:spacing w:after="0" w:line="156"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43</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44" w:name="page45"/>
    <w:bookmarkEnd w:id="44"/>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as determined by the Company in its sole discretion or (b) a mandatory relocation of a participant’s primary workplace to a location that is more than fifty (50) miles from a participant’s prior primary workplace, on an individualized basis the participant will be eligible to receive up to a maximum of (depending on his or her position) (A) a lump sum payment of 52 weeks of his or her base pay, (B) a prorated portion of his or her incentive award, (C) fully subsidized COBRA premiums for 52 weeks, and (D) outplacement services for 52 weeks. Under the Severance Plan, in the event of a participant’s termination in connection with a change of control, the participant will be eligible to receive up to a maximum of (depending on his or her position) (A) a lump sum payment of 64 weeks of his or her base pay, (B) prorated target bonus, (C) fully subsidized COBRA premiums up to a maximum of 64 weeks, and (D) outplacement services up to a maximum for 64 weeks.</w:t>
      </w:r>
    </w:p>
    <w:p>
      <w:pPr>
        <w:spacing w:after="0" w:line="18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Executive officers who are subject to an individual employment agreement or contract with the Company or any member of the Company Group are excluded from participation in Severance Plan.</w:t>
      </w:r>
    </w:p>
    <w:p>
      <w:pPr>
        <w:spacing w:after="0" w:line="168"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As used in the Severance Plan, “Cause” means (i) any failure or neglect by the participant to perform his or her duties or responsibilities to the Company or any of its subsidiaries (the “Company Group”), (ii) any act of fraud, embezzlement, theft, misappropriation, or material dishonesty by the participant relating to the Company Group or its business or assets, (iii) the participant’s commission of a felony or other crime involving moral turpitude, (iv) any gross negligence or intentional misconduct on the part of the participant in the conduct of his or her duties and responsibilities or services, as applicable, with the Company Group or its affiliates or that adversely affects the image, reputation or business of the Company Group or its affiliates, or (v) any material breach by the participant of any written agreement between the Company Group and the participant or any written policy applicable generally to employees of the Company Group.</w:t>
      </w:r>
    </w:p>
    <w:p>
      <w:pPr>
        <w:spacing w:after="0" w:line="200" w:lineRule="exact"/>
        <w:rPr>
          <w:sz w:val="20"/>
          <w:szCs w:val="20"/>
          <w:color w:val="auto"/>
        </w:rPr>
      </w:pPr>
    </w:p>
    <w:p>
      <w:pPr>
        <w:spacing w:after="0" w:line="318"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Potential Payments Upon Termination or Change in Control</w:t>
      </w:r>
    </w:p>
    <w:p>
      <w:pPr>
        <w:spacing w:after="0" w:line="237"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To enable us to offer a competitive executive compensation program, we believe it is important to provide reasonable severance benefits to our executive officers.</w:t>
      </w:r>
    </w:p>
    <w:p>
      <w:pPr>
        <w:spacing w:after="0" w:line="16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In addition to the employment agreements between the Company and certain of our named executive officers and the Severance Plan, discussed above, from time to time, we may explore potential transactions that could result in a change in control of our Company. We believe that when a transaction is perceived as imminent, or is taking place, we should be able to receive and rely on the disinterested service of our executive officers, without them being distracted or concerned by the personal uncertainties and risks associated with such a situation. We further believe that our stockholders are best served if their interests are aligned with the interests of our executives, and providing change in control benefits should eliminate, or at least reduce, the reluctance of senior management to pursue potential transactions that may enhance the value of our stockholders’ investments. Consistent with this, we provide change-in-control benefits to our named executive officers only if the officer’s employment terminates in connection with the change in control (often referred to as “double-trigger” change-in-control benefits).</w:t>
      </w:r>
    </w:p>
    <w:p>
      <w:pPr>
        <w:spacing w:after="0" w:line="180"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The estimated severance and other benefits for each named executive officer, either pursuant to the Severance Plan or an applicable employment agreement, in the event of a termination of employment are set forth below. The amounts assume that the termination was effective as of December 31, 2021 (the last business day of fiscal 2021) and thus are based upon amounts earned through such date and are only estimates of the amounts that would actually be paid to such named executive officers upon their termination. Since many factors (e.g., the time of year when the event occurs, the Company’s stock price) could affect the nature and amount of benefits a named executive officer could potentially receive, any amounts paid or distributed upon a future termination may be different from those shown in the table below. The amounts shown are in addition to benefits generally available to salaried employees.</w:t>
      </w:r>
    </w:p>
    <w:p>
      <w:pPr>
        <w:spacing w:after="0" w:line="178" w:lineRule="exact"/>
        <w:rPr>
          <w:sz w:val="20"/>
          <w:szCs w:val="20"/>
          <w:color w:val="auto"/>
        </w:rPr>
      </w:pPr>
    </w:p>
    <w:p>
      <w:pPr>
        <w:jc w:val="both"/>
        <w:spacing w:after="0" w:line="246" w:lineRule="auto"/>
        <w:rPr>
          <w:sz w:val="20"/>
          <w:szCs w:val="20"/>
          <w:color w:val="auto"/>
        </w:rPr>
      </w:pPr>
      <w:r>
        <w:rPr>
          <w:rFonts w:ascii="Arial" w:cs="Arial" w:eastAsia="Arial" w:hAnsi="Arial"/>
          <w:sz w:val="16"/>
          <w:szCs w:val="16"/>
          <w:color w:val="auto"/>
        </w:rPr>
        <w:t>Under our performance-based restricted stock unit agreements, upon an NEO’s termination of employment for any reason (not in connection with a change in control), each NEO would immediately forfeit any and all performance-based restricted stock units which have not vested as of the date of the NEO’s termination of employment. In connection with a Change in Control (as defined in the respective agreements), if a performance-based restricted stock unit continues in effect, is assumed, or an equivalent award is substituted and a NEO is terminated without Cause (as such term is defined in the sole discretion of the Compensation Committee or as set forth in the award agreement) by the Company upon or within 12 months following a Change in Control, then all of the performance-based restricted stock units will fully vest. In the event of a Change in Control prior to the end of the three-year performance period, the number of performance-based restricted stock units earned will be determined as of the date of the Change in Control at a level equal to the sum of (i) the product of (A) the level based on actual performance through the date of the Change in Control (treating such date as the end of the performance period solely for purposes of this clause (A)) and (B) a fraction equal to (x) the number of days elapsed between the beginning of the performance period and the date of the Change in Control, divided by (y) the total number of days in the performance period and (ii) the product of (A) 100% and (B) a fraction equal to</w:t>
      </w:r>
    </w:p>
    <w:p>
      <w:pPr>
        <w:spacing w:after="0" w:line="4" w:lineRule="exact"/>
        <w:rPr>
          <w:sz w:val="20"/>
          <w:szCs w:val="20"/>
          <w:color w:val="auto"/>
        </w:rPr>
      </w:pPr>
    </w:p>
    <w:p>
      <w:pPr>
        <w:ind w:right="20" w:firstLine="8"/>
        <w:spacing w:after="0" w:line="260" w:lineRule="auto"/>
        <w:tabs>
          <w:tab w:leader="none" w:pos="249" w:val="left"/>
        </w:tabs>
        <w:numPr>
          <w:ilvl w:val="0"/>
          <w:numId w:val="39"/>
        </w:numPr>
        <w:rPr>
          <w:rFonts w:ascii="Arial" w:cs="Arial" w:eastAsia="Arial" w:hAnsi="Arial"/>
          <w:sz w:val="16"/>
          <w:szCs w:val="16"/>
          <w:color w:val="auto"/>
        </w:rPr>
      </w:pPr>
      <w:r>
        <w:rPr>
          <w:rFonts w:ascii="Arial" w:cs="Arial" w:eastAsia="Arial" w:hAnsi="Arial"/>
          <w:sz w:val="16"/>
          <w:szCs w:val="16"/>
          <w:color w:val="auto"/>
        </w:rPr>
        <w:t>the number of days between the date of the Change in Control and the end of the performance period, divided by (y) the total number of days in the performance period.</w:t>
      </w:r>
    </w:p>
    <w:p>
      <w:pPr>
        <w:spacing w:after="0" w:line="148"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45" w:name="page46"/>
    <w:bookmarkEnd w:id="45"/>
    <w:tbl>
      <w:tblPr>
        <w:tblLayout w:type="fixed"/>
        <w:tblInd w:w="0" w:type="dxa"/>
        <w:tblCellMar>
          <w:top w:w="0" w:type="dxa"/>
          <w:left w:w="0" w:type="dxa"/>
          <w:bottom w:w="0" w:type="dxa"/>
          <w:right w:w="0" w:type="dxa"/>
        </w:tblCellMar>
      </w:tblPr>
      <w:tr>
        <w:trPr>
          <w:trHeight w:val="162"/>
        </w:trPr>
        <w:tc>
          <w:tcPr>
            <w:tcW w:w="2260" w:type="dxa"/>
            <w:vAlign w:val="bottom"/>
            <w:gridSpan w:val="2"/>
          </w:tcPr>
          <w:p>
            <w:pPr>
              <w:spacing w:after="0"/>
              <w:rPr>
                <w:rFonts w:ascii="Arial" w:cs="Arial" w:eastAsia="Arial" w:hAnsi="Arial"/>
                <w:sz w:val="14"/>
                <w:szCs w:val="14"/>
                <w:b w:val="1"/>
                <w:bCs w:val="1"/>
                <w:color w:val="0000EE"/>
              </w:rPr>
            </w:pPr>
            <w:hyperlink w:anchor="page7">
              <w:r>
                <w:rPr>
                  <w:rFonts w:ascii="Arial" w:cs="Arial" w:eastAsia="Arial" w:hAnsi="Arial"/>
                  <w:sz w:val="14"/>
                  <w:szCs w:val="14"/>
                  <w:b w:val="1"/>
                  <w:bCs w:val="1"/>
                  <w:color w:val="0000EE"/>
                </w:rPr>
                <w:t>Back to Contents</w:t>
              </w:r>
            </w:hyperlink>
          </w:p>
        </w:tc>
        <w:tc>
          <w:tcPr>
            <w:tcW w:w="340" w:type="dxa"/>
            <w:vAlign w:val="bottom"/>
          </w:tcPr>
          <w:p>
            <w:pPr>
              <w:spacing w:after="0"/>
              <w:rPr>
                <w:sz w:val="14"/>
                <w:szCs w:val="14"/>
                <w:color w:val="auto"/>
              </w:rPr>
            </w:pPr>
          </w:p>
        </w:tc>
        <w:tc>
          <w:tcPr>
            <w:tcW w:w="348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40"/>
        </w:trPr>
        <w:tc>
          <w:tcPr>
            <w:tcW w:w="1200" w:type="dxa"/>
            <w:vAlign w:val="bottom"/>
            <w:tcBorders>
              <w:top w:val="single" w:sz="8" w:color="0000EE"/>
            </w:tcBorders>
          </w:tcPr>
          <w:p>
            <w:pPr>
              <w:spacing w:after="0"/>
              <w:rPr>
                <w:sz w:val="24"/>
                <w:szCs w:val="24"/>
                <w:color w:val="auto"/>
              </w:rPr>
            </w:pPr>
          </w:p>
        </w:tc>
        <w:tc>
          <w:tcPr>
            <w:tcW w:w="10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4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2500" w:type="dxa"/>
            <w:vAlign w:val="bottom"/>
            <w:gridSpan w:val="2"/>
          </w:tcPr>
          <w:p>
            <w:pPr>
              <w:jc w:val="right"/>
              <w:ind w:right="319"/>
              <w:spacing w:after="0"/>
              <w:rPr>
                <w:sz w:val="20"/>
                <w:szCs w:val="20"/>
                <w:color w:val="auto"/>
              </w:rPr>
            </w:pPr>
            <w:r>
              <w:rPr>
                <w:rFonts w:ascii="Arial" w:cs="Arial" w:eastAsia="Arial" w:hAnsi="Arial"/>
                <w:sz w:val="16"/>
                <w:szCs w:val="16"/>
                <w:b w:val="1"/>
                <w:bCs w:val="1"/>
                <w:color w:val="auto"/>
              </w:rPr>
              <w:t>Without Cause or for Good</w:t>
            </w: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7"/>
        </w:trPr>
        <w:tc>
          <w:tcPr>
            <w:tcW w:w="2260" w:type="dxa"/>
            <w:vAlign w:val="bottom"/>
            <w:gridSpan w:val="2"/>
            <w:vMerge w:val="restart"/>
          </w:tcPr>
          <w:p>
            <w:pPr>
              <w:ind w:left="60"/>
              <w:spacing w:after="0"/>
              <w:rPr>
                <w:sz w:val="20"/>
                <w:szCs w:val="20"/>
                <w:color w:val="auto"/>
              </w:rPr>
            </w:pPr>
            <w:r>
              <w:rPr>
                <w:rFonts w:ascii="Arial" w:cs="Arial" w:eastAsia="Arial" w:hAnsi="Arial"/>
                <w:sz w:val="16"/>
                <w:szCs w:val="16"/>
                <w:b w:val="1"/>
                <w:bCs w:val="1"/>
                <w:color w:val="auto"/>
              </w:rPr>
              <w:t>Name</w:t>
            </w:r>
          </w:p>
        </w:tc>
        <w:tc>
          <w:tcPr>
            <w:tcW w:w="340" w:type="dxa"/>
            <w:vAlign w:val="bottom"/>
          </w:tcPr>
          <w:p>
            <w:pPr>
              <w:spacing w:after="0"/>
              <w:rPr>
                <w:sz w:val="18"/>
                <w:szCs w:val="18"/>
                <w:color w:val="auto"/>
              </w:rPr>
            </w:pPr>
          </w:p>
        </w:tc>
        <w:tc>
          <w:tcPr>
            <w:tcW w:w="3480" w:type="dxa"/>
            <w:vAlign w:val="bottom"/>
            <w:vMerge w:val="restart"/>
          </w:tcPr>
          <w:p>
            <w:pPr>
              <w:spacing w:after="0"/>
              <w:rPr>
                <w:sz w:val="20"/>
                <w:szCs w:val="20"/>
                <w:color w:val="auto"/>
              </w:rPr>
            </w:pPr>
            <w:r>
              <w:rPr>
                <w:rFonts w:ascii="Arial" w:cs="Arial" w:eastAsia="Arial" w:hAnsi="Arial"/>
                <w:sz w:val="16"/>
                <w:szCs w:val="16"/>
                <w:b w:val="1"/>
                <w:bCs w:val="1"/>
                <w:color w:val="auto"/>
              </w:rPr>
              <w:t>Benefit</w:t>
            </w:r>
          </w:p>
        </w:tc>
        <w:tc>
          <w:tcPr>
            <w:tcW w:w="560" w:type="dxa"/>
            <w:vAlign w:val="bottom"/>
          </w:tcPr>
          <w:p>
            <w:pPr>
              <w:spacing w:after="0"/>
              <w:rPr>
                <w:sz w:val="18"/>
                <w:szCs w:val="18"/>
                <w:color w:val="auto"/>
              </w:rPr>
            </w:pPr>
          </w:p>
        </w:tc>
        <w:tc>
          <w:tcPr>
            <w:tcW w:w="1180" w:type="dxa"/>
            <w:vAlign w:val="bottom"/>
            <w:tcBorders>
              <w:bottom w:val="single" w:sz="8" w:color="04568A"/>
            </w:tcBorders>
          </w:tcPr>
          <w:p>
            <w:pPr>
              <w:spacing w:after="0"/>
              <w:rPr>
                <w:sz w:val="18"/>
                <w:szCs w:val="18"/>
                <w:color w:val="auto"/>
              </w:rPr>
            </w:pPr>
          </w:p>
        </w:tc>
        <w:tc>
          <w:tcPr>
            <w:tcW w:w="2500" w:type="dxa"/>
            <w:vAlign w:val="bottom"/>
            <w:tcBorders>
              <w:bottom w:val="single" w:sz="8" w:color="04568A"/>
            </w:tcBorders>
            <w:gridSpan w:val="2"/>
          </w:tcPr>
          <w:p>
            <w:pPr>
              <w:jc w:val="right"/>
              <w:ind w:right="579"/>
              <w:spacing w:after="0"/>
              <w:rPr>
                <w:sz w:val="20"/>
                <w:szCs w:val="20"/>
                <w:color w:val="auto"/>
              </w:rPr>
            </w:pPr>
            <w:r>
              <w:rPr>
                <w:rFonts w:ascii="Arial" w:cs="Arial" w:eastAsia="Arial" w:hAnsi="Arial"/>
                <w:sz w:val="16"/>
                <w:szCs w:val="16"/>
                <w:b w:val="1"/>
                <w:bCs w:val="1"/>
                <w:color w:val="auto"/>
              </w:rPr>
              <w:t>Reason Termination</w:t>
            </w:r>
          </w:p>
        </w:tc>
        <w:tc>
          <w:tcPr>
            <w:tcW w:w="920" w:type="dxa"/>
            <w:vAlign w:val="bottom"/>
            <w:tcBorders>
              <w:bottom w:val="single" w:sz="8" w:color="04568A"/>
            </w:tcBorders>
          </w:tcPr>
          <w:p>
            <w:pPr>
              <w:spacing w:after="0"/>
              <w:rPr>
                <w:sz w:val="18"/>
                <w:szCs w:val="18"/>
                <w:color w:val="auto"/>
              </w:rPr>
            </w:pPr>
          </w:p>
        </w:tc>
        <w:tc>
          <w:tcPr>
            <w:tcW w:w="0" w:type="dxa"/>
            <w:vAlign w:val="bottom"/>
          </w:tcPr>
          <w:p>
            <w:pPr>
              <w:spacing w:after="0"/>
              <w:rPr>
                <w:sz w:val="1"/>
                <w:szCs w:val="1"/>
                <w:color w:val="auto"/>
              </w:rPr>
            </w:pPr>
          </w:p>
        </w:tc>
      </w:tr>
      <w:tr>
        <w:trPr>
          <w:trHeight w:val="183"/>
        </w:trPr>
        <w:tc>
          <w:tcPr>
            <w:tcW w:w="2260" w:type="dxa"/>
            <w:vAlign w:val="bottom"/>
            <w:tcBorders>
              <w:bottom w:val="single" w:sz="8" w:color="04568A"/>
            </w:tcBorders>
            <w:gridSpan w:val="2"/>
            <w:vMerge w:val="continue"/>
          </w:tcPr>
          <w:p>
            <w:pPr>
              <w:spacing w:after="0"/>
              <w:rPr>
                <w:sz w:val="15"/>
                <w:szCs w:val="15"/>
                <w:color w:val="auto"/>
              </w:rPr>
            </w:pPr>
          </w:p>
        </w:tc>
        <w:tc>
          <w:tcPr>
            <w:tcW w:w="340" w:type="dxa"/>
            <w:vAlign w:val="bottom"/>
            <w:tcBorders>
              <w:bottom w:val="single" w:sz="8" w:color="04568A"/>
            </w:tcBorders>
          </w:tcPr>
          <w:p>
            <w:pPr>
              <w:spacing w:after="0"/>
              <w:rPr>
                <w:sz w:val="15"/>
                <w:szCs w:val="15"/>
                <w:color w:val="auto"/>
              </w:rPr>
            </w:pPr>
          </w:p>
        </w:tc>
        <w:tc>
          <w:tcPr>
            <w:tcW w:w="3480" w:type="dxa"/>
            <w:vAlign w:val="bottom"/>
            <w:tcBorders>
              <w:bottom w:val="single" w:sz="8" w:color="04568A"/>
            </w:tcBorders>
            <w:vMerge w:val="continue"/>
          </w:tcPr>
          <w:p>
            <w:pPr>
              <w:spacing w:after="0"/>
              <w:rPr>
                <w:sz w:val="15"/>
                <w:szCs w:val="15"/>
                <w:color w:val="auto"/>
              </w:rPr>
            </w:pPr>
          </w:p>
        </w:tc>
        <w:tc>
          <w:tcPr>
            <w:tcW w:w="560" w:type="dxa"/>
            <w:vAlign w:val="bottom"/>
            <w:tcBorders>
              <w:bottom w:val="single" w:sz="8" w:color="04568A"/>
            </w:tcBorders>
          </w:tcPr>
          <w:p>
            <w:pPr>
              <w:spacing w:after="0"/>
              <w:rPr>
                <w:sz w:val="15"/>
                <w:szCs w:val="15"/>
                <w:color w:val="auto"/>
              </w:rPr>
            </w:pPr>
          </w:p>
        </w:tc>
        <w:tc>
          <w:tcPr>
            <w:tcW w:w="2380" w:type="dxa"/>
            <w:vAlign w:val="bottom"/>
            <w:tcBorders>
              <w:bottom w:val="single" w:sz="8" w:color="04568A"/>
            </w:tcBorders>
            <w:gridSpan w:val="2"/>
          </w:tcPr>
          <w:p>
            <w:pPr>
              <w:jc w:val="right"/>
              <w:ind w:right="239"/>
              <w:spacing w:after="0" w:line="183" w:lineRule="exact"/>
              <w:rPr>
                <w:sz w:val="20"/>
                <w:szCs w:val="20"/>
                <w:color w:val="auto"/>
              </w:rPr>
            </w:pPr>
            <w:r>
              <w:rPr>
                <w:rFonts w:ascii="Arial" w:cs="Arial" w:eastAsia="Arial" w:hAnsi="Arial"/>
                <w:sz w:val="16"/>
                <w:szCs w:val="16"/>
                <w:b w:val="1"/>
                <w:bCs w:val="1"/>
                <w:color w:val="auto"/>
              </w:rPr>
              <w:t>Without Change in Control</w:t>
            </w:r>
          </w:p>
        </w:tc>
        <w:tc>
          <w:tcPr>
            <w:tcW w:w="2220" w:type="dxa"/>
            <w:vAlign w:val="bottom"/>
            <w:tcBorders>
              <w:bottom w:val="single" w:sz="8" w:color="04568A"/>
            </w:tcBorders>
            <w:gridSpan w:val="2"/>
          </w:tcPr>
          <w:p>
            <w:pPr>
              <w:jc w:val="right"/>
              <w:ind w:right="19"/>
              <w:spacing w:after="0" w:line="183" w:lineRule="exact"/>
              <w:rPr>
                <w:sz w:val="20"/>
                <w:szCs w:val="20"/>
                <w:color w:val="auto"/>
              </w:rPr>
            </w:pPr>
            <w:r>
              <w:rPr>
                <w:rFonts w:ascii="Arial" w:cs="Arial" w:eastAsia="Arial" w:hAnsi="Arial"/>
                <w:sz w:val="16"/>
                <w:szCs w:val="16"/>
                <w:b w:val="1"/>
                <w:bCs w:val="1"/>
                <w:color w:val="auto"/>
              </w:rPr>
              <w:t>With Change in Control</w:t>
            </w:r>
          </w:p>
        </w:tc>
        <w:tc>
          <w:tcPr>
            <w:tcW w:w="0" w:type="dxa"/>
            <w:vAlign w:val="bottom"/>
          </w:tcPr>
          <w:p>
            <w:pPr>
              <w:spacing w:after="0"/>
              <w:rPr>
                <w:sz w:val="1"/>
                <w:szCs w:val="1"/>
                <w:color w:val="auto"/>
              </w:rPr>
            </w:pPr>
          </w:p>
        </w:tc>
      </w:tr>
      <w:tr>
        <w:trPr>
          <w:trHeight w:val="182"/>
        </w:trPr>
        <w:tc>
          <w:tcPr>
            <w:tcW w:w="2260" w:type="dxa"/>
            <w:vAlign w:val="bottom"/>
            <w:gridSpan w:val="2"/>
          </w:tcPr>
          <w:p>
            <w:pPr>
              <w:ind w:left="60"/>
              <w:spacing w:after="0" w:line="182" w:lineRule="exact"/>
              <w:rPr>
                <w:sz w:val="20"/>
                <w:szCs w:val="20"/>
                <w:color w:val="auto"/>
              </w:rPr>
            </w:pPr>
            <w:r>
              <w:rPr>
                <w:rFonts w:ascii="Arial" w:cs="Arial" w:eastAsia="Arial" w:hAnsi="Arial"/>
                <w:sz w:val="16"/>
                <w:szCs w:val="16"/>
                <w:color w:val="auto"/>
              </w:rPr>
              <w:t>Chirag Patel</w:t>
            </w:r>
          </w:p>
        </w:tc>
        <w:tc>
          <w:tcPr>
            <w:tcW w:w="340" w:type="dxa"/>
            <w:vAlign w:val="bottom"/>
          </w:tcPr>
          <w:p>
            <w:pPr>
              <w:spacing w:after="0"/>
              <w:rPr>
                <w:sz w:val="15"/>
                <w:szCs w:val="15"/>
                <w:color w:val="auto"/>
              </w:rPr>
            </w:pPr>
          </w:p>
        </w:tc>
        <w:tc>
          <w:tcPr>
            <w:tcW w:w="3480" w:type="dxa"/>
            <w:vAlign w:val="bottom"/>
          </w:tcPr>
          <w:p>
            <w:pPr>
              <w:spacing w:after="0" w:line="182" w:lineRule="exact"/>
              <w:rPr>
                <w:sz w:val="20"/>
                <w:szCs w:val="20"/>
                <w:color w:val="auto"/>
              </w:rPr>
            </w:pPr>
            <w:r>
              <w:rPr>
                <w:rFonts w:ascii="Arial" w:cs="Arial" w:eastAsia="Arial" w:hAnsi="Arial"/>
                <w:sz w:val="16"/>
                <w:szCs w:val="16"/>
                <w:color w:val="auto"/>
              </w:rPr>
              <w:t>Cash</w:t>
            </w:r>
          </w:p>
        </w:tc>
        <w:tc>
          <w:tcPr>
            <w:tcW w:w="1740" w:type="dxa"/>
            <w:vAlign w:val="bottom"/>
            <w:gridSpan w:val="2"/>
          </w:tcPr>
          <w:p>
            <w:pPr>
              <w:jc w:val="right"/>
              <w:spacing w:after="0" w:line="182" w:lineRule="exact"/>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line="182" w:lineRule="exact"/>
              <w:rPr>
                <w:sz w:val="20"/>
                <w:szCs w:val="20"/>
                <w:color w:val="auto"/>
              </w:rPr>
            </w:pPr>
            <w:r>
              <w:rPr>
                <w:rFonts w:ascii="Arial" w:cs="Arial" w:eastAsia="Arial" w:hAnsi="Arial"/>
                <w:sz w:val="16"/>
                <w:szCs w:val="16"/>
                <w:color w:val="auto"/>
              </w:rPr>
              <w:t>—</w:t>
            </w:r>
          </w:p>
        </w:tc>
        <w:tc>
          <w:tcPr>
            <w:tcW w:w="1300" w:type="dxa"/>
            <w:vAlign w:val="bottom"/>
          </w:tcPr>
          <w:p>
            <w:pPr>
              <w:jc w:val="right"/>
              <w:spacing w:after="0" w:line="182" w:lineRule="exact"/>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line="182" w:lineRule="exact"/>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29"/>
        </w:trPr>
        <w:tc>
          <w:tcPr>
            <w:tcW w:w="120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3480" w:type="dxa"/>
            <w:vAlign w:val="bottom"/>
          </w:tcPr>
          <w:p>
            <w:pPr>
              <w:spacing w:after="0" w:line="230" w:lineRule="exact"/>
              <w:rPr>
                <w:sz w:val="20"/>
                <w:szCs w:val="20"/>
                <w:color w:val="auto"/>
              </w:rPr>
            </w:pPr>
            <w:r>
              <w:rPr>
                <w:rFonts w:ascii="Arial" w:cs="Arial" w:eastAsia="Arial" w:hAnsi="Arial"/>
                <w:sz w:val="16"/>
                <w:szCs w:val="16"/>
                <w:color w:val="auto"/>
              </w:rPr>
              <w:t>Accelerated options</w:t>
            </w:r>
            <w:r>
              <w:rPr>
                <w:rFonts w:ascii="Arial" w:cs="Arial" w:eastAsia="Arial" w:hAnsi="Arial"/>
                <w:sz w:val="26"/>
                <w:szCs w:val="26"/>
                <w:color w:val="auto"/>
                <w:vertAlign w:val="superscript"/>
              </w:rPr>
              <w:t>(1)</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29"/>
        </w:trPr>
        <w:tc>
          <w:tcPr>
            <w:tcW w:w="120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3480" w:type="dxa"/>
            <w:vAlign w:val="bottom"/>
          </w:tcPr>
          <w:p>
            <w:pPr>
              <w:spacing w:after="0" w:line="230" w:lineRule="exact"/>
              <w:rPr>
                <w:sz w:val="20"/>
                <w:szCs w:val="20"/>
                <w:color w:val="auto"/>
              </w:rPr>
            </w:pPr>
            <w:r>
              <w:rPr>
                <w:rFonts w:ascii="Arial" w:cs="Arial" w:eastAsia="Arial" w:hAnsi="Arial"/>
                <w:sz w:val="16"/>
                <w:szCs w:val="16"/>
                <w:color w:val="auto"/>
              </w:rPr>
              <w:t>Accelerated RSUs</w:t>
            </w:r>
            <w:r>
              <w:rPr>
                <w:rFonts w:ascii="Arial" w:cs="Arial" w:eastAsia="Arial" w:hAnsi="Arial"/>
                <w:sz w:val="26"/>
                <w:szCs w:val="26"/>
                <w:color w:val="auto"/>
                <w:vertAlign w:val="superscript"/>
              </w:rPr>
              <w:t>(2)</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32"/>
        </w:trPr>
        <w:tc>
          <w:tcPr>
            <w:tcW w:w="12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3480" w:type="dxa"/>
            <w:vAlign w:val="bottom"/>
          </w:tcPr>
          <w:p>
            <w:pPr>
              <w:spacing w:after="0" w:line="232" w:lineRule="exact"/>
              <w:rPr>
                <w:sz w:val="20"/>
                <w:szCs w:val="20"/>
                <w:color w:val="auto"/>
              </w:rPr>
            </w:pPr>
            <w:r>
              <w:rPr>
                <w:rFonts w:ascii="Arial" w:cs="Arial" w:eastAsia="Arial" w:hAnsi="Arial"/>
                <w:sz w:val="16"/>
                <w:szCs w:val="16"/>
                <w:color w:val="auto"/>
              </w:rPr>
              <w:t>PSUs</w:t>
            </w:r>
            <w:r>
              <w:rPr>
                <w:rFonts w:ascii="Arial" w:cs="Arial" w:eastAsia="Arial" w:hAnsi="Arial"/>
                <w:sz w:val="26"/>
                <w:szCs w:val="26"/>
                <w:color w:val="auto"/>
                <w:vertAlign w:val="superscript"/>
              </w:rPr>
              <w:t>(3)</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0</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87"/>
        </w:trPr>
        <w:tc>
          <w:tcPr>
            <w:tcW w:w="1200" w:type="dxa"/>
            <w:vAlign w:val="bottom"/>
            <w:tcBorders>
              <w:bottom w:val="single" w:sz="8" w:color="04568A"/>
            </w:tcBorders>
          </w:tcPr>
          <w:p>
            <w:pPr>
              <w:spacing w:after="0"/>
              <w:rPr>
                <w:sz w:val="16"/>
                <w:szCs w:val="16"/>
                <w:color w:val="auto"/>
              </w:rPr>
            </w:pPr>
          </w:p>
        </w:tc>
        <w:tc>
          <w:tcPr>
            <w:tcW w:w="1060" w:type="dxa"/>
            <w:vAlign w:val="bottom"/>
            <w:tcBorders>
              <w:bottom w:val="single" w:sz="8" w:color="04568A"/>
            </w:tcBorders>
          </w:tcPr>
          <w:p>
            <w:pPr>
              <w:spacing w:after="0"/>
              <w:rPr>
                <w:sz w:val="16"/>
                <w:szCs w:val="16"/>
                <w:color w:val="auto"/>
              </w:rPr>
            </w:pPr>
          </w:p>
        </w:tc>
        <w:tc>
          <w:tcPr>
            <w:tcW w:w="340" w:type="dxa"/>
            <w:vAlign w:val="bottom"/>
            <w:tcBorders>
              <w:bottom w:val="single" w:sz="8" w:color="04568A"/>
            </w:tcBorders>
          </w:tcPr>
          <w:p>
            <w:pPr>
              <w:spacing w:after="0"/>
              <w:rPr>
                <w:sz w:val="16"/>
                <w:szCs w:val="16"/>
                <w:color w:val="auto"/>
              </w:rPr>
            </w:pPr>
          </w:p>
        </w:tc>
        <w:tc>
          <w:tcPr>
            <w:tcW w:w="3480" w:type="dxa"/>
            <w:vAlign w:val="bottom"/>
            <w:tcBorders>
              <w:bottom w:val="single" w:sz="8" w:color="04568A"/>
            </w:tcBorders>
          </w:tcPr>
          <w:p>
            <w:pPr>
              <w:spacing w:after="0"/>
              <w:rPr>
                <w:sz w:val="20"/>
                <w:szCs w:val="20"/>
                <w:color w:val="auto"/>
              </w:rPr>
            </w:pPr>
            <w:r>
              <w:rPr>
                <w:rFonts w:ascii="Arial" w:cs="Arial" w:eastAsia="Arial" w:hAnsi="Arial"/>
                <w:sz w:val="16"/>
                <w:szCs w:val="16"/>
                <w:color w:val="auto"/>
              </w:rPr>
              <w:t>Health Care</w:t>
            </w:r>
          </w:p>
        </w:tc>
        <w:tc>
          <w:tcPr>
            <w:tcW w:w="1740" w:type="dxa"/>
            <w:vAlign w:val="bottom"/>
            <w:tcBorders>
              <w:bottom w:val="single" w:sz="8" w:color="04568A"/>
            </w:tcBorders>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Borders>
              <w:bottom w:val="single" w:sz="8" w:color="04568A"/>
            </w:tcBorders>
          </w:tcPr>
          <w:p>
            <w:pPr>
              <w:jc w:val="right"/>
              <w:ind w:right="259"/>
              <w:spacing w:after="0"/>
              <w:rPr>
                <w:sz w:val="20"/>
                <w:szCs w:val="20"/>
                <w:color w:val="auto"/>
              </w:rPr>
            </w:pPr>
            <w:r>
              <w:rPr>
                <w:rFonts w:ascii="Arial" w:cs="Arial" w:eastAsia="Arial" w:hAnsi="Arial"/>
                <w:sz w:val="16"/>
                <w:szCs w:val="16"/>
                <w:color w:val="auto"/>
              </w:rPr>
              <w:t>—</w:t>
            </w:r>
          </w:p>
        </w:tc>
        <w:tc>
          <w:tcPr>
            <w:tcW w:w="1300" w:type="dxa"/>
            <w:vAlign w:val="bottom"/>
            <w:tcBorders>
              <w:bottom w:val="single" w:sz="8" w:color="04568A"/>
            </w:tcBorders>
          </w:tcPr>
          <w:p>
            <w:pPr>
              <w:jc w:val="right"/>
              <w:spacing w:after="0"/>
              <w:rPr>
                <w:sz w:val="20"/>
                <w:szCs w:val="20"/>
                <w:color w:val="auto"/>
              </w:rPr>
            </w:pPr>
            <w:r>
              <w:rPr>
                <w:rFonts w:ascii="Arial" w:cs="Arial" w:eastAsia="Arial" w:hAnsi="Arial"/>
                <w:sz w:val="16"/>
                <w:szCs w:val="16"/>
                <w:color w:val="auto"/>
              </w:rPr>
              <w:t>$</w:t>
            </w:r>
          </w:p>
        </w:tc>
        <w:tc>
          <w:tcPr>
            <w:tcW w:w="920" w:type="dxa"/>
            <w:vAlign w:val="bottom"/>
            <w:tcBorders>
              <w:bottom w:val="single" w:sz="8" w:color="04568A"/>
            </w:tcBorders>
          </w:tcPr>
          <w:p>
            <w:pPr>
              <w:jc w:val="right"/>
              <w:ind w:right="19"/>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83"/>
        </w:trPr>
        <w:tc>
          <w:tcPr>
            <w:tcW w:w="1200" w:type="dxa"/>
            <w:vAlign w:val="bottom"/>
            <w:tcBorders>
              <w:bottom w:val="single" w:sz="8" w:color="04568A"/>
            </w:tcBorders>
          </w:tcPr>
          <w:p>
            <w:pPr>
              <w:spacing w:after="0"/>
              <w:rPr>
                <w:sz w:val="15"/>
                <w:szCs w:val="15"/>
                <w:color w:val="auto"/>
              </w:rPr>
            </w:pPr>
          </w:p>
        </w:tc>
        <w:tc>
          <w:tcPr>
            <w:tcW w:w="1060" w:type="dxa"/>
            <w:vAlign w:val="bottom"/>
            <w:tcBorders>
              <w:bottom w:val="single" w:sz="8" w:color="04568A"/>
            </w:tcBorders>
          </w:tcPr>
          <w:p>
            <w:pPr>
              <w:spacing w:after="0"/>
              <w:rPr>
                <w:sz w:val="15"/>
                <w:szCs w:val="15"/>
                <w:color w:val="auto"/>
              </w:rPr>
            </w:pPr>
          </w:p>
        </w:tc>
        <w:tc>
          <w:tcPr>
            <w:tcW w:w="340" w:type="dxa"/>
            <w:vAlign w:val="bottom"/>
            <w:tcBorders>
              <w:bottom w:val="single" w:sz="8" w:color="04568A"/>
            </w:tcBorders>
          </w:tcPr>
          <w:p>
            <w:pPr>
              <w:spacing w:after="0"/>
              <w:rPr>
                <w:sz w:val="15"/>
                <w:szCs w:val="15"/>
                <w:color w:val="auto"/>
              </w:rPr>
            </w:pPr>
          </w:p>
        </w:tc>
        <w:tc>
          <w:tcPr>
            <w:tcW w:w="3480" w:type="dxa"/>
            <w:vAlign w:val="bottom"/>
            <w:tcBorders>
              <w:bottom w:val="single" w:sz="8" w:color="04568A"/>
            </w:tcBorders>
          </w:tcPr>
          <w:p>
            <w:pPr>
              <w:spacing w:after="0" w:line="183" w:lineRule="exact"/>
              <w:rPr>
                <w:sz w:val="20"/>
                <w:szCs w:val="20"/>
                <w:color w:val="auto"/>
              </w:rPr>
            </w:pPr>
            <w:r>
              <w:rPr>
                <w:rFonts w:ascii="Arial" w:cs="Arial" w:eastAsia="Arial" w:hAnsi="Arial"/>
                <w:sz w:val="16"/>
                <w:szCs w:val="16"/>
                <w:b w:val="1"/>
                <w:bCs w:val="1"/>
                <w:color w:val="auto"/>
              </w:rPr>
              <w:t>TOTAL</w:t>
            </w:r>
          </w:p>
        </w:tc>
        <w:tc>
          <w:tcPr>
            <w:tcW w:w="1740" w:type="dxa"/>
            <w:vAlign w:val="bottom"/>
            <w:tcBorders>
              <w:bottom w:val="single" w:sz="8" w:color="04568A"/>
            </w:tcBorders>
            <w:gridSpan w:val="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1200" w:type="dxa"/>
            <w:vAlign w:val="bottom"/>
            <w:tcBorders>
              <w:bottom w:val="single" w:sz="8" w:color="04568A"/>
            </w:tcBorders>
          </w:tcPr>
          <w:p>
            <w:pPr>
              <w:jc w:val="right"/>
              <w:ind w:right="259"/>
              <w:spacing w:after="0" w:line="183" w:lineRule="exact"/>
              <w:rPr>
                <w:sz w:val="20"/>
                <w:szCs w:val="20"/>
                <w:color w:val="auto"/>
              </w:rPr>
            </w:pPr>
            <w:r>
              <w:rPr>
                <w:rFonts w:ascii="Arial" w:cs="Arial" w:eastAsia="Arial" w:hAnsi="Arial"/>
                <w:sz w:val="16"/>
                <w:szCs w:val="16"/>
                <w:b w:val="1"/>
                <w:bCs w:val="1"/>
                <w:color w:val="auto"/>
              </w:rPr>
              <w:t>—</w:t>
            </w:r>
          </w:p>
        </w:tc>
        <w:tc>
          <w:tcPr>
            <w:tcW w:w="1300" w:type="dxa"/>
            <w:vAlign w:val="bottom"/>
            <w:tcBorders>
              <w:bottom w:val="single" w:sz="8" w:color="04568A"/>
            </w:tcBorders>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920" w:type="dxa"/>
            <w:vAlign w:val="bottom"/>
            <w:tcBorders>
              <w:bottom w:val="single" w:sz="8" w:color="04568A"/>
            </w:tcBorders>
          </w:tcPr>
          <w:p>
            <w:pPr>
              <w:jc w:val="right"/>
              <w:ind w:right="19"/>
              <w:spacing w:after="0" w:line="183" w:lineRule="exact"/>
              <w:rPr>
                <w:sz w:val="20"/>
                <w:szCs w:val="20"/>
                <w:color w:val="auto"/>
              </w:rPr>
            </w:pPr>
            <w:r>
              <w:rPr>
                <w:rFonts w:ascii="Arial" w:cs="Arial" w:eastAsia="Arial" w:hAnsi="Arial"/>
                <w:sz w:val="16"/>
                <w:szCs w:val="16"/>
                <w:b w:val="1"/>
                <w:bCs w:val="1"/>
                <w:color w:val="auto"/>
              </w:rPr>
              <w:t>—</w:t>
            </w:r>
          </w:p>
        </w:tc>
        <w:tc>
          <w:tcPr>
            <w:tcW w:w="0" w:type="dxa"/>
            <w:vAlign w:val="bottom"/>
          </w:tcPr>
          <w:p>
            <w:pPr>
              <w:spacing w:after="0"/>
              <w:rPr>
                <w:sz w:val="1"/>
                <w:szCs w:val="1"/>
                <w:color w:val="auto"/>
              </w:rPr>
            </w:pPr>
          </w:p>
        </w:tc>
      </w:tr>
      <w:tr>
        <w:trPr>
          <w:trHeight w:val="182"/>
        </w:trPr>
        <w:tc>
          <w:tcPr>
            <w:tcW w:w="2260" w:type="dxa"/>
            <w:vAlign w:val="bottom"/>
            <w:gridSpan w:val="2"/>
            <w:shd w:val="clear" w:color="auto" w:fill="E4E9F2"/>
          </w:tcPr>
          <w:p>
            <w:pPr>
              <w:ind w:left="60"/>
              <w:spacing w:after="0" w:line="182" w:lineRule="exact"/>
              <w:rPr>
                <w:sz w:val="20"/>
                <w:szCs w:val="20"/>
                <w:color w:val="auto"/>
              </w:rPr>
            </w:pPr>
            <w:r>
              <w:rPr>
                <w:rFonts w:ascii="Arial" w:cs="Arial" w:eastAsia="Arial" w:hAnsi="Arial"/>
                <w:sz w:val="16"/>
                <w:szCs w:val="16"/>
                <w:color w:val="auto"/>
              </w:rPr>
              <w:t>Chintu Patel</w:t>
            </w:r>
          </w:p>
        </w:tc>
        <w:tc>
          <w:tcPr>
            <w:tcW w:w="340" w:type="dxa"/>
            <w:vAlign w:val="bottom"/>
            <w:shd w:val="clear" w:color="auto" w:fill="E4E9F2"/>
          </w:tcPr>
          <w:p>
            <w:pPr>
              <w:spacing w:after="0"/>
              <w:rPr>
                <w:sz w:val="15"/>
                <w:szCs w:val="15"/>
                <w:color w:val="auto"/>
              </w:rPr>
            </w:pPr>
          </w:p>
        </w:tc>
        <w:tc>
          <w:tcPr>
            <w:tcW w:w="3480" w:type="dxa"/>
            <w:vAlign w:val="bottom"/>
            <w:shd w:val="clear" w:color="auto" w:fill="E4E9F2"/>
          </w:tcPr>
          <w:p>
            <w:pPr>
              <w:spacing w:after="0" w:line="182" w:lineRule="exact"/>
              <w:rPr>
                <w:sz w:val="20"/>
                <w:szCs w:val="20"/>
                <w:color w:val="auto"/>
              </w:rPr>
            </w:pPr>
            <w:r>
              <w:rPr>
                <w:rFonts w:ascii="Arial" w:cs="Arial" w:eastAsia="Arial" w:hAnsi="Arial"/>
                <w:sz w:val="16"/>
                <w:szCs w:val="16"/>
                <w:color w:val="auto"/>
              </w:rPr>
              <w:t>Cash</w:t>
            </w:r>
          </w:p>
        </w:tc>
        <w:tc>
          <w:tcPr>
            <w:tcW w:w="1740" w:type="dxa"/>
            <w:vAlign w:val="bottom"/>
            <w:gridSpan w:val="2"/>
            <w:shd w:val="clear" w:color="auto" w:fill="E4E9F2"/>
          </w:tcPr>
          <w:p>
            <w:pPr>
              <w:jc w:val="right"/>
              <w:spacing w:after="0" w:line="182" w:lineRule="exact"/>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line="182" w:lineRule="exact"/>
              <w:rPr>
                <w:sz w:val="20"/>
                <w:szCs w:val="20"/>
                <w:color w:val="auto"/>
              </w:rPr>
            </w:pPr>
            <w:r>
              <w:rPr>
                <w:rFonts w:ascii="Arial" w:cs="Arial" w:eastAsia="Arial" w:hAnsi="Arial"/>
                <w:sz w:val="16"/>
                <w:szCs w:val="16"/>
                <w:color w:val="auto"/>
              </w:rPr>
              <w:t>—</w:t>
            </w:r>
          </w:p>
        </w:tc>
        <w:tc>
          <w:tcPr>
            <w:tcW w:w="1300" w:type="dxa"/>
            <w:vAlign w:val="bottom"/>
            <w:shd w:val="clear" w:color="auto" w:fill="E4E9F2"/>
          </w:tcPr>
          <w:p>
            <w:pPr>
              <w:jc w:val="right"/>
              <w:spacing w:after="0" w:line="182" w:lineRule="exact"/>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line="182" w:lineRule="exact"/>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29"/>
        </w:trPr>
        <w:tc>
          <w:tcPr>
            <w:tcW w:w="120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340" w:type="dxa"/>
            <w:vAlign w:val="bottom"/>
            <w:shd w:val="clear" w:color="auto" w:fill="E4E9F2"/>
          </w:tcPr>
          <w:p>
            <w:pPr>
              <w:spacing w:after="0"/>
              <w:rPr>
                <w:sz w:val="19"/>
                <w:szCs w:val="19"/>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Accelerated options</w:t>
            </w:r>
            <w:r>
              <w:rPr>
                <w:rFonts w:ascii="Arial" w:cs="Arial" w:eastAsia="Arial" w:hAnsi="Arial"/>
                <w:sz w:val="26"/>
                <w:szCs w:val="26"/>
                <w:color w:val="auto"/>
                <w:vertAlign w:val="superscript"/>
              </w:rPr>
              <w:t>(1)</w:t>
            </w:r>
          </w:p>
        </w:tc>
        <w:tc>
          <w:tcPr>
            <w:tcW w:w="1740" w:type="dxa"/>
            <w:vAlign w:val="bottom"/>
            <w:gridSpan w:val="2"/>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29"/>
        </w:trPr>
        <w:tc>
          <w:tcPr>
            <w:tcW w:w="120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340" w:type="dxa"/>
            <w:vAlign w:val="bottom"/>
            <w:shd w:val="clear" w:color="auto" w:fill="E4E9F2"/>
          </w:tcPr>
          <w:p>
            <w:pPr>
              <w:spacing w:after="0"/>
              <w:rPr>
                <w:sz w:val="19"/>
                <w:szCs w:val="19"/>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Accelerated RSUs</w:t>
            </w:r>
            <w:r>
              <w:rPr>
                <w:rFonts w:ascii="Arial" w:cs="Arial" w:eastAsia="Arial" w:hAnsi="Arial"/>
                <w:sz w:val="26"/>
                <w:szCs w:val="26"/>
                <w:color w:val="auto"/>
                <w:vertAlign w:val="superscript"/>
              </w:rPr>
              <w:t>(2)</w:t>
            </w:r>
          </w:p>
        </w:tc>
        <w:tc>
          <w:tcPr>
            <w:tcW w:w="1740" w:type="dxa"/>
            <w:vAlign w:val="bottom"/>
            <w:gridSpan w:val="2"/>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30"/>
        </w:trPr>
        <w:tc>
          <w:tcPr>
            <w:tcW w:w="1200" w:type="dxa"/>
            <w:vAlign w:val="bottom"/>
            <w:shd w:val="clear" w:color="auto" w:fill="E4E9F2"/>
          </w:tcPr>
          <w:p>
            <w:pPr>
              <w:spacing w:after="0"/>
              <w:rPr>
                <w:sz w:val="20"/>
                <w:szCs w:val="20"/>
                <w:color w:val="auto"/>
              </w:rPr>
            </w:pPr>
          </w:p>
        </w:tc>
        <w:tc>
          <w:tcPr>
            <w:tcW w:w="1060" w:type="dxa"/>
            <w:vAlign w:val="bottom"/>
            <w:shd w:val="clear" w:color="auto" w:fill="E4E9F2"/>
          </w:tcPr>
          <w:p>
            <w:pPr>
              <w:spacing w:after="0"/>
              <w:rPr>
                <w:sz w:val="20"/>
                <w:szCs w:val="20"/>
                <w:color w:val="auto"/>
              </w:rPr>
            </w:pPr>
          </w:p>
        </w:tc>
        <w:tc>
          <w:tcPr>
            <w:tcW w:w="340" w:type="dxa"/>
            <w:vAlign w:val="bottom"/>
            <w:shd w:val="clear" w:color="auto" w:fill="E4E9F2"/>
          </w:tcPr>
          <w:p>
            <w:pPr>
              <w:spacing w:after="0"/>
              <w:rPr>
                <w:sz w:val="20"/>
                <w:szCs w:val="20"/>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PSUs</w:t>
            </w:r>
            <w:r>
              <w:rPr>
                <w:rFonts w:ascii="Arial" w:cs="Arial" w:eastAsia="Arial" w:hAnsi="Arial"/>
                <w:sz w:val="26"/>
                <w:szCs w:val="26"/>
                <w:color w:val="auto"/>
                <w:vertAlign w:val="superscript"/>
              </w:rPr>
              <w:t>(3)</w:t>
            </w:r>
          </w:p>
        </w:tc>
        <w:tc>
          <w:tcPr>
            <w:tcW w:w="560" w:type="dxa"/>
            <w:vAlign w:val="bottom"/>
            <w:shd w:val="clear" w:color="auto" w:fill="E4E9F2"/>
          </w:tcPr>
          <w:p>
            <w:pPr>
              <w:spacing w:after="0"/>
              <w:rPr>
                <w:sz w:val="20"/>
                <w:szCs w:val="20"/>
                <w:color w:val="auto"/>
              </w:rPr>
            </w:pPr>
          </w:p>
        </w:tc>
        <w:tc>
          <w:tcPr>
            <w:tcW w:w="11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0</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89"/>
        </w:trPr>
        <w:tc>
          <w:tcPr>
            <w:tcW w:w="1200" w:type="dxa"/>
            <w:vAlign w:val="bottom"/>
            <w:tcBorders>
              <w:bottom w:val="single" w:sz="8" w:color="04568A"/>
            </w:tcBorders>
            <w:shd w:val="clear" w:color="auto" w:fill="E4E9F2"/>
          </w:tcPr>
          <w:p>
            <w:pPr>
              <w:spacing w:after="0"/>
              <w:rPr>
                <w:sz w:val="16"/>
                <w:szCs w:val="16"/>
                <w:color w:val="auto"/>
              </w:rPr>
            </w:pPr>
          </w:p>
        </w:tc>
        <w:tc>
          <w:tcPr>
            <w:tcW w:w="1060" w:type="dxa"/>
            <w:vAlign w:val="bottom"/>
            <w:tcBorders>
              <w:bottom w:val="single" w:sz="8" w:color="04568A"/>
            </w:tcBorders>
            <w:shd w:val="clear" w:color="auto" w:fill="E4E9F2"/>
          </w:tcPr>
          <w:p>
            <w:pPr>
              <w:spacing w:after="0"/>
              <w:rPr>
                <w:sz w:val="16"/>
                <w:szCs w:val="16"/>
                <w:color w:val="auto"/>
              </w:rPr>
            </w:pPr>
          </w:p>
        </w:tc>
        <w:tc>
          <w:tcPr>
            <w:tcW w:w="340" w:type="dxa"/>
            <w:vAlign w:val="bottom"/>
            <w:tcBorders>
              <w:bottom w:val="single" w:sz="8" w:color="04568A"/>
            </w:tcBorders>
            <w:shd w:val="clear" w:color="auto" w:fill="E4E9F2"/>
          </w:tcPr>
          <w:p>
            <w:pPr>
              <w:spacing w:after="0"/>
              <w:rPr>
                <w:sz w:val="16"/>
                <w:szCs w:val="16"/>
                <w:color w:val="auto"/>
              </w:rPr>
            </w:pPr>
          </w:p>
        </w:tc>
        <w:tc>
          <w:tcPr>
            <w:tcW w:w="3480" w:type="dxa"/>
            <w:vAlign w:val="bottom"/>
            <w:tcBorders>
              <w:bottom w:val="single" w:sz="8" w:color="04568A"/>
            </w:tcBorders>
            <w:shd w:val="clear" w:color="auto" w:fill="E4E9F2"/>
          </w:tcPr>
          <w:p>
            <w:pPr>
              <w:spacing w:after="0"/>
              <w:rPr>
                <w:sz w:val="20"/>
                <w:szCs w:val="20"/>
                <w:color w:val="auto"/>
              </w:rPr>
            </w:pPr>
            <w:r>
              <w:rPr>
                <w:rFonts w:ascii="Arial" w:cs="Arial" w:eastAsia="Arial" w:hAnsi="Arial"/>
                <w:sz w:val="16"/>
                <w:szCs w:val="16"/>
                <w:color w:val="auto"/>
              </w:rPr>
              <w:t>Health Care</w:t>
            </w:r>
          </w:p>
        </w:tc>
        <w:tc>
          <w:tcPr>
            <w:tcW w:w="560" w:type="dxa"/>
            <w:vAlign w:val="bottom"/>
            <w:tcBorders>
              <w:bottom w:val="single" w:sz="8" w:color="04568A"/>
            </w:tcBorders>
            <w:shd w:val="clear" w:color="auto" w:fill="E4E9F2"/>
          </w:tcPr>
          <w:p>
            <w:pPr>
              <w:spacing w:after="0"/>
              <w:rPr>
                <w:sz w:val="16"/>
                <w:szCs w:val="16"/>
                <w:color w:val="auto"/>
              </w:rPr>
            </w:pPr>
          </w:p>
        </w:tc>
        <w:tc>
          <w:tcPr>
            <w:tcW w:w="118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tcBorders>
              <w:bottom w:val="single" w:sz="8" w:color="04568A"/>
            </w:tcBorders>
            <w:shd w:val="clear" w:color="auto" w:fill="E4E9F2"/>
          </w:tcPr>
          <w:p>
            <w:pPr>
              <w:jc w:val="right"/>
              <w:ind w:right="259"/>
              <w:spacing w:after="0"/>
              <w:rPr>
                <w:sz w:val="20"/>
                <w:szCs w:val="20"/>
                <w:color w:val="auto"/>
              </w:rPr>
            </w:pPr>
            <w:r>
              <w:rPr>
                <w:rFonts w:ascii="Arial" w:cs="Arial" w:eastAsia="Arial" w:hAnsi="Arial"/>
                <w:sz w:val="16"/>
                <w:szCs w:val="16"/>
                <w:color w:val="auto"/>
              </w:rPr>
              <w:t>—</w:t>
            </w:r>
          </w:p>
        </w:tc>
        <w:tc>
          <w:tcPr>
            <w:tcW w:w="130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tcBorders>
              <w:bottom w:val="single" w:sz="8" w:color="04568A"/>
            </w:tcBorders>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83"/>
        </w:trPr>
        <w:tc>
          <w:tcPr>
            <w:tcW w:w="1200" w:type="dxa"/>
            <w:vAlign w:val="bottom"/>
            <w:tcBorders>
              <w:bottom w:val="single" w:sz="8" w:color="04568A"/>
            </w:tcBorders>
            <w:shd w:val="clear" w:color="auto" w:fill="E4E9F2"/>
          </w:tcPr>
          <w:p>
            <w:pPr>
              <w:spacing w:after="0"/>
              <w:rPr>
                <w:sz w:val="15"/>
                <w:szCs w:val="15"/>
                <w:color w:val="auto"/>
              </w:rPr>
            </w:pPr>
          </w:p>
        </w:tc>
        <w:tc>
          <w:tcPr>
            <w:tcW w:w="1060" w:type="dxa"/>
            <w:vAlign w:val="bottom"/>
            <w:tcBorders>
              <w:bottom w:val="single" w:sz="8" w:color="04568A"/>
            </w:tcBorders>
            <w:shd w:val="clear" w:color="auto" w:fill="E4E9F2"/>
          </w:tcPr>
          <w:p>
            <w:pPr>
              <w:spacing w:after="0"/>
              <w:rPr>
                <w:sz w:val="15"/>
                <w:szCs w:val="15"/>
                <w:color w:val="auto"/>
              </w:rPr>
            </w:pPr>
          </w:p>
        </w:tc>
        <w:tc>
          <w:tcPr>
            <w:tcW w:w="340" w:type="dxa"/>
            <w:vAlign w:val="bottom"/>
            <w:tcBorders>
              <w:bottom w:val="single" w:sz="8" w:color="04568A"/>
            </w:tcBorders>
            <w:shd w:val="clear" w:color="auto" w:fill="E4E9F2"/>
          </w:tcPr>
          <w:p>
            <w:pPr>
              <w:spacing w:after="0"/>
              <w:rPr>
                <w:sz w:val="15"/>
                <w:szCs w:val="15"/>
                <w:color w:val="auto"/>
              </w:rPr>
            </w:pPr>
          </w:p>
        </w:tc>
        <w:tc>
          <w:tcPr>
            <w:tcW w:w="3480" w:type="dxa"/>
            <w:vAlign w:val="bottom"/>
            <w:tcBorders>
              <w:bottom w:val="single" w:sz="8" w:color="04568A"/>
            </w:tcBorders>
            <w:shd w:val="clear" w:color="auto" w:fill="E4E9F2"/>
          </w:tcPr>
          <w:p>
            <w:pPr>
              <w:spacing w:after="0" w:line="183" w:lineRule="exact"/>
              <w:rPr>
                <w:sz w:val="20"/>
                <w:szCs w:val="20"/>
                <w:color w:val="auto"/>
              </w:rPr>
            </w:pPr>
            <w:r>
              <w:rPr>
                <w:rFonts w:ascii="Arial" w:cs="Arial" w:eastAsia="Arial" w:hAnsi="Arial"/>
                <w:sz w:val="16"/>
                <w:szCs w:val="16"/>
                <w:b w:val="1"/>
                <w:bCs w:val="1"/>
                <w:color w:val="auto"/>
              </w:rPr>
              <w:t>TOTAL</w:t>
            </w:r>
          </w:p>
        </w:tc>
        <w:tc>
          <w:tcPr>
            <w:tcW w:w="560" w:type="dxa"/>
            <w:vAlign w:val="bottom"/>
            <w:tcBorders>
              <w:bottom w:val="single" w:sz="8" w:color="04568A"/>
            </w:tcBorders>
            <w:shd w:val="clear" w:color="auto" w:fill="E4E9F2"/>
          </w:tcPr>
          <w:p>
            <w:pPr>
              <w:spacing w:after="0"/>
              <w:rPr>
                <w:sz w:val="15"/>
                <w:szCs w:val="15"/>
                <w:color w:val="auto"/>
              </w:rPr>
            </w:pPr>
          </w:p>
        </w:tc>
        <w:tc>
          <w:tcPr>
            <w:tcW w:w="118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1200" w:type="dxa"/>
            <w:vAlign w:val="bottom"/>
            <w:tcBorders>
              <w:bottom w:val="single" w:sz="8" w:color="04568A"/>
            </w:tcBorders>
            <w:shd w:val="clear" w:color="auto" w:fill="E4E9F2"/>
          </w:tcPr>
          <w:p>
            <w:pPr>
              <w:jc w:val="right"/>
              <w:ind w:right="259"/>
              <w:spacing w:after="0" w:line="183" w:lineRule="exact"/>
              <w:rPr>
                <w:sz w:val="20"/>
                <w:szCs w:val="20"/>
                <w:color w:val="auto"/>
              </w:rPr>
            </w:pPr>
            <w:r>
              <w:rPr>
                <w:rFonts w:ascii="Arial" w:cs="Arial" w:eastAsia="Arial" w:hAnsi="Arial"/>
                <w:sz w:val="16"/>
                <w:szCs w:val="16"/>
                <w:b w:val="1"/>
                <w:bCs w:val="1"/>
                <w:color w:val="auto"/>
              </w:rPr>
              <w:t>—</w:t>
            </w:r>
          </w:p>
        </w:tc>
        <w:tc>
          <w:tcPr>
            <w:tcW w:w="130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920" w:type="dxa"/>
            <w:vAlign w:val="bottom"/>
            <w:tcBorders>
              <w:bottom w:val="single" w:sz="8" w:color="04568A"/>
            </w:tcBorders>
            <w:shd w:val="clear" w:color="auto" w:fill="E4E9F2"/>
          </w:tcPr>
          <w:p>
            <w:pPr>
              <w:jc w:val="right"/>
              <w:ind w:right="19"/>
              <w:spacing w:after="0" w:line="183" w:lineRule="exact"/>
              <w:rPr>
                <w:sz w:val="20"/>
                <w:szCs w:val="20"/>
                <w:color w:val="auto"/>
              </w:rPr>
            </w:pPr>
            <w:r>
              <w:rPr>
                <w:rFonts w:ascii="Arial" w:cs="Arial" w:eastAsia="Arial" w:hAnsi="Arial"/>
                <w:sz w:val="16"/>
                <w:szCs w:val="16"/>
                <w:b w:val="1"/>
                <w:bCs w:val="1"/>
                <w:color w:val="auto"/>
              </w:rPr>
              <w:t>—</w:t>
            </w:r>
          </w:p>
        </w:tc>
        <w:tc>
          <w:tcPr>
            <w:tcW w:w="0" w:type="dxa"/>
            <w:vAlign w:val="bottom"/>
          </w:tcPr>
          <w:p>
            <w:pPr>
              <w:spacing w:after="0"/>
              <w:rPr>
                <w:sz w:val="1"/>
                <w:szCs w:val="1"/>
                <w:color w:val="auto"/>
              </w:rPr>
            </w:pPr>
          </w:p>
        </w:tc>
      </w:tr>
      <w:tr>
        <w:trPr>
          <w:trHeight w:val="182"/>
        </w:trPr>
        <w:tc>
          <w:tcPr>
            <w:tcW w:w="2260" w:type="dxa"/>
            <w:vAlign w:val="bottom"/>
            <w:gridSpan w:val="2"/>
          </w:tcPr>
          <w:p>
            <w:pPr>
              <w:ind w:left="60"/>
              <w:spacing w:after="0" w:line="182" w:lineRule="exact"/>
              <w:rPr>
                <w:sz w:val="20"/>
                <w:szCs w:val="20"/>
                <w:color w:val="auto"/>
              </w:rPr>
            </w:pPr>
            <w:r>
              <w:rPr>
                <w:rFonts w:ascii="Arial" w:cs="Arial" w:eastAsia="Arial" w:hAnsi="Arial"/>
                <w:sz w:val="16"/>
                <w:szCs w:val="16"/>
                <w:color w:val="auto"/>
              </w:rPr>
              <w:t>Anastasios Konidaris</w:t>
            </w:r>
          </w:p>
        </w:tc>
        <w:tc>
          <w:tcPr>
            <w:tcW w:w="340" w:type="dxa"/>
            <w:vAlign w:val="bottom"/>
          </w:tcPr>
          <w:p>
            <w:pPr>
              <w:spacing w:after="0"/>
              <w:rPr>
                <w:sz w:val="15"/>
                <w:szCs w:val="15"/>
                <w:color w:val="auto"/>
              </w:rPr>
            </w:pPr>
          </w:p>
        </w:tc>
        <w:tc>
          <w:tcPr>
            <w:tcW w:w="3480" w:type="dxa"/>
            <w:vAlign w:val="bottom"/>
          </w:tcPr>
          <w:p>
            <w:pPr>
              <w:spacing w:after="0" w:line="182" w:lineRule="exact"/>
              <w:rPr>
                <w:sz w:val="20"/>
                <w:szCs w:val="20"/>
                <w:color w:val="auto"/>
              </w:rPr>
            </w:pPr>
            <w:r>
              <w:rPr>
                <w:rFonts w:ascii="Arial" w:cs="Arial" w:eastAsia="Arial" w:hAnsi="Arial"/>
                <w:sz w:val="16"/>
                <w:szCs w:val="16"/>
                <w:color w:val="auto"/>
              </w:rPr>
              <w:t>Cash</w:t>
            </w:r>
          </w:p>
        </w:tc>
        <w:tc>
          <w:tcPr>
            <w:tcW w:w="1740" w:type="dxa"/>
            <w:vAlign w:val="bottom"/>
            <w:gridSpan w:val="2"/>
          </w:tcPr>
          <w:p>
            <w:pPr>
              <w:jc w:val="right"/>
              <w:spacing w:after="0" w:line="182" w:lineRule="exact"/>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line="182" w:lineRule="exact"/>
              <w:rPr>
                <w:sz w:val="20"/>
                <w:szCs w:val="20"/>
                <w:color w:val="auto"/>
              </w:rPr>
            </w:pPr>
            <w:r>
              <w:rPr>
                <w:rFonts w:ascii="Arial" w:cs="Arial" w:eastAsia="Arial" w:hAnsi="Arial"/>
                <w:sz w:val="16"/>
                <w:szCs w:val="16"/>
                <w:color w:val="auto"/>
              </w:rPr>
              <w:t>1,127,500</w:t>
            </w:r>
          </w:p>
        </w:tc>
        <w:tc>
          <w:tcPr>
            <w:tcW w:w="1300" w:type="dxa"/>
            <w:vAlign w:val="bottom"/>
          </w:tcPr>
          <w:p>
            <w:pPr>
              <w:jc w:val="right"/>
              <w:spacing w:after="0" w:line="182" w:lineRule="exact"/>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line="182" w:lineRule="exact"/>
              <w:rPr>
                <w:sz w:val="20"/>
                <w:szCs w:val="20"/>
                <w:color w:val="auto"/>
              </w:rPr>
            </w:pPr>
            <w:r>
              <w:rPr>
                <w:rFonts w:ascii="Arial" w:cs="Arial" w:eastAsia="Arial" w:hAnsi="Arial"/>
                <w:sz w:val="16"/>
                <w:szCs w:val="16"/>
                <w:color w:val="auto"/>
              </w:rPr>
              <w:t>1,127,500</w:t>
            </w:r>
          </w:p>
        </w:tc>
        <w:tc>
          <w:tcPr>
            <w:tcW w:w="0" w:type="dxa"/>
            <w:vAlign w:val="bottom"/>
          </w:tcPr>
          <w:p>
            <w:pPr>
              <w:spacing w:after="0"/>
              <w:rPr>
                <w:sz w:val="1"/>
                <w:szCs w:val="1"/>
                <w:color w:val="auto"/>
              </w:rPr>
            </w:pPr>
          </w:p>
        </w:tc>
      </w:tr>
      <w:tr>
        <w:trPr>
          <w:trHeight w:val="230"/>
        </w:trPr>
        <w:tc>
          <w:tcPr>
            <w:tcW w:w="120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3480" w:type="dxa"/>
            <w:vAlign w:val="bottom"/>
          </w:tcPr>
          <w:p>
            <w:pPr>
              <w:spacing w:after="0" w:line="230" w:lineRule="exact"/>
              <w:rPr>
                <w:sz w:val="20"/>
                <w:szCs w:val="20"/>
                <w:color w:val="auto"/>
              </w:rPr>
            </w:pPr>
            <w:r>
              <w:rPr>
                <w:rFonts w:ascii="Arial" w:cs="Arial" w:eastAsia="Arial" w:hAnsi="Arial"/>
                <w:sz w:val="16"/>
                <w:szCs w:val="16"/>
                <w:color w:val="auto"/>
              </w:rPr>
              <w:t>Accelerated options</w:t>
            </w:r>
            <w:r>
              <w:rPr>
                <w:rFonts w:ascii="Arial" w:cs="Arial" w:eastAsia="Arial" w:hAnsi="Arial"/>
                <w:sz w:val="26"/>
                <w:szCs w:val="26"/>
                <w:color w:val="auto"/>
                <w:vertAlign w:val="superscript"/>
              </w:rPr>
              <w:t>(1)</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29"/>
        </w:trPr>
        <w:tc>
          <w:tcPr>
            <w:tcW w:w="120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3480" w:type="dxa"/>
            <w:vAlign w:val="bottom"/>
          </w:tcPr>
          <w:p>
            <w:pPr>
              <w:spacing w:after="0" w:line="230" w:lineRule="exact"/>
              <w:rPr>
                <w:sz w:val="20"/>
                <w:szCs w:val="20"/>
                <w:color w:val="auto"/>
              </w:rPr>
            </w:pPr>
            <w:r>
              <w:rPr>
                <w:rFonts w:ascii="Arial" w:cs="Arial" w:eastAsia="Arial" w:hAnsi="Arial"/>
                <w:sz w:val="16"/>
                <w:szCs w:val="16"/>
                <w:color w:val="auto"/>
              </w:rPr>
              <w:t>Accelerated RSUs</w:t>
            </w:r>
            <w:r>
              <w:rPr>
                <w:rFonts w:ascii="Arial" w:cs="Arial" w:eastAsia="Arial" w:hAnsi="Arial"/>
                <w:sz w:val="26"/>
                <w:szCs w:val="26"/>
                <w:color w:val="auto"/>
                <w:vertAlign w:val="superscript"/>
              </w:rPr>
              <w:t>(2)</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1,954,061</w:t>
            </w:r>
          </w:p>
        </w:tc>
        <w:tc>
          <w:tcPr>
            <w:tcW w:w="0" w:type="dxa"/>
            <w:vAlign w:val="bottom"/>
          </w:tcPr>
          <w:p>
            <w:pPr>
              <w:spacing w:after="0"/>
              <w:rPr>
                <w:sz w:val="1"/>
                <w:szCs w:val="1"/>
                <w:color w:val="auto"/>
              </w:rPr>
            </w:pPr>
          </w:p>
        </w:tc>
      </w:tr>
      <w:tr>
        <w:trPr>
          <w:trHeight w:val="232"/>
        </w:trPr>
        <w:tc>
          <w:tcPr>
            <w:tcW w:w="12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3480" w:type="dxa"/>
            <w:vAlign w:val="bottom"/>
          </w:tcPr>
          <w:p>
            <w:pPr>
              <w:spacing w:after="0" w:line="232" w:lineRule="exact"/>
              <w:rPr>
                <w:sz w:val="20"/>
                <w:szCs w:val="20"/>
                <w:color w:val="auto"/>
              </w:rPr>
            </w:pPr>
            <w:r>
              <w:rPr>
                <w:rFonts w:ascii="Arial" w:cs="Arial" w:eastAsia="Arial" w:hAnsi="Arial"/>
                <w:sz w:val="16"/>
                <w:szCs w:val="16"/>
                <w:color w:val="auto"/>
              </w:rPr>
              <w:t>PSUs</w:t>
            </w:r>
            <w:r>
              <w:rPr>
                <w:rFonts w:ascii="Arial" w:cs="Arial" w:eastAsia="Arial" w:hAnsi="Arial"/>
                <w:sz w:val="26"/>
                <w:szCs w:val="26"/>
                <w:color w:val="auto"/>
                <w:vertAlign w:val="superscript"/>
              </w:rPr>
              <w:t>(3)</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0</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87"/>
        </w:trPr>
        <w:tc>
          <w:tcPr>
            <w:tcW w:w="1200" w:type="dxa"/>
            <w:vAlign w:val="bottom"/>
            <w:tcBorders>
              <w:bottom w:val="single" w:sz="8" w:color="04568A"/>
            </w:tcBorders>
          </w:tcPr>
          <w:p>
            <w:pPr>
              <w:spacing w:after="0"/>
              <w:rPr>
                <w:sz w:val="16"/>
                <w:szCs w:val="16"/>
                <w:color w:val="auto"/>
              </w:rPr>
            </w:pPr>
          </w:p>
        </w:tc>
        <w:tc>
          <w:tcPr>
            <w:tcW w:w="1060" w:type="dxa"/>
            <w:vAlign w:val="bottom"/>
            <w:tcBorders>
              <w:bottom w:val="single" w:sz="8" w:color="04568A"/>
            </w:tcBorders>
          </w:tcPr>
          <w:p>
            <w:pPr>
              <w:spacing w:after="0"/>
              <w:rPr>
                <w:sz w:val="16"/>
                <w:szCs w:val="16"/>
                <w:color w:val="auto"/>
              </w:rPr>
            </w:pPr>
          </w:p>
        </w:tc>
        <w:tc>
          <w:tcPr>
            <w:tcW w:w="340" w:type="dxa"/>
            <w:vAlign w:val="bottom"/>
            <w:tcBorders>
              <w:bottom w:val="single" w:sz="8" w:color="04568A"/>
            </w:tcBorders>
          </w:tcPr>
          <w:p>
            <w:pPr>
              <w:spacing w:after="0"/>
              <w:rPr>
                <w:sz w:val="16"/>
                <w:szCs w:val="16"/>
                <w:color w:val="auto"/>
              </w:rPr>
            </w:pPr>
          </w:p>
        </w:tc>
        <w:tc>
          <w:tcPr>
            <w:tcW w:w="3480" w:type="dxa"/>
            <w:vAlign w:val="bottom"/>
            <w:tcBorders>
              <w:bottom w:val="single" w:sz="8" w:color="04568A"/>
            </w:tcBorders>
          </w:tcPr>
          <w:p>
            <w:pPr>
              <w:spacing w:after="0"/>
              <w:rPr>
                <w:sz w:val="20"/>
                <w:szCs w:val="20"/>
                <w:color w:val="auto"/>
              </w:rPr>
            </w:pPr>
            <w:r>
              <w:rPr>
                <w:rFonts w:ascii="Arial" w:cs="Arial" w:eastAsia="Arial" w:hAnsi="Arial"/>
                <w:sz w:val="16"/>
                <w:szCs w:val="16"/>
                <w:color w:val="auto"/>
              </w:rPr>
              <w:t>Health Care</w:t>
            </w:r>
          </w:p>
        </w:tc>
        <w:tc>
          <w:tcPr>
            <w:tcW w:w="1740" w:type="dxa"/>
            <w:vAlign w:val="bottom"/>
            <w:tcBorders>
              <w:bottom w:val="single" w:sz="8" w:color="04568A"/>
            </w:tcBorders>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Borders>
              <w:bottom w:val="single" w:sz="8" w:color="04568A"/>
            </w:tcBorders>
          </w:tcPr>
          <w:p>
            <w:pPr>
              <w:jc w:val="right"/>
              <w:ind w:right="259"/>
              <w:spacing w:after="0"/>
              <w:rPr>
                <w:sz w:val="20"/>
                <w:szCs w:val="20"/>
                <w:color w:val="auto"/>
              </w:rPr>
            </w:pPr>
            <w:r>
              <w:rPr>
                <w:rFonts w:ascii="Arial" w:cs="Arial" w:eastAsia="Arial" w:hAnsi="Arial"/>
                <w:sz w:val="16"/>
                <w:szCs w:val="16"/>
                <w:color w:val="auto"/>
              </w:rPr>
              <w:t>42,623</w:t>
            </w:r>
          </w:p>
        </w:tc>
        <w:tc>
          <w:tcPr>
            <w:tcW w:w="1300" w:type="dxa"/>
            <w:vAlign w:val="bottom"/>
            <w:tcBorders>
              <w:bottom w:val="single" w:sz="8" w:color="04568A"/>
            </w:tcBorders>
          </w:tcPr>
          <w:p>
            <w:pPr>
              <w:jc w:val="right"/>
              <w:spacing w:after="0"/>
              <w:rPr>
                <w:sz w:val="20"/>
                <w:szCs w:val="20"/>
                <w:color w:val="auto"/>
              </w:rPr>
            </w:pPr>
            <w:r>
              <w:rPr>
                <w:rFonts w:ascii="Arial" w:cs="Arial" w:eastAsia="Arial" w:hAnsi="Arial"/>
                <w:sz w:val="16"/>
                <w:szCs w:val="16"/>
                <w:color w:val="auto"/>
              </w:rPr>
              <w:t>$</w:t>
            </w:r>
          </w:p>
        </w:tc>
        <w:tc>
          <w:tcPr>
            <w:tcW w:w="920" w:type="dxa"/>
            <w:vAlign w:val="bottom"/>
            <w:tcBorders>
              <w:bottom w:val="single" w:sz="8" w:color="04568A"/>
            </w:tcBorders>
          </w:tcPr>
          <w:p>
            <w:pPr>
              <w:jc w:val="right"/>
              <w:ind w:right="19"/>
              <w:spacing w:after="0"/>
              <w:rPr>
                <w:sz w:val="20"/>
                <w:szCs w:val="20"/>
                <w:color w:val="auto"/>
              </w:rPr>
            </w:pPr>
            <w:r>
              <w:rPr>
                <w:rFonts w:ascii="Arial" w:cs="Arial" w:eastAsia="Arial" w:hAnsi="Arial"/>
                <w:sz w:val="16"/>
                <w:szCs w:val="16"/>
                <w:color w:val="auto"/>
              </w:rPr>
              <w:t>42,623</w:t>
            </w:r>
          </w:p>
        </w:tc>
        <w:tc>
          <w:tcPr>
            <w:tcW w:w="0" w:type="dxa"/>
            <w:vAlign w:val="bottom"/>
          </w:tcPr>
          <w:p>
            <w:pPr>
              <w:spacing w:after="0"/>
              <w:rPr>
                <w:sz w:val="1"/>
                <w:szCs w:val="1"/>
                <w:color w:val="auto"/>
              </w:rPr>
            </w:pPr>
          </w:p>
        </w:tc>
      </w:tr>
      <w:tr>
        <w:trPr>
          <w:trHeight w:val="183"/>
        </w:trPr>
        <w:tc>
          <w:tcPr>
            <w:tcW w:w="1200" w:type="dxa"/>
            <w:vAlign w:val="bottom"/>
            <w:tcBorders>
              <w:bottom w:val="single" w:sz="8" w:color="04568A"/>
            </w:tcBorders>
          </w:tcPr>
          <w:p>
            <w:pPr>
              <w:spacing w:after="0"/>
              <w:rPr>
                <w:sz w:val="15"/>
                <w:szCs w:val="15"/>
                <w:color w:val="auto"/>
              </w:rPr>
            </w:pPr>
          </w:p>
        </w:tc>
        <w:tc>
          <w:tcPr>
            <w:tcW w:w="1060" w:type="dxa"/>
            <w:vAlign w:val="bottom"/>
            <w:tcBorders>
              <w:bottom w:val="single" w:sz="8" w:color="04568A"/>
            </w:tcBorders>
          </w:tcPr>
          <w:p>
            <w:pPr>
              <w:spacing w:after="0"/>
              <w:rPr>
                <w:sz w:val="15"/>
                <w:szCs w:val="15"/>
                <w:color w:val="auto"/>
              </w:rPr>
            </w:pPr>
          </w:p>
        </w:tc>
        <w:tc>
          <w:tcPr>
            <w:tcW w:w="340" w:type="dxa"/>
            <w:vAlign w:val="bottom"/>
            <w:tcBorders>
              <w:bottom w:val="single" w:sz="8" w:color="04568A"/>
            </w:tcBorders>
          </w:tcPr>
          <w:p>
            <w:pPr>
              <w:spacing w:after="0"/>
              <w:rPr>
                <w:sz w:val="15"/>
                <w:szCs w:val="15"/>
                <w:color w:val="auto"/>
              </w:rPr>
            </w:pPr>
          </w:p>
        </w:tc>
        <w:tc>
          <w:tcPr>
            <w:tcW w:w="3480" w:type="dxa"/>
            <w:vAlign w:val="bottom"/>
            <w:tcBorders>
              <w:bottom w:val="single" w:sz="8" w:color="04568A"/>
            </w:tcBorders>
          </w:tcPr>
          <w:p>
            <w:pPr>
              <w:spacing w:after="0" w:line="183" w:lineRule="exact"/>
              <w:rPr>
                <w:sz w:val="20"/>
                <w:szCs w:val="20"/>
                <w:color w:val="auto"/>
              </w:rPr>
            </w:pPr>
            <w:r>
              <w:rPr>
                <w:rFonts w:ascii="Arial" w:cs="Arial" w:eastAsia="Arial" w:hAnsi="Arial"/>
                <w:sz w:val="16"/>
                <w:szCs w:val="16"/>
                <w:b w:val="1"/>
                <w:bCs w:val="1"/>
                <w:color w:val="auto"/>
              </w:rPr>
              <w:t>TOTAL</w:t>
            </w:r>
          </w:p>
        </w:tc>
        <w:tc>
          <w:tcPr>
            <w:tcW w:w="1740" w:type="dxa"/>
            <w:vAlign w:val="bottom"/>
            <w:tcBorders>
              <w:bottom w:val="single" w:sz="8" w:color="04568A"/>
            </w:tcBorders>
            <w:gridSpan w:val="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1200" w:type="dxa"/>
            <w:vAlign w:val="bottom"/>
            <w:tcBorders>
              <w:bottom w:val="single" w:sz="8" w:color="04568A"/>
            </w:tcBorders>
          </w:tcPr>
          <w:p>
            <w:pPr>
              <w:jc w:val="right"/>
              <w:ind w:right="259"/>
              <w:spacing w:after="0" w:line="183" w:lineRule="exact"/>
              <w:rPr>
                <w:sz w:val="20"/>
                <w:szCs w:val="20"/>
                <w:color w:val="auto"/>
              </w:rPr>
            </w:pPr>
            <w:r>
              <w:rPr>
                <w:rFonts w:ascii="Arial" w:cs="Arial" w:eastAsia="Arial" w:hAnsi="Arial"/>
                <w:sz w:val="16"/>
                <w:szCs w:val="16"/>
                <w:b w:val="1"/>
                <w:bCs w:val="1"/>
                <w:color w:val="auto"/>
              </w:rPr>
              <w:t>1,170,123</w:t>
            </w:r>
          </w:p>
        </w:tc>
        <w:tc>
          <w:tcPr>
            <w:tcW w:w="1300" w:type="dxa"/>
            <w:vAlign w:val="bottom"/>
            <w:tcBorders>
              <w:bottom w:val="single" w:sz="8" w:color="04568A"/>
            </w:tcBorders>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920" w:type="dxa"/>
            <w:vAlign w:val="bottom"/>
            <w:tcBorders>
              <w:bottom w:val="single" w:sz="8" w:color="04568A"/>
            </w:tcBorders>
          </w:tcPr>
          <w:p>
            <w:pPr>
              <w:jc w:val="right"/>
              <w:ind w:right="19"/>
              <w:spacing w:after="0" w:line="183" w:lineRule="exact"/>
              <w:rPr>
                <w:sz w:val="20"/>
                <w:szCs w:val="20"/>
                <w:color w:val="auto"/>
              </w:rPr>
            </w:pPr>
            <w:r>
              <w:rPr>
                <w:rFonts w:ascii="Arial" w:cs="Arial" w:eastAsia="Arial" w:hAnsi="Arial"/>
                <w:sz w:val="16"/>
                <w:szCs w:val="16"/>
                <w:b w:val="1"/>
                <w:bCs w:val="1"/>
                <w:color w:val="auto"/>
              </w:rPr>
              <w:t>3,124,185</w:t>
            </w:r>
          </w:p>
        </w:tc>
        <w:tc>
          <w:tcPr>
            <w:tcW w:w="0" w:type="dxa"/>
            <w:vAlign w:val="bottom"/>
          </w:tcPr>
          <w:p>
            <w:pPr>
              <w:spacing w:after="0"/>
              <w:rPr>
                <w:sz w:val="1"/>
                <w:szCs w:val="1"/>
                <w:color w:val="auto"/>
              </w:rPr>
            </w:pPr>
          </w:p>
        </w:tc>
      </w:tr>
      <w:tr>
        <w:trPr>
          <w:trHeight w:val="182"/>
        </w:trPr>
        <w:tc>
          <w:tcPr>
            <w:tcW w:w="2260" w:type="dxa"/>
            <w:vAlign w:val="bottom"/>
            <w:gridSpan w:val="2"/>
            <w:shd w:val="clear" w:color="auto" w:fill="E4E9F2"/>
          </w:tcPr>
          <w:p>
            <w:pPr>
              <w:ind w:left="60"/>
              <w:spacing w:after="0" w:line="182" w:lineRule="exact"/>
              <w:rPr>
                <w:sz w:val="20"/>
                <w:szCs w:val="20"/>
                <w:color w:val="auto"/>
              </w:rPr>
            </w:pPr>
            <w:r>
              <w:rPr>
                <w:rFonts w:ascii="Arial" w:cs="Arial" w:eastAsia="Arial" w:hAnsi="Arial"/>
                <w:sz w:val="16"/>
                <w:szCs w:val="16"/>
                <w:color w:val="auto"/>
              </w:rPr>
              <w:t>Andrew Boyer</w:t>
            </w:r>
          </w:p>
        </w:tc>
        <w:tc>
          <w:tcPr>
            <w:tcW w:w="340" w:type="dxa"/>
            <w:vAlign w:val="bottom"/>
            <w:shd w:val="clear" w:color="auto" w:fill="E4E9F2"/>
          </w:tcPr>
          <w:p>
            <w:pPr>
              <w:spacing w:after="0"/>
              <w:rPr>
                <w:sz w:val="15"/>
                <w:szCs w:val="15"/>
                <w:color w:val="auto"/>
              </w:rPr>
            </w:pPr>
          </w:p>
        </w:tc>
        <w:tc>
          <w:tcPr>
            <w:tcW w:w="3480" w:type="dxa"/>
            <w:vAlign w:val="bottom"/>
            <w:shd w:val="clear" w:color="auto" w:fill="E4E9F2"/>
          </w:tcPr>
          <w:p>
            <w:pPr>
              <w:spacing w:after="0" w:line="182" w:lineRule="exact"/>
              <w:rPr>
                <w:sz w:val="20"/>
                <w:szCs w:val="20"/>
                <w:color w:val="auto"/>
              </w:rPr>
            </w:pPr>
            <w:r>
              <w:rPr>
                <w:rFonts w:ascii="Arial" w:cs="Arial" w:eastAsia="Arial" w:hAnsi="Arial"/>
                <w:sz w:val="16"/>
                <w:szCs w:val="16"/>
                <w:color w:val="auto"/>
              </w:rPr>
              <w:t>Cash</w:t>
            </w:r>
          </w:p>
        </w:tc>
        <w:tc>
          <w:tcPr>
            <w:tcW w:w="1740" w:type="dxa"/>
            <w:vAlign w:val="bottom"/>
            <w:gridSpan w:val="2"/>
            <w:shd w:val="clear" w:color="auto" w:fill="E4E9F2"/>
          </w:tcPr>
          <w:p>
            <w:pPr>
              <w:jc w:val="right"/>
              <w:spacing w:after="0" w:line="182" w:lineRule="exact"/>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line="182" w:lineRule="exact"/>
              <w:rPr>
                <w:sz w:val="20"/>
                <w:szCs w:val="20"/>
                <w:color w:val="auto"/>
              </w:rPr>
            </w:pPr>
            <w:r>
              <w:rPr>
                <w:rFonts w:ascii="Arial" w:cs="Arial" w:eastAsia="Arial" w:hAnsi="Arial"/>
                <w:sz w:val="16"/>
                <w:szCs w:val="16"/>
                <w:color w:val="auto"/>
              </w:rPr>
              <w:t>1,680,000</w:t>
            </w:r>
          </w:p>
        </w:tc>
        <w:tc>
          <w:tcPr>
            <w:tcW w:w="1300" w:type="dxa"/>
            <w:vAlign w:val="bottom"/>
            <w:shd w:val="clear" w:color="auto" w:fill="E4E9F2"/>
          </w:tcPr>
          <w:p>
            <w:pPr>
              <w:jc w:val="right"/>
              <w:spacing w:after="0" w:line="182" w:lineRule="exact"/>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line="182" w:lineRule="exact"/>
              <w:rPr>
                <w:sz w:val="20"/>
                <w:szCs w:val="20"/>
                <w:color w:val="auto"/>
              </w:rPr>
            </w:pPr>
            <w:r>
              <w:rPr>
                <w:rFonts w:ascii="Arial" w:cs="Arial" w:eastAsia="Arial" w:hAnsi="Arial"/>
                <w:sz w:val="16"/>
                <w:szCs w:val="16"/>
                <w:color w:val="auto"/>
              </w:rPr>
              <w:t>2,640,000</w:t>
            </w:r>
          </w:p>
        </w:tc>
        <w:tc>
          <w:tcPr>
            <w:tcW w:w="0" w:type="dxa"/>
            <w:vAlign w:val="bottom"/>
          </w:tcPr>
          <w:p>
            <w:pPr>
              <w:spacing w:after="0"/>
              <w:rPr>
                <w:sz w:val="1"/>
                <w:szCs w:val="1"/>
                <w:color w:val="auto"/>
              </w:rPr>
            </w:pPr>
          </w:p>
        </w:tc>
      </w:tr>
      <w:tr>
        <w:trPr>
          <w:trHeight w:val="230"/>
        </w:trPr>
        <w:tc>
          <w:tcPr>
            <w:tcW w:w="120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340" w:type="dxa"/>
            <w:vAlign w:val="bottom"/>
            <w:shd w:val="clear" w:color="auto" w:fill="E4E9F2"/>
          </w:tcPr>
          <w:p>
            <w:pPr>
              <w:spacing w:after="0"/>
              <w:rPr>
                <w:sz w:val="19"/>
                <w:szCs w:val="19"/>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Accelerated options</w:t>
            </w:r>
            <w:r>
              <w:rPr>
                <w:rFonts w:ascii="Arial" w:cs="Arial" w:eastAsia="Arial" w:hAnsi="Arial"/>
                <w:sz w:val="26"/>
                <w:szCs w:val="26"/>
                <w:color w:val="auto"/>
                <w:vertAlign w:val="superscript"/>
              </w:rPr>
              <w:t>(1)</w:t>
            </w:r>
          </w:p>
        </w:tc>
        <w:tc>
          <w:tcPr>
            <w:tcW w:w="1740" w:type="dxa"/>
            <w:vAlign w:val="bottom"/>
            <w:gridSpan w:val="2"/>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190,247</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241,530</w:t>
            </w:r>
          </w:p>
        </w:tc>
        <w:tc>
          <w:tcPr>
            <w:tcW w:w="0" w:type="dxa"/>
            <w:vAlign w:val="bottom"/>
          </w:tcPr>
          <w:p>
            <w:pPr>
              <w:spacing w:after="0"/>
              <w:rPr>
                <w:sz w:val="1"/>
                <w:szCs w:val="1"/>
                <w:color w:val="auto"/>
              </w:rPr>
            </w:pPr>
          </w:p>
        </w:tc>
      </w:tr>
      <w:tr>
        <w:trPr>
          <w:trHeight w:val="229"/>
        </w:trPr>
        <w:tc>
          <w:tcPr>
            <w:tcW w:w="120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340" w:type="dxa"/>
            <w:vAlign w:val="bottom"/>
            <w:shd w:val="clear" w:color="auto" w:fill="E4E9F2"/>
          </w:tcPr>
          <w:p>
            <w:pPr>
              <w:spacing w:after="0"/>
              <w:rPr>
                <w:sz w:val="19"/>
                <w:szCs w:val="19"/>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Accelerated RSUs</w:t>
            </w:r>
            <w:r>
              <w:rPr>
                <w:rFonts w:ascii="Arial" w:cs="Arial" w:eastAsia="Arial" w:hAnsi="Arial"/>
                <w:sz w:val="26"/>
                <w:szCs w:val="26"/>
                <w:color w:val="auto"/>
                <w:vertAlign w:val="superscript"/>
              </w:rPr>
              <w:t>(2)</w:t>
            </w:r>
          </w:p>
        </w:tc>
        <w:tc>
          <w:tcPr>
            <w:tcW w:w="1740" w:type="dxa"/>
            <w:vAlign w:val="bottom"/>
            <w:gridSpan w:val="2"/>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551,471</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1,475,354</w:t>
            </w:r>
          </w:p>
        </w:tc>
        <w:tc>
          <w:tcPr>
            <w:tcW w:w="0" w:type="dxa"/>
            <w:vAlign w:val="bottom"/>
          </w:tcPr>
          <w:p>
            <w:pPr>
              <w:spacing w:after="0"/>
              <w:rPr>
                <w:sz w:val="1"/>
                <w:szCs w:val="1"/>
                <w:color w:val="auto"/>
              </w:rPr>
            </w:pPr>
          </w:p>
        </w:tc>
      </w:tr>
      <w:tr>
        <w:trPr>
          <w:trHeight w:val="230"/>
        </w:trPr>
        <w:tc>
          <w:tcPr>
            <w:tcW w:w="1200" w:type="dxa"/>
            <w:vAlign w:val="bottom"/>
            <w:shd w:val="clear" w:color="auto" w:fill="E4E9F2"/>
          </w:tcPr>
          <w:p>
            <w:pPr>
              <w:spacing w:after="0"/>
              <w:rPr>
                <w:sz w:val="20"/>
                <w:szCs w:val="20"/>
                <w:color w:val="auto"/>
              </w:rPr>
            </w:pPr>
          </w:p>
        </w:tc>
        <w:tc>
          <w:tcPr>
            <w:tcW w:w="1060" w:type="dxa"/>
            <w:vAlign w:val="bottom"/>
            <w:shd w:val="clear" w:color="auto" w:fill="E4E9F2"/>
          </w:tcPr>
          <w:p>
            <w:pPr>
              <w:spacing w:after="0"/>
              <w:rPr>
                <w:sz w:val="20"/>
                <w:szCs w:val="20"/>
                <w:color w:val="auto"/>
              </w:rPr>
            </w:pPr>
          </w:p>
        </w:tc>
        <w:tc>
          <w:tcPr>
            <w:tcW w:w="340" w:type="dxa"/>
            <w:vAlign w:val="bottom"/>
            <w:shd w:val="clear" w:color="auto" w:fill="E4E9F2"/>
          </w:tcPr>
          <w:p>
            <w:pPr>
              <w:spacing w:after="0"/>
              <w:rPr>
                <w:sz w:val="20"/>
                <w:szCs w:val="20"/>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PSUs</w:t>
            </w:r>
            <w:r>
              <w:rPr>
                <w:rFonts w:ascii="Arial" w:cs="Arial" w:eastAsia="Arial" w:hAnsi="Arial"/>
                <w:sz w:val="26"/>
                <w:szCs w:val="26"/>
                <w:color w:val="auto"/>
                <w:vertAlign w:val="superscript"/>
              </w:rPr>
              <w:t>(3)</w:t>
            </w:r>
          </w:p>
        </w:tc>
        <w:tc>
          <w:tcPr>
            <w:tcW w:w="560" w:type="dxa"/>
            <w:vAlign w:val="bottom"/>
            <w:shd w:val="clear" w:color="auto" w:fill="E4E9F2"/>
          </w:tcPr>
          <w:p>
            <w:pPr>
              <w:spacing w:after="0"/>
              <w:rPr>
                <w:sz w:val="20"/>
                <w:szCs w:val="20"/>
                <w:color w:val="auto"/>
              </w:rPr>
            </w:pPr>
          </w:p>
        </w:tc>
        <w:tc>
          <w:tcPr>
            <w:tcW w:w="11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0</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89"/>
        </w:trPr>
        <w:tc>
          <w:tcPr>
            <w:tcW w:w="1200" w:type="dxa"/>
            <w:vAlign w:val="bottom"/>
            <w:tcBorders>
              <w:bottom w:val="single" w:sz="8" w:color="04568A"/>
            </w:tcBorders>
            <w:shd w:val="clear" w:color="auto" w:fill="E4E9F2"/>
          </w:tcPr>
          <w:p>
            <w:pPr>
              <w:spacing w:after="0"/>
              <w:rPr>
                <w:sz w:val="16"/>
                <w:szCs w:val="16"/>
                <w:color w:val="auto"/>
              </w:rPr>
            </w:pPr>
          </w:p>
        </w:tc>
        <w:tc>
          <w:tcPr>
            <w:tcW w:w="1060" w:type="dxa"/>
            <w:vAlign w:val="bottom"/>
            <w:tcBorders>
              <w:bottom w:val="single" w:sz="8" w:color="04568A"/>
            </w:tcBorders>
            <w:shd w:val="clear" w:color="auto" w:fill="E4E9F2"/>
          </w:tcPr>
          <w:p>
            <w:pPr>
              <w:spacing w:after="0"/>
              <w:rPr>
                <w:sz w:val="16"/>
                <w:szCs w:val="16"/>
                <w:color w:val="auto"/>
              </w:rPr>
            </w:pPr>
          </w:p>
        </w:tc>
        <w:tc>
          <w:tcPr>
            <w:tcW w:w="340" w:type="dxa"/>
            <w:vAlign w:val="bottom"/>
            <w:tcBorders>
              <w:bottom w:val="single" w:sz="8" w:color="04568A"/>
            </w:tcBorders>
            <w:shd w:val="clear" w:color="auto" w:fill="E4E9F2"/>
          </w:tcPr>
          <w:p>
            <w:pPr>
              <w:spacing w:after="0"/>
              <w:rPr>
                <w:sz w:val="16"/>
                <w:szCs w:val="16"/>
                <w:color w:val="auto"/>
              </w:rPr>
            </w:pPr>
          </w:p>
        </w:tc>
        <w:tc>
          <w:tcPr>
            <w:tcW w:w="3480" w:type="dxa"/>
            <w:vAlign w:val="bottom"/>
            <w:tcBorders>
              <w:bottom w:val="single" w:sz="8" w:color="04568A"/>
            </w:tcBorders>
            <w:shd w:val="clear" w:color="auto" w:fill="E4E9F2"/>
          </w:tcPr>
          <w:p>
            <w:pPr>
              <w:spacing w:after="0"/>
              <w:rPr>
                <w:sz w:val="20"/>
                <w:szCs w:val="20"/>
                <w:color w:val="auto"/>
              </w:rPr>
            </w:pPr>
            <w:r>
              <w:rPr>
                <w:rFonts w:ascii="Arial" w:cs="Arial" w:eastAsia="Arial" w:hAnsi="Arial"/>
                <w:sz w:val="16"/>
                <w:szCs w:val="16"/>
                <w:color w:val="auto"/>
              </w:rPr>
              <w:t>Health Care</w:t>
            </w:r>
          </w:p>
        </w:tc>
        <w:tc>
          <w:tcPr>
            <w:tcW w:w="560" w:type="dxa"/>
            <w:vAlign w:val="bottom"/>
            <w:tcBorders>
              <w:bottom w:val="single" w:sz="8" w:color="04568A"/>
            </w:tcBorders>
            <w:shd w:val="clear" w:color="auto" w:fill="E4E9F2"/>
          </w:tcPr>
          <w:p>
            <w:pPr>
              <w:spacing w:after="0"/>
              <w:rPr>
                <w:sz w:val="16"/>
                <w:szCs w:val="16"/>
                <w:color w:val="auto"/>
              </w:rPr>
            </w:pPr>
          </w:p>
        </w:tc>
        <w:tc>
          <w:tcPr>
            <w:tcW w:w="118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tcBorders>
              <w:bottom w:val="single" w:sz="8" w:color="04568A"/>
            </w:tcBorders>
            <w:shd w:val="clear" w:color="auto" w:fill="E4E9F2"/>
          </w:tcPr>
          <w:p>
            <w:pPr>
              <w:jc w:val="right"/>
              <w:ind w:right="259"/>
              <w:spacing w:after="0"/>
              <w:rPr>
                <w:sz w:val="20"/>
                <w:szCs w:val="20"/>
                <w:color w:val="auto"/>
              </w:rPr>
            </w:pPr>
            <w:r>
              <w:rPr>
                <w:rFonts w:ascii="Arial" w:cs="Arial" w:eastAsia="Arial" w:hAnsi="Arial"/>
                <w:sz w:val="16"/>
                <w:szCs w:val="16"/>
                <w:color w:val="auto"/>
              </w:rPr>
              <w:t>90,011</w:t>
            </w:r>
          </w:p>
        </w:tc>
        <w:tc>
          <w:tcPr>
            <w:tcW w:w="130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tcBorders>
              <w:bottom w:val="single" w:sz="8" w:color="04568A"/>
            </w:tcBorders>
            <w:shd w:val="clear" w:color="auto" w:fill="E4E9F2"/>
          </w:tcPr>
          <w:p>
            <w:pPr>
              <w:jc w:val="right"/>
              <w:ind w:right="19"/>
              <w:spacing w:after="0"/>
              <w:rPr>
                <w:sz w:val="20"/>
                <w:szCs w:val="20"/>
                <w:color w:val="auto"/>
              </w:rPr>
            </w:pPr>
            <w:r>
              <w:rPr>
                <w:rFonts w:ascii="Arial" w:cs="Arial" w:eastAsia="Arial" w:hAnsi="Arial"/>
                <w:sz w:val="16"/>
                <w:szCs w:val="16"/>
                <w:color w:val="auto"/>
              </w:rPr>
              <w:t>90,011</w:t>
            </w:r>
          </w:p>
        </w:tc>
        <w:tc>
          <w:tcPr>
            <w:tcW w:w="0" w:type="dxa"/>
            <w:vAlign w:val="bottom"/>
          </w:tcPr>
          <w:p>
            <w:pPr>
              <w:spacing w:after="0"/>
              <w:rPr>
                <w:sz w:val="1"/>
                <w:szCs w:val="1"/>
                <w:color w:val="auto"/>
              </w:rPr>
            </w:pPr>
          </w:p>
        </w:tc>
      </w:tr>
      <w:tr>
        <w:trPr>
          <w:trHeight w:val="183"/>
        </w:trPr>
        <w:tc>
          <w:tcPr>
            <w:tcW w:w="1200" w:type="dxa"/>
            <w:vAlign w:val="bottom"/>
            <w:tcBorders>
              <w:bottom w:val="single" w:sz="8" w:color="04568A"/>
            </w:tcBorders>
            <w:shd w:val="clear" w:color="auto" w:fill="E4E9F2"/>
          </w:tcPr>
          <w:p>
            <w:pPr>
              <w:spacing w:after="0"/>
              <w:rPr>
                <w:sz w:val="15"/>
                <w:szCs w:val="15"/>
                <w:color w:val="auto"/>
              </w:rPr>
            </w:pPr>
          </w:p>
        </w:tc>
        <w:tc>
          <w:tcPr>
            <w:tcW w:w="1060" w:type="dxa"/>
            <w:vAlign w:val="bottom"/>
            <w:tcBorders>
              <w:bottom w:val="single" w:sz="8" w:color="04568A"/>
            </w:tcBorders>
            <w:shd w:val="clear" w:color="auto" w:fill="E4E9F2"/>
          </w:tcPr>
          <w:p>
            <w:pPr>
              <w:spacing w:after="0"/>
              <w:rPr>
                <w:sz w:val="15"/>
                <w:szCs w:val="15"/>
                <w:color w:val="auto"/>
              </w:rPr>
            </w:pPr>
          </w:p>
        </w:tc>
        <w:tc>
          <w:tcPr>
            <w:tcW w:w="340" w:type="dxa"/>
            <w:vAlign w:val="bottom"/>
            <w:tcBorders>
              <w:bottom w:val="single" w:sz="8" w:color="04568A"/>
            </w:tcBorders>
            <w:shd w:val="clear" w:color="auto" w:fill="E4E9F2"/>
          </w:tcPr>
          <w:p>
            <w:pPr>
              <w:spacing w:after="0"/>
              <w:rPr>
                <w:sz w:val="15"/>
                <w:szCs w:val="15"/>
                <w:color w:val="auto"/>
              </w:rPr>
            </w:pPr>
          </w:p>
        </w:tc>
        <w:tc>
          <w:tcPr>
            <w:tcW w:w="3480" w:type="dxa"/>
            <w:vAlign w:val="bottom"/>
            <w:tcBorders>
              <w:bottom w:val="single" w:sz="8" w:color="04568A"/>
            </w:tcBorders>
            <w:shd w:val="clear" w:color="auto" w:fill="E4E9F2"/>
          </w:tcPr>
          <w:p>
            <w:pPr>
              <w:spacing w:after="0" w:line="183" w:lineRule="exact"/>
              <w:rPr>
                <w:sz w:val="20"/>
                <w:szCs w:val="20"/>
                <w:color w:val="auto"/>
              </w:rPr>
            </w:pPr>
            <w:r>
              <w:rPr>
                <w:rFonts w:ascii="Arial" w:cs="Arial" w:eastAsia="Arial" w:hAnsi="Arial"/>
                <w:sz w:val="16"/>
                <w:szCs w:val="16"/>
                <w:b w:val="1"/>
                <w:bCs w:val="1"/>
                <w:color w:val="auto"/>
              </w:rPr>
              <w:t>TOTAL</w:t>
            </w:r>
          </w:p>
        </w:tc>
        <w:tc>
          <w:tcPr>
            <w:tcW w:w="560" w:type="dxa"/>
            <w:vAlign w:val="bottom"/>
            <w:tcBorders>
              <w:bottom w:val="single" w:sz="8" w:color="04568A"/>
            </w:tcBorders>
            <w:shd w:val="clear" w:color="auto" w:fill="E4E9F2"/>
          </w:tcPr>
          <w:p>
            <w:pPr>
              <w:spacing w:after="0"/>
              <w:rPr>
                <w:sz w:val="15"/>
                <w:szCs w:val="15"/>
                <w:color w:val="auto"/>
              </w:rPr>
            </w:pPr>
          </w:p>
        </w:tc>
        <w:tc>
          <w:tcPr>
            <w:tcW w:w="118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1200" w:type="dxa"/>
            <w:vAlign w:val="bottom"/>
            <w:tcBorders>
              <w:bottom w:val="single" w:sz="8" w:color="04568A"/>
            </w:tcBorders>
            <w:shd w:val="clear" w:color="auto" w:fill="E4E9F2"/>
          </w:tcPr>
          <w:p>
            <w:pPr>
              <w:jc w:val="right"/>
              <w:ind w:right="259"/>
              <w:spacing w:after="0" w:line="183" w:lineRule="exact"/>
              <w:rPr>
                <w:sz w:val="20"/>
                <w:szCs w:val="20"/>
                <w:color w:val="auto"/>
              </w:rPr>
            </w:pPr>
            <w:r>
              <w:rPr>
                <w:rFonts w:ascii="Arial" w:cs="Arial" w:eastAsia="Arial" w:hAnsi="Arial"/>
                <w:sz w:val="16"/>
                <w:szCs w:val="16"/>
                <w:b w:val="1"/>
                <w:bCs w:val="1"/>
                <w:color w:val="auto"/>
              </w:rPr>
              <w:t>2,511,729</w:t>
            </w:r>
          </w:p>
        </w:tc>
        <w:tc>
          <w:tcPr>
            <w:tcW w:w="130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920" w:type="dxa"/>
            <w:vAlign w:val="bottom"/>
            <w:tcBorders>
              <w:bottom w:val="single" w:sz="8" w:color="04568A"/>
            </w:tcBorders>
            <w:shd w:val="clear" w:color="auto" w:fill="E4E9F2"/>
          </w:tcPr>
          <w:p>
            <w:pPr>
              <w:jc w:val="right"/>
              <w:ind w:right="19"/>
              <w:spacing w:after="0" w:line="183" w:lineRule="exact"/>
              <w:rPr>
                <w:sz w:val="20"/>
                <w:szCs w:val="20"/>
                <w:color w:val="auto"/>
              </w:rPr>
            </w:pPr>
            <w:r>
              <w:rPr>
                <w:rFonts w:ascii="Arial" w:cs="Arial" w:eastAsia="Arial" w:hAnsi="Arial"/>
                <w:sz w:val="16"/>
                <w:szCs w:val="16"/>
                <w:b w:val="1"/>
                <w:bCs w:val="1"/>
                <w:color w:val="auto"/>
              </w:rPr>
              <w:t>4,446,895</w:t>
            </w:r>
          </w:p>
        </w:tc>
        <w:tc>
          <w:tcPr>
            <w:tcW w:w="0" w:type="dxa"/>
            <w:vAlign w:val="bottom"/>
          </w:tcPr>
          <w:p>
            <w:pPr>
              <w:spacing w:after="0"/>
              <w:rPr>
                <w:sz w:val="1"/>
                <w:szCs w:val="1"/>
                <w:color w:val="auto"/>
              </w:rPr>
            </w:pPr>
          </w:p>
        </w:tc>
      </w:tr>
      <w:tr>
        <w:trPr>
          <w:trHeight w:val="182"/>
        </w:trPr>
        <w:tc>
          <w:tcPr>
            <w:tcW w:w="2260" w:type="dxa"/>
            <w:vAlign w:val="bottom"/>
            <w:gridSpan w:val="2"/>
          </w:tcPr>
          <w:p>
            <w:pPr>
              <w:ind w:left="60"/>
              <w:spacing w:after="0" w:line="182" w:lineRule="exact"/>
              <w:rPr>
                <w:sz w:val="20"/>
                <w:szCs w:val="20"/>
                <w:color w:val="auto"/>
              </w:rPr>
            </w:pPr>
            <w:r>
              <w:rPr>
                <w:rFonts w:ascii="Arial" w:cs="Arial" w:eastAsia="Arial" w:hAnsi="Arial"/>
                <w:sz w:val="16"/>
                <w:szCs w:val="16"/>
                <w:color w:val="auto"/>
              </w:rPr>
              <w:t>Joseph Todisco</w:t>
            </w:r>
          </w:p>
        </w:tc>
        <w:tc>
          <w:tcPr>
            <w:tcW w:w="340" w:type="dxa"/>
            <w:vAlign w:val="bottom"/>
          </w:tcPr>
          <w:p>
            <w:pPr>
              <w:spacing w:after="0"/>
              <w:rPr>
                <w:sz w:val="15"/>
                <w:szCs w:val="15"/>
                <w:color w:val="auto"/>
              </w:rPr>
            </w:pPr>
          </w:p>
        </w:tc>
        <w:tc>
          <w:tcPr>
            <w:tcW w:w="3480" w:type="dxa"/>
            <w:vAlign w:val="bottom"/>
          </w:tcPr>
          <w:p>
            <w:pPr>
              <w:spacing w:after="0" w:line="182" w:lineRule="exact"/>
              <w:rPr>
                <w:sz w:val="20"/>
                <w:szCs w:val="20"/>
                <w:color w:val="auto"/>
              </w:rPr>
            </w:pPr>
            <w:r>
              <w:rPr>
                <w:rFonts w:ascii="Arial" w:cs="Arial" w:eastAsia="Arial" w:hAnsi="Arial"/>
                <w:sz w:val="16"/>
                <w:szCs w:val="16"/>
                <w:color w:val="auto"/>
              </w:rPr>
              <w:t>Cash</w:t>
            </w:r>
          </w:p>
        </w:tc>
        <w:tc>
          <w:tcPr>
            <w:tcW w:w="1740" w:type="dxa"/>
            <w:vAlign w:val="bottom"/>
            <w:gridSpan w:val="2"/>
          </w:tcPr>
          <w:p>
            <w:pPr>
              <w:jc w:val="right"/>
              <w:spacing w:after="0" w:line="182" w:lineRule="exact"/>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line="182" w:lineRule="exact"/>
              <w:rPr>
                <w:sz w:val="20"/>
                <w:szCs w:val="20"/>
                <w:color w:val="auto"/>
              </w:rPr>
            </w:pPr>
            <w:r>
              <w:rPr>
                <w:rFonts w:ascii="Arial" w:cs="Arial" w:eastAsia="Arial" w:hAnsi="Arial"/>
                <w:sz w:val="16"/>
                <w:szCs w:val="16"/>
                <w:color w:val="auto"/>
              </w:rPr>
              <w:t>1,102,500</w:t>
            </w:r>
          </w:p>
        </w:tc>
        <w:tc>
          <w:tcPr>
            <w:tcW w:w="1300" w:type="dxa"/>
            <w:vAlign w:val="bottom"/>
          </w:tcPr>
          <w:p>
            <w:pPr>
              <w:jc w:val="right"/>
              <w:spacing w:after="0" w:line="182" w:lineRule="exact"/>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line="182" w:lineRule="exact"/>
              <w:rPr>
                <w:sz w:val="20"/>
                <w:szCs w:val="20"/>
                <w:color w:val="auto"/>
              </w:rPr>
            </w:pPr>
            <w:r>
              <w:rPr>
                <w:rFonts w:ascii="Arial" w:cs="Arial" w:eastAsia="Arial" w:hAnsi="Arial"/>
                <w:sz w:val="16"/>
                <w:szCs w:val="16"/>
                <w:color w:val="auto"/>
              </w:rPr>
              <w:t>1,102,500</w:t>
            </w:r>
          </w:p>
        </w:tc>
        <w:tc>
          <w:tcPr>
            <w:tcW w:w="0" w:type="dxa"/>
            <w:vAlign w:val="bottom"/>
          </w:tcPr>
          <w:p>
            <w:pPr>
              <w:spacing w:after="0"/>
              <w:rPr>
                <w:sz w:val="1"/>
                <w:szCs w:val="1"/>
                <w:color w:val="auto"/>
              </w:rPr>
            </w:pPr>
          </w:p>
        </w:tc>
      </w:tr>
      <w:tr>
        <w:trPr>
          <w:trHeight w:val="230"/>
        </w:trPr>
        <w:tc>
          <w:tcPr>
            <w:tcW w:w="120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3480" w:type="dxa"/>
            <w:vAlign w:val="bottom"/>
          </w:tcPr>
          <w:p>
            <w:pPr>
              <w:spacing w:after="0" w:line="230" w:lineRule="exact"/>
              <w:rPr>
                <w:sz w:val="20"/>
                <w:szCs w:val="20"/>
                <w:color w:val="auto"/>
              </w:rPr>
            </w:pPr>
            <w:r>
              <w:rPr>
                <w:rFonts w:ascii="Arial" w:cs="Arial" w:eastAsia="Arial" w:hAnsi="Arial"/>
                <w:sz w:val="16"/>
                <w:szCs w:val="16"/>
                <w:color w:val="auto"/>
              </w:rPr>
              <w:t>Accelerated options</w:t>
            </w:r>
            <w:r>
              <w:rPr>
                <w:rFonts w:ascii="Arial" w:cs="Arial" w:eastAsia="Arial" w:hAnsi="Arial"/>
                <w:sz w:val="26"/>
                <w:szCs w:val="26"/>
                <w:color w:val="auto"/>
                <w:vertAlign w:val="superscript"/>
              </w:rPr>
              <w:t>(1)</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83,213</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129,367</w:t>
            </w:r>
          </w:p>
        </w:tc>
        <w:tc>
          <w:tcPr>
            <w:tcW w:w="0" w:type="dxa"/>
            <w:vAlign w:val="bottom"/>
          </w:tcPr>
          <w:p>
            <w:pPr>
              <w:spacing w:after="0"/>
              <w:rPr>
                <w:sz w:val="1"/>
                <w:szCs w:val="1"/>
                <w:color w:val="auto"/>
              </w:rPr>
            </w:pPr>
          </w:p>
        </w:tc>
      </w:tr>
      <w:tr>
        <w:trPr>
          <w:trHeight w:val="230"/>
        </w:trPr>
        <w:tc>
          <w:tcPr>
            <w:tcW w:w="120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3480" w:type="dxa"/>
            <w:vAlign w:val="bottom"/>
          </w:tcPr>
          <w:p>
            <w:pPr>
              <w:spacing w:after="0" w:line="230" w:lineRule="exact"/>
              <w:rPr>
                <w:sz w:val="20"/>
                <w:szCs w:val="20"/>
                <w:color w:val="auto"/>
              </w:rPr>
            </w:pPr>
            <w:r>
              <w:rPr>
                <w:rFonts w:ascii="Arial" w:cs="Arial" w:eastAsia="Arial" w:hAnsi="Arial"/>
                <w:sz w:val="16"/>
                <w:szCs w:val="16"/>
                <w:color w:val="auto"/>
              </w:rPr>
              <w:t>Accelerated RSUs</w:t>
            </w:r>
            <w:r>
              <w:rPr>
                <w:rFonts w:ascii="Arial" w:cs="Arial" w:eastAsia="Arial" w:hAnsi="Arial"/>
                <w:sz w:val="26"/>
                <w:szCs w:val="26"/>
                <w:color w:val="auto"/>
                <w:vertAlign w:val="superscript"/>
              </w:rPr>
              <w:t>(2)</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343,832</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1,062,867</w:t>
            </w:r>
          </w:p>
        </w:tc>
        <w:tc>
          <w:tcPr>
            <w:tcW w:w="0" w:type="dxa"/>
            <w:vAlign w:val="bottom"/>
          </w:tcPr>
          <w:p>
            <w:pPr>
              <w:spacing w:after="0"/>
              <w:rPr>
                <w:sz w:val="1"/>
                <w:szCs w:val="1"/>
                <w:color w:val="auto"/>
              </w:rPr>
            </w:pPr>
          </w:p>
        </w:tc>
      </w:tr>
      <w:tr>
        <w:trPr>
          <w:trHeight w:val="232"/>
        </w:trPr>
        <w:tc>
          <w:tcPr>
            <w:tcW w:w="12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3480" w:type="dxa"/>
            <w:vAlign w:val="bottom"/>
          </w:tcPr>
          <w:p>
            <w:pPr>
              <w:spacing w:after="0" w:line="232" w:lineRule="exact"/>
              <w:rPr>
                <w:sz w:val="20"/>
                <w:szCs w:val="20"/>
                <w:color w:val="auto"/>
              </w:rPr>
            </w:pPr>
            <w:r>
              <w:rPr>
                <w:rFonts w:ascii="Arial" w:cs="Arial" w:eastAsia="Arial" w:hAnsi="Arial"/>
                <w:sz w:val="16"/>
                <w:szCs w:val="16"/>
                <w:color w:val="auto"/>
              </w:rPr>
              <w:t>PSUs</w:t>
            </w:r>
            <w:r>
              <w:rPr>
                <w:rFonts w:ascii="Arial" w:cs="Arial" w:eastAsia="Arial" w:hAnsi="Arial"/>
                <w:sz w:val="26"/>
                <w:szCs w:val="26"/>
                <w:color w:val="auto"/>
                <w:vertAlign w:val="superscript"/>
              </w:rPr>
              <w:t>(3)</w:t>
            </w:r>
          </w:p>
        </w:tc>
        <w:tc>
          <w:tcPr>
            <w:tcW w:w="17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Pr>
          <w:p>
            <w:pPr>
              <w:jc w:val="right"/>
              <w:ind w:right="259"/>
              <w:spacing w:after="0"/>
              <w:rPr>
                <w:sz w:val="20"/>
                <w:szCs w:val="20"/>
                <w:color w:val="auto"/>
              </w:rPr>
            </w:pPr>
            <w:r>
              <w:rPr>
                <w:rFonts w:ascii="Arial" w:cs="Arial" w:eastAsia="Arial" w:hAnsi="Arial"/>
                <w:sz w:val="16"/>
                <w:szCs w:val="16"/>
                <w:color w:val="auto"/>
              </w:rPr>
              <w:t>0</w:t>
            </w:r>
          </w:p>
        </w:tc>
        <w:tc>
          <w:tcPr>
            <w:tcW w:w="1300" w:type="dxa"/>
            <w:vAlign w:val="bottom"/>
          </w:tcPr>
          <w:p>
            <w:pPr>
              <w:jc w:val="right"/>
              <w:spacing w:after="0"/>
              <w:rPr>
                <w:sz w:val="20"/>
                <w:szCs w:val="20"/>
                <w:color w:val="auto"/>
              </w:rPr>
            </w:pPr>
            <w:r>
              <w:rPr>
                <w:rFonts w:ascii="Arial" w:cs="Arial" w:eastAsia="Arial" w:hAnsi="Arial"/>
                <w:sz w:val="16"/>
                <w:szCs w:val="16"/>
                <w:color w:val="auto"/>
              </w:rPr>
              <w:t>$</w:t>
            </w:r>
          </w:p>
        </w:tc>
        <w:tc>
          <w:tcPr>
            <w:tcW w:w="920" w:type="dxa"/>
            <w:vAlign w:val="bottom"/>
          </w:tcPr>
          <w:p>
            <w:pPr>
              <w:jc w:val="right"/>
              <w:ind w:right="19"/>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87"/>
        </w:trPr>
        <w:tc>
          <w:tcPr>
            <w:tcW w:w="1200" w:type="dxa"/>
            <w:vAlign w:val="bottom"/>
            <w:tcBorders>
              <w:bottom w:val="single" w:sz="8" w:color="04568A"/>
            </w:tcBorders>
          </w:tcPr>
          <w:p>
            <w:pPr>
              <w:spacing w:after="0"/>
              <w:rPr>
                <w:sz w:val="16"/>
                <w:szCs w:val="16"/>
                <w:color w:val="auto"/>
              </w:rPr>
            </w:pPr>
          </w:p>
        </w:tc>
        <w:tc>
          <w:tcPr>
            <w:tcW w:w="1060" w:type="dxa"/>
            <w:vAlign w:val="bottom"/>
            <w:tcBorders>
              <w:bottom w:val="single" w:sz="8" w:color="04568A"/>
            </w:tcBorders>
          </w:tcPr>
          <w:p>
            <w:pPr>
              <w:spacing w:after="0"/>
              <w:rPr>
                <w:sz w:val="16"/>
                <w:szCs w:val="16"/>
                <w:color w:val="auto"/>
              </w:rPr>
            </w:pPr>
          </w:p>
        </w:tc>
        <w:tc>
          <w:tcPr>
            <w:tcW w:w="340" w:type="dxa"/>
            <w:vAlign w:val="bottom"/>
            <w:tcBorders>
              <w:bottom w:val="single" w:sz="8" w:color="04568A"/>
            </w:tcBorders>
          </w:tcPr>
          <w:p>
            <w:pPr>
              <w:spacing w:after="0"/>
              <w:rPr>
                <w:sz w:val="16"/>
                <w:szCs w:val="16"/>
                <w:color w:val="auto"/>
              </w:rPr>
            </w:pPr>
          </w:p>
        </w:tc>
        <w:tc>
          <w:tcPr>
            <w:tcW w:w="3480" w:type="dxa"/>
            <w:vAlign w:val="bottom"/>
            <w:tcBorders>
              <w:bottom w:val="single" w:sz="8" w:color="04568A"/>
            </w:tcBorders>
          </w:tcPr>
          <w:p>
            <w:pPr>
              <w:spacing w:after="0"/>
              <w:rPr>
                <w:sz w:val="20"/>
                <w:szCs w:val="20"/>
                <w:color w:val="auto"/>
              </w:rPr>
            </w:pPr>
            <w:r>
              <w:rPr>
                <w:rFonts w:ascii="Arial" w:cs="Arial" w:eastAsia="Arial" w:hAnsi="Arial"/>
                <w:sz w:val="16"/>
                <w:szCs w:val="16"/>
                <w:color w:val="auto"/>
              </w:rPr>
              <w:t>Health Care</w:t>
            </w:r>
          </w:p>
        </w:tc>
        <w:tc>
          <w:tcPr>
            <w:tcW w:w="1740" w:type="dxa"/>
            <w:vAlign w:val="bottom"/>
            <w:tcBorders>
              <w:bottom w:val="single" w:sz="8" w:color="04568A"/>
            </w:tcBorders>
            <w:gridSpan w:val="2"/>
          </w:tcPr>
          <w:p>
            <w:pPr>
              <w:jc w:val="right"/>
              <w:spacing w:after="0"/>
              <w:rPr>
                <w:sz w:val="20"/>
                <w:szCs w:val="20"/>
                <w:color w:val="auto"/>
              </w:rPr>
            </w:pPr>
            <w:r>
              <w:rPr>
                <w:rFonts w:ascii="Arial" w:cs="Arial" w:eastAsia="Arial" w:hAnsi="Arial"/>
                <w:sz w:val="16"/>
                <w:szCs w:val="16"/>
                <w:color w:val="auto"/>
              </w:rPr>
              <w:t>$</w:t>
            </w:r>
          </w:p>
        </w:tc>
        <w:tc>
          <w:tcPr>
            <w:tcW w:w="1200" w:type="dxa"/>
            <w:vAlign w:val="bottom"/>
            <w:tcBorders>
              <w:bottom w:val="single" w:sz="8" w:color="04568A"/>
            </w:tcBorders>
          </w:tcPr>
          <w:p>
            <w:pPr>
              <w:jc w:val="right"/>
              <w:ind w:right="259"/>
              <w:spacing w:after="0"/>
              <w:rPr>
                <w:sz w:val="20"/>
                <w:szCs w:val="20"/>
                <w:color w:val="auto"/>
              </w:rPr>
            </w:pPr>
            <w:r>
              <w:rPr>
                <w:rFonts w:ascii="Arial" w:cs="Arial" w:eastAsia="Arial" w:hAnsi="Arial"/>
                <w:sz w:val="16"/>
                <w:szCs w:val="16"/>
                <w:color w:val="auto"/>
              </w:rPr>
              <w:t>42,623</w:t>
            </w:r>
          </w:p>
        </w:tc>
        <w:tc>
          <w:tcPr>
            <w:tcW w:w="1300" w:type="dxa"/>
            <w:vAlign w:val="bottom"/>
            <w:tcBorders>
              <w:bottom w:val="single" w:sz="8" w:color="04568A"/>
            </w:tcBorders>
          </w:tcPr>
          <w:p>
            <w:pPr>
              <w:jc w:val="right"/>
              <w:spacing w:after="0"/>
              <w:rPr>
                <w:sz w:val="20"/>
                <w:szCs w:val="20"/>
                <w:color w:val="auto"/>
              </w:rPr>
            </w:pPr>
            <w:r>
              <w:rPr>
                <w:rFonts w:ascii="Arial" w:cs="Arial" w:eastAsia="Arial" w:hAnsi="Arial"/>
                <w:sz w:val="16"/>
                <w:szCs w:val="16"/>
                <w:color w:val="auto"/>
              </w:rPr>
              <w:t>$</w:t>
            </w:r>
          </w:p>
        </w:tc>
        <w:tc>
          <w:tcPr>
            <w:tcW w:w="920" w:type="dxa"/>
            <w:vAlign w:val="bottom"/>
            <w:tcBorders>
              <w:bottom w:val="single" w:sz="8" w:color="04568A"/>
            </w:tcBorders>
          </w:tcPr>
          <w:p>
            <w:pPr>
              <w:jc w:val="right"/>
              <w:ind w:right="19"/>
              <w:spacing w:after="0"/>
              <w:rPr>
                <w:sz w:val="20"/>
                <w:szCs w:val="20"/>
                <w:color w:val="auto"/>
              </w:rPr>
            </w:pPr>
            <w:r>
              <w:rPr>
                <w:rFonts w:ascii="Arial" w:cs="Arial" w:eastAsia="Arial" w:hAnsi="Arial"/>
                <w:sz w:val="16"/>
                <w:szCs w:val="16"/>
                <w:color w:val="auto"/>
              </w:rPr>
              <w:t>42,623</w:t>
            </w:r>
          </w:p>
        </w:tc>
        <w:tc>
          <w:tcPr>
            <w:tcW w:w="0" w:type="dxa"/>
            <w:vAlign w:val="bottom"/>
          </w:tcPr>
          <w:p>
            <w:pPr>
              <w:spacing w:after="0"/>
              <w:rPr>
                <w:sz w:val="1"/>
                <w:szCs w:val="1"/>
                <w:color w:val="auto"/>
              </w:rPr>
            </w:pPr>
          </w:p>
        </w:tc>
      </w:tr>
      <w:tr>
        <w:trPr>
          <w:trHeight w:val="183"/>
        </w:trPr>
        <w:tc>
          <w:tcPr>
            <w:tcW w:w="1200" w:type="dxa"/>
            <w:vAlign w:val="bottom"/>
            <w:tcBorders>
              <w:bottom w:val="single" w:sz="8" w:color="04568A"/>
            </w:tcBorders>
          </w:tcPr>
          <w:p>
            <w:pPr>
              <w:spacing w:after="0"/>
              <w:rPr>
                <w:sz w:val="15"/>
                <w:szCs w:val="15"/>
                <w:color w:val="auto"/>
              </w:rPr>
            </w:pPr>
          </w:p>
        </w:tc>
        <w:tc>
          <w:tcPr>
            <w:tcW w:w="1060" w:type="dxa"/>
            <w:vAlign w:val="bottom"/>
            <w:tcBorders>
              <w:bottom w:val="single" w:sz="8" w:color="04568A"/>
            </w:tcBorders>
          </w:tcPr>
          <w:p>
            <w:pPr>
              <w:spacing w:after="0"/>
              <w:rPr>
                <w:sz w:val="15"/>
                <w:szCs w:val="15"/>
                <w:color w:val="auto"/>
              </w:rPr>
            </w:pPr>
          </w:p>
        </w:tc>
        <w:tc>
          <w:tcPr>
            <w:tcW w:w="340" w:type="dxa"/>
            <w:vAlign w:val="bottom"/>
            <w:tcBorders>
              <w:bottom w:val="single" w:sz="8" w:color="04568A"/>
            </w:tcBorders>
          </w:tcPr>
          <w:p>
            <w:pPr>
              <w:spacing w:after="0"/>
              <w:rPr>
                <w:sz w:val="15"/>
                <w:szCs w:val="15"/>
                <w:color w:val="auto"/>
              </w:rPr>
            </w:pPr>
          </w:p>
        </w:tc>
        <w:tc>
          <w:tcPr>
            <w:tcW w:w="3480" w:type="dxa"/>
            <w:vAlign w:val="bottom"/>
            <w:tcBorders>
              <w:bottom w:val="single" w:sz="8" w:color="04568A"/>
            </w:tcBorders>
          </w:tcPr>
          <w:p>
            <w:pPr>
              <w:spacing w:after="0" w:line="183" w:lineRule="exact"/>
              <w:rPr>
                <w:sz w:val="20"/>
                <w:szCs w:val="20"/>
                <w:color w:val="auto"/>
              </w:rPr>
            </w:pPr>
            <w:r>
              <w:rPr>
                <w:rFonts w:ascii="Arial" w:cs="Arial" w:eastAsia="Arial" w:hAnsi="Arial"/>
                <w:sz w:val="16"/>
                <w:szCs w:val="16"/>
                <w:b w:val="1"/>
                <w:bCs w:val="1"/>
                <w:color w:val="auto"/>
              </w:rPr>
              <w:t>TOTAL</w:t>
            </w:r>
          </w:p>
        </w:tc>
        <w:tc>
          <w:tcPr>
            <w:tcW w:w="1740" w:type="dxa"/>
            <w:vAlign w:val="bottom"/>
            <w:tcBorders>
              <w:bottom w:val="single" w:sz="8" w:color="04568A"/>
            </w:tcBorders>
            <w:gridSpan w:val="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1200" w:type="dxa"/>
            <w:vAlign w:val="bottom"/>
            <w:tcBorders>
              <w:bottom w:val="single" w:sz="8" w:color="04568A"/>
            </w:tcBorders>
          </w:tcPr>
          <w:p>
            <w:pPr>
              <w:jc w:val="right"/>
              <w:ind w:right="259"/>
              <w:spacing w:after="0" w:line="183" w:lineRule="exact"/>
              <w:rPr>
                <w:sz w:val="20"/>
                <w:szCs w:val="20"/>
                <w:color w:val="auto"/>
              </w:rPr>
            </w:pPr>
            <w:r>
              <w:rPr>
                <w:rFonts w:ascii="Arial" w:cs="Arial" w:eastAsia="Arial" w:hAnsi="Arial"/>
                <w:sz w:val="16"/>
                <w:szCs w:val="16"/>
                <w:b w:val="1"/>
                <w:bCs w:val="1"/>
                <w:color w:val="auto"/>
              </w:rPr>
              <w:t>1,572,168</w:t>
            </w:r>
          </w:p>
        </w:tc>
        <w:tc>
          <w:tcPr>
            <w:tcW w:w="1300" w:type="dxa"/>
            <w:vAlign w:val="bottom"/>
            <w:tcBorders>
              <w:bottom w:val="single" w:sz="8" w:color="04568A"/>
            </w:tcBorders>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920" w:type="dxa"/>
            <w:vAlign w:val="bottom"/>
            <w:tcBorders>
              <w:bottom w:val="single" w:sz="8" w:color="04568A"/>
            </w:tcBorders>
          </w:tcPr>
          <w:p>
            <w:pPr>
              <w:jc w:val="right"/>
              <w:ind w:right="19"/>
              <w:spacing w:after="0" w:line="183" w:lineRule="exact"/>
              <w:rPr>
                <w:sz w:val="20"/>
                <w:szCs w:val="20"/>
                <w:color w:val="auto"/>
              </w:rPr>
            </w:pPr>
            <w:r>
              <w:rPr>
                <w:rFonts w:ascii="Arial" w:cs="Arial" w:eastAsia="Arial" w:hAnsi="Arial"/>
                <w:sz w:val="16"/>
                <w:szCs w:val="16"/>
                <w:b w:val="1"/>
                <w:bCs w:val="1"/>
                <w:color w:val="auto"/>
              </w:rPr>
              <w:t>2,337,358</w:t>
            </w:r>
          </w:p>
        </w:tc>
        <w:tc>
          <w:tcPr>
            <w:tcW w:w="0" w:type="dxa"/>
            <w:vAlign w:val="bottom"/>
          </w:tcPr>
          <w:p>
            <w:pPr>
              <w:spacing w:after="0"/>
              <w:rPr>
                <w:sz w:val="1"/>
                <w:szCs w:val="1"/>
                <w:color w:val="auto"/>
              </w:rPr>
            </w:pPr>
          </w:p>
        </w:tc>
      </w:tr>
      <w:tr>
        <w:trPr>
          <w:trHeight w:val="182"/>
        </w:trPr>
        <w:tc>
          <w:tcPr>
            <w:tcW w:w="2260" w:type="dxa"/>
            <w:vAlign w:val="bottom"/>
            <w:gridSpan w:val="2"/>
            <w:shd w:val="clear" w:color="auto" w:fill="E4E9F2"/>
          </w:tcPr>
          <w:p>
            <w:pPr>
              <w:ind w:left="60"/>
              <w:spacing w:after="0" w:line="182" w:lineRule="exact"/>
              <w:rPr>
                <w:sz w:val="20"/>
                <w:szCs w:val="20"/>
                <w:color w:val="auto"/>
              </w:rPr>
            </w:pPr>
            <w:r>
              <w:rPr>
                <w:rFonts w:ascii="Arial" w:cs="Arial" w:eastAsia="Arial" w:hAnsi="Arial"/>
                <w:sz w:val="16"/>
                <w:szCs w:val="16"/>
                <w:color w:val="auto"/>
              </w:rPr>
              <w:t>Nikita Shah</w:t>
            </w:r>
          </w:p>
        </w:tc>
        <w:tc>
          <w:tcPr>
            <w:tcW w:w="340" w:type="dxa"/>
            <w:vAlign w:val="bottom"/>
            <w:shd w:val="clear" w:color="auto" w:fill="E4E9F2"/>
          </w:tcPr>
          <w:p>
            <w:pPr>
              <w:spacing w:after="0"/>
              <w:rPr>
                <w:sz w:val="15"/>
                <w:szCs w:val="15"/>
                <w:color w:val="auto"/>
              </w:rPr>
            </w:pPr>
          </w:p>
        </w:tc>
        <w:tc>
          <w:tcPr>
            <w:tcW w:w="3480" w:type="dxa"/>
            <w:vAlign w:val="bottom"/>
            <w:shd w:val="clear" w:color="auto" w:fill="E4E9F2"/>
          </w:tcPr>
          <w:p>
            <w:pPr>
              <w:spacing w:after="0" w:line="182" w:lineRule="exact"/>
              <w:rPr>
                <w:sz w:val="20"/>
                <w:szCs w:val="20"/>
                <w:color w:val="auto"/>
              </w:rPr>
            </w:pPr>
            <w:r>
              <w:rPr>
                <w:rFonts w:ascii="Arial" w:cs="Arial" w:eastAsia="Arial" w:hAnsi="Arial"/>
                <w:sz w:val="16"/>
                <w:szCs w:val="16"/>
                <w:color w:val="auto"/>
              </w:rPr>
              <w:t>Cash</w:t>
            </w:r>
          </w:p>
        </w:tc>
        <w:tc>
          <w:tcPr>
            <w:tcW w:w="1740" w:type="dxa"/>
            <w:vAlign w:val="bottom"/>
            <w:gridSpan w:val="2"/>
            <w:shd w:val="clear" w:color="auto" w:fill="E4E9F2"/>
          </w:tcPr>
          <w:p>
            <w:pPr>
              <w:jc w:val="right"/>
              <w:spacing w:after="0" w:line="182" w:lineRule="exact"/>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line="182" w:lineRule="exact"/>
              <w:rPr>
                <w:sz w:val="20"/>
                <w:szCs w:val="20"/>
                <w:color w:val="auto"/>
              </w:rPr>
            </w:pPr>
            <w:r>
              <w:rPr>
                <w:rFonts w:ascii="Arial" w:cs="Arial" w:eastAsia="Arial" w:hAnsi="Arial"/>
                <w:sz w:val="16"/>
                <w:szCs w:val="16"/>
                <w:color w:val="auto"/>
              </w:rPr>
              <w:t>994,250</w:t>
            </w:r>
          </w:p>
        </w:tc>
        <w:tc>
          <w:tcPr>
            <w:tcW w:w="1300" w:type="dxa"/>
            <w:vAlign w:val="bottom"/>
            <w:shd w:val="clear" w:color="auto" w:fill="E4E9F2"/>
          </w:tcPr>
          <w:p>
            <w:pPr>
              <w:jc w:val="right"/>
              <w:spacing w:after="0" w:line="182" w:lineRule="exact"/>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line="182" w:lineRule="exact"/>
              <w:rPr>
                <w:sz w:val="20"/>
                <w:szCs w:val="20"/>
                <w:color w:val="auto"/>
              </w:rPr>
            </w:pPr>
            <w:r>
              <w:rPr>
                <w:rFonts w:ascii="Arial" w:cs="Arial" w:eastAsia="Arial" w:hAnsi="Arial"/>
                <w:sz w:val="16"/>
                <w:szCs w:val="16"/>
                <w:color w:val="auto"/>
              </w:rPr>
              <w:t>994,250</w:t>
            </w:r>
          </w:p>
        </w:tc>
        <w:tc>
          <w:tcPr>
            <w:tcW w:w="0" w:type="dxa"/>
            <w:vAlign w:val="bottom"/>
          </w:tcPr>
          <w:p>
            <w:pPr>
              <w:spacing w:after="0"/>
              <w:rPr>
                <w:sz w:val="1"/>
                <w:szCs w:val="1"/>
                <w:color w:val="auto"/>
              </w:rPr>
            </w:pPr>
          </w:p>
        </w:tc>
      </w:tr>
      <w:tr>
        <w:trPr>
          <w:trHeight w:val="230"/>
        </w:trPr>
        <w:tc>
          <w:tcPr>
            <w:tcW w:w="120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340" w:type="dxa"/>
            <w:vAlign w:val="bottom"/>
            <w:shd w:val="clear" w:color="auto" w:fill="E4E9F2"/>
          </w:tcPr>
          <w:p>
            <w:pPr>
              <w:spacing w:after="0"/>
              <w:rPr>
                <w:sz w:val="19"/>
                <w:szCs w:val="19"/>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Accelerated options</w:t>
            </w:r>
            <w:r>
              <w:rPr>
                <w:rFonts w:ascii="Arial" w:cs="Arial" w:eastAsia="Arial" w:hAnsi="Arial"/>
                <w:sz w:val="26"/>
                <w:szCs w:val="26"/>
                <w:color w:val="auto"/>
                <w:vertAlign w:val="superscript"/>
              </w:rPr>
              <w:t>(1)</w:t>
            </w:r>
          </w:p>
        </w:tc>
        <w:tc>
          <w:tcPr>
            <w:tcW w:w="1740" w:type="dxa"/>
            <w:vAlign w:val="bottom"/>
            <w:gridSpan w:val="2"/>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85,777</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134,495</w:t>
            </w:r>
          </w:p>
        </w:tc>
        <w:tc>
          <w:tcPr>
            <w:tcW w:w="0" w:type="dxa"/>
            <w:vAlign w:val="bottom"/>
          </w:tcPr>
          <w:p>
            <w:pPr>
              <w:spacing w:after="0"/>
              <w:rPr>
                <w:sz w:val="1"/>
                <w:szCs w:val="1"/>
                <w:color w:val="auto"/>
              </w:rPr>
            </w:pPr>
          </w:p>
        </w:tc>
      </w:tr>
      <w:tr>
        <w:trPr>
          <w:trHeight w:val="230"/>
        </w:trPr>
        <w:tc>
          <w:tcPr>
            <w:tcW w:w="1200" w:type="dxa"/>
            <w:vAlign w:val="bottom"/>
            <w:shd w:val="clear" w:color="auto" w:fill="E4E9F2"/>
          </w:tcPr>
          <w:p>
            <w:pPr>
              <w:spacing w:after="0"/>
              <w:rPr>
                <w:sz w:val="19"/>
                <w:szCs w:val="19"/>
                <w:color w:val="auto"/>
              </w:rPr>
            </w:pPr>
          </w:p>
        </w:tc>
        <w:tc>
          <w:tcPr>
            <w:tcW w:w="1060" w:type="dxa"/>
            <w:vAlign w:val="bottom"/>
            <w:shd w:val="clear" w:color="auto" w:fill="E4E9F2"/>
          </w:tcPr>
          <w:p>
            <w:pPr>
              <w:spacing w:after="0"/>
              <w:rPr>
                <w:sz w:val="19"/>
                <w:szCs w:val="19"/>
                <w:color w:val="auto"/>
              </w:rPr>
            </w:pPr>
          </w:p>
        </w:tc>
        <w:tc>
          <w:tcPr>
            <w:tcW w:w="340" w:type="dxa"/>
            <w:vAlign w:val="bottom"/>
            <w:shd w:val="clear" w:color="auto" w:fill="E4E9F2"/>
          </w:tcPr>
          <w:p>
            <w:pPr>
              <w:spacing w:after="0"/>
              <w:rPr>
                <w:sz w:val="19"/>
                <w:szCs w:val="19"/>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Accelerated RSUs</w:t>
            </w:r>
            <w:r>
              <w:rPr>
                <w:rFonts w:ascii="Arial" w:cs="Arial" w:eastAsia="Arial" w:hAnsi="Arial"/>
                <w:sz w:val="26"/>
                <w:szCs w:val="26"/>
                <w:color w:val="auto"/>
                <w:vertAlign w:val="superscript"/>
              </w:rPr>
              <w:t>(2)</w:t>
            </w:r>
          </w:p>
        </w:tc>
        <w:tc>
          <w:tcPr>
            <w:tcW w:w="1740" w:type="dxa"/>
            <w:vAlign w:val="bottom"/>
            <w:gridSpan w:val="2"/>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386,783</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1,200,321</w:t>
            </w:r>
          </w:p>
        </w:tc>
        <w:tc>
          <w:tcPr>
            <w:tcW w:w="0" w:type="dxa"/>
            <w:vAlign w:val="bottom"/>
          </w:tcPr>
          <w:p>
            <w:pPr>
              <w:spacing w:after="0"/>
              <w:rPr>
                <w:sz w:val="1"/>
                <w:szCs w:val="1"/>
                <w:color w:val="auto"/>
              </w:rPr>
            </w:pPr>
          </w:p>
        </w:tc>
      </w:tr>
      <w:tr>
        <w:trPr>
          <w:trHeight w:val="230"/>
        </w:trPr>
        <w:tc>
          <w:tcPr>
            <w:tcW w:w="1200" w:type="dxa"/>
            <w:vAlign w:val="bottom"/>
            <w:shd w:val="clear" w:color="auto" w:fill="E4E9F2"/>
          </w:tcPr>
          <w:p>
            <w:pPr>
              <w:spacing w:after="0"/>
              <w:rPr>
                <w:sz w:val="20"/>
                <w:szCs w:val="20"/>
                <w:color w:val="auto"/>
              </w:rPr>
            </w:pPr>
          </w:p>
        </w:tc>
        <w:tc>
          <w:tcPr>
            <w:tcW w:w="1060" w:type="dxa"/>
            <w:vAlign w:val="bottom"/>
            <w:shd w:val="clear" w:color="auto" w:fill="E4E9F2"/>
          </w:tcPr>
          <w:p>
            <w:pPr>
              <w:spacing w:after="0"/>
              <w:rPr>
                <w:sz w:val="20"/>
                <w:szCs w:val="20"/>
                <w:color w:val="auto"/>
              </w:rPr>
            </w:pPr>
          </w:p>
        </w:tc>
        <w:tc>
          <w:tcPr>
            <w:tcW w:w="340" w:type="dxa"/>
            <w:vAlign w:val="bottom"/>
            <w:shd w:val="clear" w:color="auto" w:fill="E4E9F2"/>
          </w:tcPr>
          <w:p>
            <w:pPr>
              <w:spacing w:after="0"/>
              <w:rPr>
                <w:sz w:val="20"/>
                <w:szCs w:val="20"/>
                <w:color w:val="auto"/>
              </w:rPr>
            </w:pPr>
          </w:p>
        </w:tc>
        <w:tc>
          <w:tcPr>
            <w:tcW w:w="3480" w:type="dxa"/>
            <w:vAlign w:val="bottom"/>
            <w:shd w:val="clear" w:color="auto" w:fill="E4E9F2"/>
          </w:tcPr>
          <w:p>
            <w:pPr>
              <w:spacing w:after="0" w:line="230" w:lineRule="exact"/>
              <w:rPr>
                <w:sz w:val="20"/>
                <w:szCs w:val="20"/>
                <w:color w:val="auto"/>
              </w:rPr>
            </w:pPr>
            <w:r>
              <w:rPr>
                <w:rFonts w:ascii="Arial" w:cs="Arial" w:eastAsia="Arial" w:hAnsi="Arial"/>
                <w:sz w:val="16"/>
                <w:szCs w:val="16"/>
                <w:color w:val="auto"/>
              </w:rPr>
              <w:t>PSUs</w:t>
            </w:r>
            <w:r>
              <w:rPr>
                <w:rFonts w:ascii="Arial" w:cs="Arial" w:eastAsia="Arial" w:hAnsi="Arial"/>
                <w:sz w:val="26"/>
                <w:szCs w:val="26"/>
                <w:color w:val="auto"/>
                <w:vertAlign w:val="superscript"/>
              </w:rPr>
              <w:t>(3)</w:t>
            </w:r>
          </w:p>
        </w:tc>
        <w:tc>
          <w:tcPr>
            <w:tcW w:w="560" w:type="dxa"/>
            <w:vAlign w:val="bottom"/>
            <w:shd w:val="clear" w:color="auto" w:fill="E4E9F2"/>
          </w:tcPr>
          <w:p>
            <w:pPr>
              <w:spacing w:after="0"/>
              <w:rPr>
                <w:sz w:val="20"/>
                <w:szCs w:val="20"/>
                <w:color w:val="auto"/>
              </w:rPr>
            </w:pPr>
          </w:p>
        </w:tc>
        <w:tc>
          <w:tcPr>
            <w:tcW w:w="11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shd w:val="clear" w:color="auto" w:fill="E4E9F2"/>
          </w:tcPr>
          <w:p>
            <w:pPr>
              <w:jc w:val="right"/>
              <w:ind w:right="259"/>
              <w:spacing w:after="0"/>
              <w:rPr>
                <w:sz w:val="20"/>
                <w:szCs w:val="20"/>
                <w:color w:val="auto"/>
              </w:rPr>
            </w:pPr>
            <w:r>
              <w:rPr>
                <w:rFonts w:ascii="Arial" w:cs="Arial" w:eastAsia="Arial" w:hAnsi="Arial"/>
                <w:sz w:val="16"/>
                <w:szCs w:val="16"/>
                <w:color w:val="auto"/>
              </w:rPr>
              <w:t>0</w:t>
            </w:r>
          </w:p>
        </w:tc>
        <w:tc>
          <w:tcPr>
            <w:tcW w:w="13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89"/>
        </w:trPr>
        <w:tc>
          <w:tcPr>
            <w:tcW w:w="1200" w:type="dxa"/>
            <w:vAlign w:val="bottom"/>
            <w:tcBorders>
              <w:bottom w:val="single" w:sz="8" w:color="04568A"/>
            </w:tcBorders>
            <w:shd w:val="clear" w:color="auto" w:fill="E4E9F2"/>
          </w:tcPr>
          <w:p>
            <w:pPr>
              <w:spacing w:after="0"/>
              <w:rPr>
                <w:sz w:val="16"/>
                <w:szCs w:val="16"/>
                <w:color w:val="auto"/>
              </w:rPr>
            </w:pPr>
          </w:p>
        </w:tc>
        <w:tc>
          <w:tcPr>
            <w:tcW w:w="1060" w:type="dxa"/>
            <w:vAlign w:val="bottom"/>
            <w:tcBorders>
              <w:bottom w:val="single" w:sz="8" w:color="04568A"/>
            </w:tcBorders>
            <w:shd w:val="clear" w:color="auto" w:fill="E4E9F2"/>
          </w:tcPr>
          <w:p>
            <w:pPr>
              <w:spacing w:after="0"/>
              <w:rPr>
                <w:sz w:val="16"/>
                <w:szCs w:val="16"/>
                <w:color w:val="auto"/>
              </w:rPr>
            </w:pPr>
          </w:p>
        </w:tc>
        <w:tc>
          <w:tcPr>
            <w:tcW w:w="340" w:type="dxa"/>
            <w:vAlign w:val="bottom"/>
            <w:tcBorders>
              <w:bottom w:val="single" w:sz="8" w:color="04568A"/>
            </w:tcBorders>
            <w:shd w:val="clear" w:color="auto" w:fill="E4E9F2"/>
          </w:tcPr>
          <w:p>
            <w:pPr>
              <w:spacing w:after="0"/>
              <w:rPr>
                <w:sz w:val="16"/>
                <w:szCs w:val="16"/>
                <w:color w:val="auto"/>
              </w:rPr>
            </w:pPr>
          </w:p>
        </w:tc>
        <w:tc>
          <w:tcPr>
            <w:tcW w:w="3480" w:type="dxa"/>
            <w:vAlign w:val="bottom"/>
            <w:tcBorders>
              <w:bottom w:val="single" w:sz="8" w:color="04568A"/>
            </w:tcBorders>
            <w:shd w:val="clear" w:color="auto" w:fill="E4E9F2"/>
          </w:tcPr>
          <w:p>
            <w:pPr>
              <w:spacing w:after="0"/>
              <w:rPr>
                <w:sz w:val="20"/>
                <w:szCs w:val="20"/>
                <w:color w:val="auto"/>
              </w:rPr>
            </w:pPr>
            <w:r>
              <w:rPr>
                <w:rFonts w:ascii="Arial" w:cs="Arial" w:eastAsia="Arial" w:hAnsi="Arial"/>
                <w:sz w:val="16"/>
                <w:szCs w:val="16"/>
                <w:color w:val="auto"/>
              </w:rPr>
              <w:t>Health Care</w:t>
            </w:r>
          </w:p>
        </w:tc>
        <w:tc>
          <w:tcPr>
            <w:tcW w:w="560" w:type="dxa"/>
            <w:vAlign w:val="bottom"/>
            <w:tcBorders>
              <w:bottom w:val="single" w:sz="8" w:color="04568A"/>
            </w:tcBorders>
            <w:shd w:val="clear" w:color="auto" w:fill="E4E9F2"/>
          </w:tcPr>
          <w:p>
            <w:pPr>
              <w:spacing w:after="0"/>
              <w:rPr>
                <w:sz w:val="16"/>
                <w:szCs w:val="16"/>
                <w:color w:val="auto"/>
              </w:rPr>
            </w:pPr>
          </w:p>
        </w:tc>
        <w:tc>
          <w:tcPr>
            <w:tcW w:w="118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200" w:type="dxa"/>
            <w:vAlign w:val="bottom"/>
            <w:tcBorders>
              <w:bottom w:val="single" w:sz="8" w:color="04568A"/>
            </w:tcBorders>
            <w:shd w:val="clear" w:color="auto" w:fill="E4E9F2"/>
          </w:tcPr>
          <w:p>
            <w:pPr>
              <w:jc w:val="right"/>
              <w:ind w:right="259"/>
              <w:spacing w:after="0"/>
              <w:rPr>
                <w:sz w:val="20"/>
                <w:szCs w:val="20"/>
                <w:color w:val="auto"/>
              </w:rPr>
            </w:pPr>
            <w:r>
              <w:rPr>
                <w:rFonts w:ascii="Arial" w:cs="Arial" w:eastAsia="Arial" w:hAnsi="Arial"/>
                <w:sz w:val="16"/>
                <w:szCs w:val="16"/>
                <w:color w:val="auto"/>
              </w:rPr>
              <w:t>42,623</w:t>
            </w:r>
          </w:p>
        </w:tc>
        <w:tc>
          <w:tcPr>
            <w:tcW w:w="130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920" w:type="dxa"/>
            <w:vAlign w:val="bottom"/>
            <w:tcBorders>
              <w:bottom w:val="single" w:sz="8" w:color="04568A"/>
            </w:tcBorders>
            <w:shd w:val="clear" w:color="auto" w:fill="E4E9F2"/>
          </w:tcPr>
          <w:p>
            <w:pPr>
              <w:jc w:val="right"/>
              <w:ind w:right="19"/>
              <w:spacing w:after="0"/>
              <w:rPr>
                <w:sz w:val="20"/>
                <w:szCs w:val="20"/>
                <w:color w:val="auto"/>
              </w:rPr>
            </w:pPr>
            <w:r>
              <w:rPr>
                <w:rFonts w:ascii="Arial" w:cs="Arial" w:eastAsia="Arial" w:hAnsi="Arial"/>
                <w:sz w:val="16"/>
                <w:szCs w:val="16"/>
                <w:color w:val="auto"/>
              </w:rPr>
              <w:t>42,623</w:t>
            </w:r>
          </w:p>
        </w:tc>
        <w:tc>
          <w:tcPr>
            <w:tcW w:w="0" w:type="dxa"/>
            <w:vAlign w:val="bottom"/>
          </w:tcPr>
          <w:p>
            <w:pPr>
              <w:spacing w:after="0"/>
              <w:rPr>
                <w:sz w:val="1"/>
                <w:szCs w:val="1"/>
                <w:color w:val="auto"/>
              </w:rPr>
            </w:pPr>
          </w:p>
        </w:tc>
      </w:tr>
      <w:tr>
        <w:trPr>
          <w:trHeight w:val="183"/>
        </w:trPr>
        <w:tc>
          <w:tcPr>
            <w:tcW w:w="1200" w:type="dxa"/>
            <w:vAlign w:val="bottom"/>
            <w:tcBorders>
              <w:bottom w:val="single" w:sz="8" w:color="04568A"/>
            </w:tcBorders>
            <w:shd w:val="clear" w:color="auto" w:fill="E4E9F2"/>
          </w:tcPr>
          <w:p>
            <w:pPr>
              <w:spacing w:after="0"/>
              <w:rPr>
                <w:sz w:val="15"/>
                <w:szCs w:val="15"/>
                <w:color w:val="auto"/>
              </w:rPr>
            </w:pPr>
          </w:p>
        </w:tc>
        <w:tc>
          <w:tcPr>
            <w:tcW w:w="1060" w:type="dxa"/>
            <w:vAlign w:val="bottom"/>
            <w:tcBorders>
              <w:bottom w:val="single" w:sz="8" w:color="04568A"/>
            </w:tcBorders>
            <w:shd w:val="clear" w:color="auto" w:fill="E4E9F2"/>
          </w:tcPr>
          <w:p>
            <w:pPr>
              <w:spacing w:after="0"/>
              <w:rPr>
                <w:sz w:val="15"/>
                <w:szCs w:val="15"/>
                <w:color w:val="auto"/>
              </w:rPr>
            </w:pPr>
          </w:p>
        </w:tc>
        <w:tc>
          <w:tcPr>
            <w:tcW w:w="340" w:type="dxa"/>
            <w:vAlign w:val="bottom"/>
            <w:tcBorders>
              <w:bottom w:val="single" w:sz="8" w:color="04568A"/>
            </w:tcBorders>
            <w:shd w:val="clear" w:color="auto" w:fill="E4E9F2"/>
          </w:tcPr>
          <w:p>
            <w:pPr>
              <w:spacing w:after="0"/>
              <w:rPr>
                <w:sz w:val="15"/>
                <w:szCs w:val="15"/>
                <w:color w:val="auto"/>
              </w:rPr>
            </w:pPr>
          </w:p>
        </w:tc>
        <w:tc>
          <w:tcPr>
            <w:tcW w:w="3480" w:type="dxa"/>
            <w:vAlign w:val="bottom"/>
            <w:tcBorders>
              <w:bottom w:val="single" w:sz="8" w:color="04568A"/>
            </w:tcBorders>
            <w:shd w:val="clear" w:color="auto" w:fill="E4E9F2"/>
          </w:tcPr>
          <w:p>
            <w:pPr>
              <w:spacing w:after="0" w:line="183" w:lineRule="exact"/>
              <w:rPr>
                <w:sz w:val="20"/>
                <w:szCs w:val="20"/>
                <w:color w:val="auto"/>
              </w:rPr>
            </w:pPr>
            <w:r>
              <w:rPr>
                <w:rFonts w:ascii="Arial" w:cs="Arial" w:eastAsia="Arial" w:hAnsi="Arial"/>
                <w:sz w:val="16"/>
                <w:szCs w:val="16"/>
                <w:b w:val="1"/>
                <w:bCs w:val="1"/>
                <w:color w:val="auto"/>
              </w:rPr>
              <w:t>TOTAL</w:t>
            </w:r>
          </w:p>
        </w:tc>
        <w:tc>
          <w:tcPr>
            <w:tcW w:w="560" w:type="dxa"/>
            <w:vAlign w:val="bottom"/>
            <w:tcBorders>
              <w:bottom w:val="single" w:sz="8" w:color="04568A"/>
            </w:tcBorders>
            <w:shd w:val="clear" w:color="auto" w:fill="E4E9F2"/>
          </w:tcPr>
          <w:p>
            <w:pPr>
              <w:spacing w:after="0"/>
              <w:rPr>
                <w:sz w:val="15"/>
                <w:szCs w:val="15"/>
                <w:color w:val="auto"/>
              </w:rPr>
            </w:pPr>
          </w:p>
        </w:tc>
        <w:tc>
          <w:tcPr>
            <w:tcW w:w="118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1200" w:type="dxa"/>
            <w:vAlign w:val="bottom"/>
            <w:tcBorders>
              <w:bottom w:val="single" w:sz="8" w:color="04568A"/>
            </w:tcBorders>
            <w:shd w:val="clear" w:color="auto" w:fill="E4E9F2"/>
          </w:tcPr>
          <w:p>
            <w:pPr>
              <w:jc w:val="right"/>
              <w:ind w:right="259"/>
              <w:spacing w:after="0" w:line="183" w:lineRule="exact"/>
              <w:rPr>
                <w:sz w:val="20"/>
                <w:szCs w:val="20"/>
                <w:color w:val="auto"/>
              </w:rPr>
            </w:pPr>
            <w:r>
              <w:rPr>
                <w:rFonts w:ascii="Arial" w:cs="Arial" w:eastAsia="Arial" w:hAnsi="Arial"/>
                <w:sz w:val="16"/>
                <w:szCs w:val="16"/>
                <w:b w:val="1"/>
                <w:bCs w:val="1"/>
                <w:color w:val="auto"/>
              </w:rPr>
              <w:t>1,509,433</w:t>
            </w:r>
          </w:p>
        </w:tc>
        <w:tc>
          <w:tcPr>
            <w:tcW w:w="130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auto"/>
              </w:rPr>
              <w:t>$</w:t>
            </w:r>
          </w:p>
        </w:tc>
        <w:tc>
          <w:tcPr>
            <w:tcW w:w="920" w:type="dxa"/>
            <w:vAlign w:val="bottom"/>
            <w:tcBorders>
              <w:bottom w:val="single" w:sz="8" w:color="04568A"/>
            </w:tcBorders>
            <w:shd w:val="clear" w:color="auto" w:fill="E4E9F2"/>
          </w:tcPr>
          <w:p>
            <w:pPr>
              <w:jc w:val="right"/>
              <w:ind w:right="19"/>
              <w:spacing w:after="0" w:line="183" w:lineRule="exact"/>
              <w:rPr>
                <w:sz w:val="20"/>
                <w:szCs w:val="20"/>
                <w:color w:val="auto"/>
              </w:rPr>
            </w:pPr>
            <w:r>
              <w:rPr>
                <w:rFonts w:ascii="Arial" w:cs="Arial" w:eastAsia="Arial" w:hAnsi="Arial"/>
                <w:sz w:val="16"/>
                <w:szCs w:val="16"/>
                <w:b w:val="1"/>
                <w:bCs w:val="1"/>
                <w:color w:val="auto"/>
              </w:rPr>
              <w:t>2,371,690</w:t>
            </w:r>
          </w:p>
        </w:tc>
        <w:tc>
          <w:tcPr>
            <w:tcW w:w="0" w:type="dxa"/>
            <w:vAlign w:val="bottom"/>
          </w:tcPr>
          <w:p>
            <w:pPr>
              <w:spacing w:after="0"/>
              <w:rPr>
                <w:sz w:val="1"/>
                <w:szCs w:val="1"/>
                <w:color w:val="auto"/>
              </w:rPr>
            </w:pPr>
          </w:p>
        </w:tc>
      </w:tr>
    </w:tbl>
    <w:p>
      <w:pPr>
        <w:spacing w:after="0" w:line="58" w:lineRule="exact"/>
        <w:rPr>
          <w:sz w:val="20"/>
          <w:szCs w:val="20"/>
          <w:color w:val="auto"/>
        </w:rPr>
      </w:pPr>
    </w:p>
    <w:p>
      <w:pPr>
        <w:ind w:left="280" w:hanging="272"/>
        <w:spacing w:after="0" w:line="279" w:lineRule="auto"/>
        <w:tabs>
          <w:tab w:leader="none" w:pos="280" w:val="left"/>
        </w:tabs>
        <w:numPr>
          <w:ilvl w:val="0"/>
          <w:numId w:val="40"/>
        </w:numPr>
        <w:rPr>
          <w:rFonts w:ascii="Arial" w:cs="Arial" w:eastAsia="Arial" w:hAnsi="Arial"/>
          <w:sz w:val="14"/>
          <w:szCs w:val="14"/>
          <w:i w:val="1"/>
          <w:iCs w:val="1"/>
          <w:color w:val="auto"/>
        </w:rPr>
      </w:pPr>
      <w:r>
        <w:rPr>
          <w:rFonts w:ascii="Arial" w:cs="Arial" w:eastAsia="Arial" w:hAnsi="Arial"/>
          <w:sz w:val="14"/>
          <w:szCs w:val="14"/>
          <w:i w:val="1"/>
          <w:iCs w:val="1"/>
          <w:color w:val="auto"/>
        </w:rPr>
        <w:t>Represents unvested options that would accelerate in connection with the applicable termination event valued based on the closing price of our Class A common stock on December 31, 2021, which was $4.79.</w:t>
      </w:r>
    </w:p>
    <w:p>
      <w:pPr>
        <w:spacing w:after="0" w:line="3" w:lineRule="exact"/>
        <w:rPr>
          <w:rFonts w:ascii="Arial" w:cs="Arial" w:eastAsia="Arial" w:hAnsi="Arial"/>
          <w:sz w:val="14"/>
          <w:szCs w:val="14"/>
          <w:i w:val="1"/>
          <w:iCs w:val="1"/>
          <w:color w:val="auto"/>
        </w:rPr>
      </w:pPr>
    </w:p>
    <w:p>
      <w:pPr>
        <w:ind w:left="280" w:hanging="272"/>
        <w:spacing w:after="0" w:line="279" w:lineRule="auto"/>
        <w:tabs>
          <w:tab w:leader="none" w:pos="280" w:val="left"/>
        </w:tabs>
        <w:numPr>
          <w:ilvl w:val="0"/>
          <w:numId w:val="40"/>
        </w:numPr>
        <w:rPr>
          <w:rFonts w:ascii="Arial" w:cs="Arial" w:eastAsia="Arial" w:hAnsi="Arial"/>
          <w:sz w:val="14"/>
          <w:szCs w:val="14"/>
          <w:i w:val="1"/>
          <w:iCs w:val="1"/>
          <w:color w:val="auto"/>
        </w:rPr>
      </w:pPr>
      <w:r>
        <w:rPr>
          <w:rFonts w:ascii="Arial" w:cs="Arial" w:eastAsia="Arial" w:hAnsi="Arial"/>
          <w:sz w:val="14"/>
          <w:szCs w:val="14"/>
          <w:i w:val="1"/>
          <w:iCs w:val="1"/>
          <w:color w:val="auto"/>
        </w:rPr>
        <w:t>Represents unvested restricted stock units that would accelerate in connection with the applicable termination event valued based on the closing price of our Class A common stock on December 31, 2021, which was $4.79.</w:t>
      </w:r>
    </w:p>
    <w:p>
      <w:pPr>
        <w:spacing w:after="0" w:line="3" w:lineRule="exact"/>
        <w:rPr>
          <w:rFonts w:ascii="Arial" w:cs="Arial" w:eastAsia="Arial" w:hAnsi="Arial"/>
          <w:sz w:val="14"/>
          <w:szCs w:val="14"/>
          <w:i w:val="1"/>
          <w:iCs w:val="1"/>
          <w:color w:val="auto"/>
        </w:rPr>
      </w:pPr>
    </w:p>
    <w:p>
      <w:pPr>
        <w:ind w:left="280" w:hanging="272"/>
        <w:spacing w:after="0" w:line="279" w:lineRule="auto"/>
        <w:tabs>
          <w:tab w:leader="none" w:pos="280" w:val="left"/>
        </w:tabs>
        <w:numPr>
          <w:ilvl w:val="0"/>
          <w:numId w:val="40"/>
        </w:numPr>
        <w:rPr>
          <w:rFonts w:ascii="Arial" w:cs="Arial" w:eastAsia="Arial" w:hAnsi="Arial"/>
          <w:sz w:val="14"/>
          <w:szCs w:val="14"/>
          <w:i w:val="1"/>
          <w:iCs w:val="1"/>
          <w:color w:val="auto"/>
        </w:rPr>
      </w:pPr>
      <w:r>
        <w:rPr>
          <w:rFonts w:ascii="Arial" w:cs="Arial" w:eastAsia="Arial" w:hAnsi="Arial"/>
          <w:sz w:val="14"/>
          <w:szCs w:val="14"/>
          <w:i w:val="1"/>
          <w:iCs w:val="1"/>
          <w:color w:val="auto"/>
        </w:rPr>
        <w:t>Represents unvested performance-based restricted stock units that would be earned in connection with the applicable termination event valued based on the closing price of our Class A common stock on December 31, 2021, which was $4.79. These amounts reflect probable achievement as of December 31, 2021.</w:t>
      </w:r>
    </w:p>
    <w:p>
      <w:pPr>
        <w:spacing w:after="0" w:line="22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Release</w:t>
      </w:r>
    </w:p>
    <w:p>
      <w:pPr>
        <w:spacing w:after="0" w:line="213" w:lineRule="exact"/>
        <w:rPr>
          <w:sz w:val="20"/>
          <w:szCs w:val="20"/>
          <w:color w:val="auto"/>
        </w:rPr>
      </w:pPr>
    </w:p>
    <w:p>
      <w:pPr>
        <w:ind w:right="20"/>
        <w:spacing w:after="0" w:line="260" w:lineRule="auto"/>
        <w:rPr>
          <w:sz w:val="20"/>
          <w:szCs w:val="20"/>
          <w:color w:val="auto"/>
        </w:rPr>
      </w:pPr>
      <w:r>
        <w:rPr>
          <w:rFonts w:ascii="Arial" w:cs="Arial" w:eastAsia="Arial" w:hAnsi="Arial"/>
          <w:sz w:val="16"/>
          <w:szCs w:val="16"/>
          <w:color w:val="auto"/>
        </w:rPr>
        <w:t>The obligation of the Company to provide the salary continuation and other severance benefits described above is contingent upon and subject to the execution and delivery by the executive officer of a general release of claims against the Company.</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45</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7"/>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46" w:name="page47"/>
    <w:bookmarkEnd w:id="46"/>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36" w:lineRule="exact"/>
        <w:rPr>
          <w:sz w:val="20"/>
          <w:szCs w:val="20"/>
          <w:color w:val="auto"/>
        </w:rPr>
      </w:pPr>
    </w:p>
    <w:p>
      <w:pPr>
        <w:spacing w:after="0"/>
        <w:rPr>
          <w:sz w:val="20"/>
          <w:szCs w:val="20"/>
          <w:color w:val="auto"/>
        </w:rPr>
      </w:pPr>
      <w:r>
        <w:rPr>
          <w:rFonts w:ascii="Arial" w:cs="Arial" w:eastAsia="Arial" w:hAnsi="Arial"/>
          <w:sz w:val="43"/>
          <w:szCs w:val="43"/>
          <w:b w:val="1"/>
          <w:bCs w:val="1"/>
          <w:color w:val="04568A"/>
        </w:rPr>
        <w:t>Pay Ratio Disclosure</w:t>
      </w:r>
    </w:p>
    <w:p>
      <w:pPr>
        <w:spacing w:after="0" w:line="371"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The 2021 annual total compensation of the median compensated of all our employees who were employed as of December 1, 2021, other than our Co-CEOs, Mr. Chintu Patel and Mr. Chirag Patel, was $12,169. The median employee is located in India. Since the Company operated with Co-CEOs for 2021, the annual total compensation of $4,798,825 for Mr. Chintu Patel, which was moderately higher that Mr. Chirag Patel, was used. Had we used Mr. Chirag Patel, our pay ratio would not have significantly changed. The ratio of Mr. Chintu Patel’s compensation to the median was 1 to 394.</w:t>
      </w:r>
    </w:p>
    <w:p>
      <w:pPr>
        <w:spacing w:after="0" w:line="175"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SEC’s rules for identifying the median compensated employee and calculating the pay ratio based on that employee’s annual total compensation allow companies to adopt a variety of methodologies, to apply certain exclusions, and to make reasonable estimates and assumptions that reflect their employee populations and compensation practices. As a result, the pay ratio reported by other companies may not be comparable to the pay ratio reported above, as other companies have different employee populations and compensation practices and may utilize different methodologies, exclusions, estimates and assumptions in calculating their own pay ratios.</w:t>
      </w:r>
    </w:p>
    <w:p>
      <w:pPr>
        <w:spacing w:after="0" w:line="176"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pay ratio reported above is a reasonable estimate calculated in a manner consistent with SEC rules based on our payroll and employment records and the methodology described below.</w:t>
      </w:r>
    </w:p>
    <w:p>
      <w:pPr>
        <w:spacing w:after="0" w:line="16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As of December 1, 2021, we employed approximately 2,340 U.S.-based employees and 4,700 non-U.S. employees. In addition to our Co-Chief Executive Officers, we excluded all 56 employees from Ireland using the de minimus exception, which accounted for less than 1% of our total employee population. For these purposes, we identified the median compensated employee among an employee population of approximately 2,340 U.S. employees and 4,151 Indian employees. The number of employees based in India excludes approximately 500 employees who became employees of Amneal through our November 2021 acquisition of Puniska Healthcare. We identified the median compensated employee using target total cash compensation (comprised of base salary equivalent and target bonus), which we annualized for any employee, other than temporary or seasonal employees, who did not work for the entire year. The average annual exchange rate as of December 1, 2021 was used to convert amounts paid in foreign currencies to U.S. Dollars in order to identify the median employee, while the average annual exchange rate as of December 31, 2021 was used to calculate the 2021 annual total compensation of the median employee.</w:t>
      </w:r>
    </w:p>
    <w:p>
      <w:pPr>
        <w:spacing w:after="0" w:line="159"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47" w:name="page48"/>
    <w:bookmarkEnd w:id="47"/>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ind w:right="2580"/>
        <w:spacing w:after="0" w:line="269" w:lineRule="auto"/>
        <w:rPr>
          <w:sz w:val="20"/>
          <w:szCs w:val="20"/>
          <w:color w:val="auto"/>
        </w:rPr>
      </w:pPr>
      <w:r>
        <w:rPr>
          <w:rFonts w:ascii="Arial" w:cs="Arial" w:eastAsia="Arial" w:hAnsi="Arial"/>
          <w:sz w:val="47"/>
          <w:szCs w:val="47"/>
          <w:b w:val="1"/>
          <w:bCs w:val="1"/>
          <w:color w:val="04568A"/>
        </w:rPr>
        <w:t xml:space="preserve">Proposal 2 </w:t>
      </w:r>
      <w:r>
        <w:rPr>
          <w:rFonts w:ascii="Arial" w:cs="Arial" w:eastAsia="Arial" w:hAnsi="Arial"/>
          <w:sz w:val="47"/>
          <w:szCs w:val="47"/>
          <w:b w:val="1"/>
          <w:bCs w:val="1"/>
          <w:color w:val="000000"/>
        </w:rPr>
        <w:t>Advisory Vote on Executive</w:t>
      </w:r>
      <w:r>
        <w:rPr>
          <w:rFonts w:ascii="Arial" w:cs="Arial" w:eastAsia="Arial" w:hAnsi="Arial"/>
          <w:sz w:val="47"/>
          <w:szCs w:val="47"/>
          <w:b w:val="1"/>
          <w:bCs w:val="1"/>
          <w:color w:val="04568A"/>
        </w:rPr>
        <w:t xml:space="preserve"> </w:t>
      </w:r>
      <w:r>
        <w:rPr>
          <w:rFonts w:ascii="Arial" w:cs="Arial" w:eastAsia="Arial" w:hAnsi="Arial"/>
          <w:sz w:val="47"/>
          <w:szCs w:val="47"/>
          <w:b w:val="1"/>
          <w:bCs w:val="1"/>
          <w:color w:val="000000"/>
        </w:rPr>
        <w:t>Compensation</w:t>
      </w:r>
    </w:p>
    <w:p>
      <w:pPr>
        <w:spacing w:after="0" w:line="395"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Introduction</w:t>
      </w:r>
    </w:p>
    <w:p>
      <w:pPr>
        <w:spacing w:after="0" w:line="237"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Dodd-Frank Wall Street Reform and Consumer Protection Act of 2010 enables our stockholders to vote to approve, on an advisory (non-binding) basis, the compensation of our named executive officers as disclosed in this proxy statement in accordance with the SEC’s rules.</w:t>
      </w:r>
    </w:p>
    <w:p>
      <w:pPr>
        <w:spacing w:after="0" w:line="168"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As described in detail under the heading “Compensation Discussion and Analysis,” our executive compensation programs, which are guided by the principle of “pay for performance,” are designed to attract, motivate, and retain our named executive officers, reinforce the execution of our business strategy and the achievement of our business objectives, and align the interests of our executive officers with the interests of our stockholders, with the ultimate objective of improving stockholder value. Under these programs, our named executive officers are rewarded for the achievement of annual and long-term goals and the realization of increased stockholder value. Please read the “Compensation Discussion and Analysis” beginning on page 30 for additional details about our executive compensation programs, including information about the fiscal 2021 compensation of our named executive officers.</w:t>
      </w:r>
    </w:p>
    <w:p>
      <w:pPr>
        <w:spacing w:after="0" w:line="17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We believe that our compensation program has been instrumental in helping the Company achieve strong financial performance. Therefore, we are asking our stockholders to indicate their support for our named executive officer compensation as described in this proxy statement. This proposal, commonly known as a “say on pay” proposal, gives our stockholders the opportunity to express their views on our named executive officers’ compensation. This vote is not intended to address any specific item of compensation, but rather the overall compensation of our named executive officers and the philosophy, policies and practices described in this proxy statement.</w:t>
      </w:r>
    </w:p>
    <w:p>
      <w:pPr>
        <w:spacing w:after="0" w:line="176"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The say on pay vote is advisory, and therefore not binding on our Company, the Compensation Committee or our Board of Directors. However, our Board of Directors and our Compensation Committee value the opinions of our stockholders and will consider the outcome of the vote and the concerns of our stockholders when making future decisions on the compensation of our named executive officers and our Company’s compensation principles, policies and procedures.</w:t>
      </w:r>
    </w:p>
    <w:p>
      <w:pPr>
        <w:spacing w:after="0" w:line="175"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In accordance with the Board’s policy of holding annual say on pay votes, we expect that the next advisory vote to approve executive compensation will occur at our 2023 Annual Meeting.</w:t>
      </w:r>
    </w:p>
    <w:p>
      <w:pPr>
        <w:spacing w:after="0" w:line="31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Required Vote</w:t>
      </w:r>
    </w:p>
    <w:p>
      <w:pPr>
        <w:spacing w:after="0" w:line="237"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Approval of this proposal requires the affirmative vote of a majority of the shares of voting common stock present by remote communication or by proxy at the annual meeting and entitled to vote on the proposal.</w:t>
      </w:r>
    </w:p>
    <w:p>
      <w:pPr>
        <w:spacing w:after="0" w:line="31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Recommendation of the Board of Directors</w:t>
      </w:r>
    </w:p>
    <w:p>
      <w:pPr>
        <w:spacing w:after="0" w:line="217" w:lineRule="exact"/>
        <w:rPr>
          <w:sz w:val="20"/>
          <w:szCs w:val="20"/>
          <w:color w:val="auto"/>
        </w:rPr>
      </w:pPr>
    </w:p>
    <w:p>
      <w:pPr>
        <w:ind w:left="340" w:right="200"/>
        <w:spacing w:after="0" w:line="266" w:lineRule="auto"/>
        <w:rPr>
          <w:sz w:val="20"/>
          <w:szCs w:val="20"/>
          <w:color w:val="auto"/>
        </w:rPr>
      </w:pPr>
      <w:r>
        <w:rPr>
          <w:rFonts w:ascii="Arial" w:cs="Arial" w:eastAsia="Arial" w:hAnsi="Arial"/>
          <w:sz w:val="16"/>
          <w:szCs w:val="16"/>
          <w:color w:val="auto"/>
        </w:rPr>
        <w:t>THE BOARD OF DIRECTORS RECOMMENDS THAT THE STOCKHOLDERS VOTE “</w:t>
      </w:r>
      <w:r>
        <w:rPr>
          <w:rFonts w:ascii="Arial" w:cs="Arial" w:eastAsia="Arial" w:hAnsi="Arial"/>
          <w:sz w:val="16"/>
          <w:szCs w:val="16"/>
          <w:b w:val="1"/>
          <w:bCs w:val="1"/>
          <w:color w:val="04568A"/>
        </w:rPr>
        <w:t>FOR</w:t>
      </w:r>
      <w:r>
        <w:rPr>
          <w:rFonts w:ascii="Arial" w:cs="Arial" w:eastAsia="Arial" w:hAnsi="Arial"/>
          <w:sz w:val="16"/>
          <w:szCs w:val="16"/>
          <w:color w:val="auto"/>
        </w:rPr>
        <w:t>” THE PROPOSAL TO APPROVE, IN AN ADVISORY MANNER, THE COMPENSATION OF OUR NAMED EXECUTIVE OFFICERS, AS DISCLOSED IN THIS PROXY STATEMENT PURSUANT TO THE COMPENSATION DISCLOSURE RULES OF THE SEC.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-376555</wp:posOffset>
            </wp:positionV>
            <wp:extent cx="162560" cy="16319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162560" cy="163195"/>
                    </a:xfrm>
                    <a:prstGeom prst="rect">
                      <a:avLst/>
                    </a:prstGeom>
                    <a:noFill/>
                  </pic:spPr>
                </pic:pic>
              </a:graphicData>
            </a:graphic>
          </wp:anchor>
        </w:drawing>
      </w:r>
    </w:p>
    <w:p>
      <w:pPr>
        <w:spacing w:after="0" w:line="124"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47</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48" w:name="page49"/>
    <w:bookmarkEnd w:id="48"/>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Security </w:t>
      </w:r>
      <w:r>
        <w:rPr>
          <w:rFonts w:ascii="Arial" w:cs="Arial" w:eastAsia="Arial" w:hAnsi="Arial"/>
          <w:sz w:val="47"/>
          <w:szCs w:val="47"/>
          <w:b w:val="1"/>
          <w:bCs w:val="1"/>
          <w:color w:val="000000"/>
        </w:rPr>
        <w:t>Ownership of Certain Beneficial Owners</w:t>
      </w:r>
    </w:p>
    <w:p>
      <w:pPr>
        <w:spacing w:after="0" w:line="44" w:lineRule="exact"/>
        <w:rPr>
          <w:sz w:val="20"/>
          <w:szCs w:val="20"/>
          <w:color w:val="auto"/>
        </w:rPr>
      </w:pPr>
    </w:p>
    <w:p>
      <w:pPr>
        <w:spacing w:after="0"/>
        <w:rPr>
          <w:sz w:val="20"/>
          <w:szCs w:val="20"/>
          <w:color w:val="auto"/>
        </w:rPr>
      </w:pPr>
      <w:r>
        <w:rPr>
          <w:rFonts w:ascii="Arial" w:cs="Arial" w:eastAsia="Arial" w:hAnsi="Arial"/>
          <w:sz w:val="47"/>
          <w:szCs w:val="47"/>
          <w:b w:val="1"/>
          <w:bCs w:val="1"/>
          <w:color w:val="auto"/>
        </w:rPr>
        <w:t>and Management</w:t>
      </w:r>
    </w:p>
    <w:p>
      <w:pPr>
        <w:spacing w:after="0" w:line="200" w:lineRule="exact"/>
        <w:rPr>
          <w:sz w:val="20"/>
          <w:szCs w:val="20"/>
          <w:color w:val="auto"/>
        </w:rPr>
      </w:pPr>
    </w:p>
    <w:p>
      <w:pPr>
        <w:spacing w:after="0" w:line="281"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Beneficial Ownership</w:t>
      </w:r>
    </w:p>
    <w:p>
      <w:pPr>
        <w:spacing w:after="0" w:line="200" w:lineRule="exact"/>
        <w:rPr>
          <w:sz w:val="20"/>
          <w:szCs w:val="20"/>
          <w:color w:val="auto"/>
        </w:rPr>
      </w:pPr>
    </w:p>
    <w:p>
      <w:pPr>
        <w:spacing w:after="0" w:line="226" w:lineRule="exact"/>
        <w:rPr>
          <w:sz w:val="20"/>
          <w:szCs w:val="20"/>
          <w:color w:val="auto"/>
        </w:rPr>
      </w:pPr>
    </w:p>
    <w:p>
      <w:pPr>
        <w:spacing w:after="0" w:line="260" w:lineRule="auto"/>
        <w:rPr>
          <w:sz w:val="20"/>
          <w:szCs w:val="20"/>
          <w:color w:val="auto"/>
        </w:rPr>
      </w:pPr>
      <w:r>
        <w:rPr>
          <w:rFonts w:ascii="Arial" w:cs="Arial" w:eastAsia="Arial" w:hAnsi="Arial"/>
          <w:sz w:val="16"/>
          <w:szCs w:val="16"/>
          <w:color w:val="auto"/>
        </w:rPr>
        <w:t>The following table sets forth information as of March 11, 2022, with respect to the beneficial ownership of our Class A common stock and Class B common stock, and shows the number of and percentage owned by:</w:t>
      </w:r>
    </w:p>
    <w:p>
      <w:pPr>
        <w:spacing w:after="0" w:line="168" w:lineRule="exact"/>
        <w:rPr>
          <w:sz w:val="20"/>
          <w:szCs w:val="20"/>
          <w:color w:val="auto"/>
        </w:rPr>
      </w:pPr>
    </w:p>
    <w:p>
      <w:pPr>
        <w:ind w:left="180" w:right="20" w:hanging="172"/>
        <w:spacing w:after="0" w:line="260" w:lineRule="auto"/>
        <w:tabs>
          <w:tab w:leader="none" w:pos="180" w:val="left"/>
        </w:tabs>
        <w:numPr>
          <w:ilvl w:val="0"/>
          <w:numId w:val="41"/>
        </w:numPr>
        <w:rPr>
          <w:rFonts w:ascii="Arial" w:cs="Arial" w:eastAsia="Arial" w:hAnsi="Arial"/>
          <w:sz w:val="16"/>
          <w:szCs w:val="16"/>
          <w:color w:val="04568A"/>
        </w:rPr>
      </w:pPr>
      <w:r>
        <w:rPr>
          <w:rFonts w:ascii="Arial" w:cs="Arial" w:eastAsia="Arial" w:hAnsi="Arial"/>
          <w:sz w:val="16"/>
          <w:szCs w:val="16"/>
          <w:color w:val="auto"/>
        </w:rPr>
        <w:t>each person or entity our Company believes to be the beneficial owner of more than five percent of any class of our common stock based solely on management’s review of SEC filings;</w:t>
      </w:r>
    </w:p>
    <w:p>
      <w:pPr>
        <w:spacing w:after="0" w:line="60" w:lineRule="exact"/>
        <w:rPr>
          <w:rFonts w:ascii="Arial" w:cs="Arial" w:eastAsia="Arial" w:hAnsi="Arial"/>
          <w:sz w:val="16"/>
          <w:szCs w:val="16"/>
          <w:color w:val="04568A"/>
        </w:rPr>
      </w:pPr>
    </w:p>
    <w:p>
      <w:pPr>
        <w:ind w:left="180" w:hanging="172"/>
        <w:spacing w:after="0"/>
        <w:tabs>
          <w:tab w:leader="none" w:pos="180" w:val="left"/>
        </w:tabs>
        <w:numPr>
          <w:ilvl w:val="0"/>
          <w:numId w:val="41"/>
        </w:numPr>
        <w:rPr>
          <w:rFonts w:ascii="Arial" w:cs="Arial" w:eastAsia="Arial" w:hAnsi="Arial"/>
          <w:sz w:val="16"/>
          <w:szCs w:val="16"/>
          <w:color w:val="04568A"/>
        </w:rPr>
      </w:pPr>
      <w:r>
        <w:rPr>
          <w:rFonts w:ascii="Arial" w:cs="Arial" w:eastAsia="Arial" w:hAnsi="Arial"/>
          <w:sz w:val="16"/>
          <w:szCs w:val="16"/>
          <w:color w:val="auto"/>
        </w:rPr>
        <w:t>each named executive officer listed in the summary compensation table;</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41"/>
        </w:numPr>
        <w:rPr>
          <w:rFonts w:ascii="Arial" w:cs="Arial" w:eastAsia="Arial" w:hAnsi="Arial"/>
          <w:sz w:val="16"/>
          <w:szCs w:val="16"/>
          <w:color w:val="04568A"/>
        </w:rPr>
      </w:pPr>
      <w:r>
        <w:rPr>
          <w:rFonts w:ascii="Arial" w:cs="Arial" w:eastAsia="Arial" w:hAnsi="Arial"/>
          <w:sz w:val="16"/>
          <w:szCs w:val="16"/>
          <w:color w:val="auto"/>
        </w:rPr>
        <w:t>each director; and</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41"/>
        </w:numPr>
        <w:rPr>
          <w:rFonts w:ascii="Arial" w:cs="Arial" w:eastAsia="Arial" w:hAnsi="Arial"/>
          <w:sz w:val="16"/>
          <w:szCs w:val="16"/>
          <w:color w:val="04568A"/>
        </w:rPr>
      </w:pPr>
      <w:r>
        <w:rPr>
          <w:rFonts w:ascii="Arial" w:cs="Arial" w:eastAsia="Arial" w:hAnsi="Arial"/>
          <w:sz w:val="16"/>
          <w:szCs w:val="16"/>
          <w:color w:val="auto"/>
        </w:rPr>
        <w:t>all of our current directors and executive officers as a group.</w:t>
      </w:r>
    </w:p>
    <w:p>
      <w:pPr>
        <w:spacing w:after="0" w:line="302"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Beneficial ownership of shares is determined under the rules of the SEC and generally includes any shares over which a person exercises sole or shared voting or investment power. Except as indicated by footnote, and subject to applicable community property laws, each person identified in the table possesses sole voting and investment power with respect to all shares of stock held by such person. As of March 11, 2022, 150,639,171 shares of Class A common stock and 152,116,890 shares of Class B common stock were outstanding.</w:t>
      </w:r>
    </w:p>
    <w:p>
      <w:pPr>
        <w:spacing w:after="0" w:line="15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58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20" w:type="dxa"/>
            <w:vAlign w:val="bottom"/>
          </w:tcPr>
          <w:p>
            <w:pPr>
              <w:jc w:val="right"/>
              <w:ind w:right="299"/>
              <w:spacing w:after="0"/>
              <w:rPr>
                <w:sz w:val="20"/>
                <w:szCs w:val="20"/>
                <w:color w:val="auto"/>
              </w:rPr>
            </w:pPr>
            <w:r>
              <w:rPr>
                <w:rFonts w:ascii="Arial" w:cs="Arial" w:eastAsia="Arial" w:hAnsi="Arial"/>
                <w:sz w:val="16"/>
                <w:szCs w:val="16"/>
                <w:b w:val="1"/>
                <w:bCs w:val="1"/>
                <w:color w:val="04568A"/>
              </w:rPr>
              <w:t>Class A</w:t>
            </w:r>
          </w:p>
        </w:tc>
        <w:tc>
          <w:tcPr>
            <w:tcW w:w="1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6"/>
                <w:szCs w:val="16"/>
                <w:b w:val="1"/>
                <w:bCs w:val="1"/>
                <w:color w:val="04568A"/>
              </w:rPr>
              <w:t>Class B</w:t>
            </w:r>
          </w:p>
        </w:tc>
        <w:tc>
          <w:tcPr>
            <w:tcW w:w="5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60" w:type="dxa"/>
            <w:vAlign w:val="bottom"/>
            <w:gridSpan w:val="4"/>
          </w:tcPr>
          <w:p>
            <w:pPr>
              <w:jc w:val="right"/>
              <w:ind w:right="100"/>
              <w:spacing w:after="0"/>
              <w:rPr>
                <w:sz w:val="20"/>
                <w:szCs w:val="20"/>
                <w:color w:val="auto"/>
              </w:rPr>
            </w:pPr>
            <w:r>
              <w:rPr>
                <w:rFonts w:ascii="Arial" w:cs="Arial" w:eastAsia="Arial" w:hAnsi="Arial"/>
                <w:sz w:val="16"/>
                <w:szCs w:val="16"/>
                <w:b w:val="1"/>
                <w:bCs w:val="1"/>
                <w:color w:val="04568A"/>
              </w:rPr>
              <w:t>All Common</w:t>
            </w:r>
          </w:p>
        </w:tc>
        <w:tc>
          <w:tcPr>
            <w:tcW w:w="0" w:type="dxa"/>
            <w:vAlign w:val="bottom"/>
          </w:tcPr>
          <w:p>
            <w:pPr>
              <w:spacing w:after="0"/>
              <w:rPr>
                <w:sz w:val="1"/>
                <w:szCs w:val="1"/>
                <w:color w:val="auto"/>
              </w:rPr>
            </w:pPr>
          </w:p>
        </w:tc>
      </w:tr>
      <w:tr>
        <w:trPr>
          <w:trHeight w:val="164"/>
        </w:trPr>
        <w:tc>
          <w:tcPr>
            <w:tcW w:w="3200" w:type="dxa"/>
            <w:vAlign w:val="bottom"/>
            <w:gridSpan w:val="2"/>
            <w:vMerge w:val="restart"/>
          </w:tcPr>
          <w:p>
            <w:pPr>
              <w:ind w:left="60"/>
              <w:spacing w:after="0"/>
              <w:rPr>
                <w:sz w:val="20"/>
                <w:szCs w:val="20"/>
                <w:color w:val="auto"/>
              </w:rPr>
            </w:pPr>
            <w:r>
              <w:rPr>
                <w:rFonts w:ascii="Arial" w:cs="Arial" w:eastAsia="Arial" w:hAnsi="Arial"/>
                <w:sz w:val="16"/>
                <w:szCs w:val="16"/>
                <w:b w:val="1"/>
                <w:bCs w:val="1"/>
                <w:color w:val="04568A"/>
              </w:rPr>
              <w:t>Name</w:t>
            </w:r>
            <w:r>
              <w:rPr>
                <w:rFonts w:ascii="Arial" w:cs="Arial" w:eastAsia="Arial" w:hAnsi="Arial"/>
                <w:sz w:val="26"/>
                <w:szCs w:val="26"/>
                <w:b w:val="1"/>
                <w:bCs w:val="1"/>
                <w:color w:val="04568A"/>
                <w:vertAlign w:val="superscript"/>
              </w:rPr>
              <w:t>(1)</w:t>
            </w:r>
          </w:p>
        </w:tc>
        <w:tc>
          <w:tcPr>
            <w:tcW w:w="180" w:type="dxa"/>
            <w:vAlign w:val="bottom"/>
            <w:tcBorders>
              <w:top w:val="single" w:sz="8" w:color="04568A"/>
            </w:tcBorders>
          </w:tcPr>
          <w:p>
            <w:pPr>
              <w:spacing w:after="0"/>
              <w:rPr>
                <w:sz w:val="14"/>
                <w:szCs w:val="14"/>
                <w:color w:val="auto"/>
              </w:rPr>
            </w:pPr>
          </w:p>
        </w:tc>
        <w:tc>
          <w:tcPr>
            <w:tcW w:w="940" w:type="dxa"/>
            <w:vAlign w:val="bottom"/>
            <w:tcBorders>
              <w:top w:val="single" w:sz="8" w:color="04568A"/>
            </w:tcBorders>
          </w:tcPr>
          <w:p>
            <w:pPr>
              <w:spacing w:after="0"/>
              <w:rPr>
                <w:sz w:val="14"/>
                <w:szCs w:val="14"/>
                <w:color w:val="auto"/>
              </w:rPr>
            </w:pPr>
          </w:p>
        </w:tc>
        <w:tc>
          <w:tcPr>
            <w:tcW w:w="980" w:type="dxa"/>
            <w:vAlign w:val="bottom"/>
            <w:tcBorders>
              <w:top w:val="single" w:sz="8" w:color="04568A"/>
            </w:tcBorders>
            <w:vMerge w:val="restart"/>
          </w:tcPr>
          <w:p>
            <w:pPr>
              <w:jc w:val="right"/>
              <w:spacing w:after="0"/>
              <w:rPr>
                <w:sz w:val="20"/>
                <w:szCs w:val="20"/>
                <w:color w:val="auto"/>
              </w:rPr>
            </w:pPr>
            <w:r>
              <w:rPr>
                <w:rFonts w:ascii="Arial" w:cs="Arial" w:eastAsia="Arial" w:hAnsi="Arial"/>
                <w:sz w:val="16"/>
                <w:szCs w:val="16"/>
                <w:b w:val="1"/>
                <w:bCs w:val="1"/>
                <w:color w:val="04568A"/>
              </w:rPr>
              <w:t>Options</w:t>
            </w:r>
            <w:r>
              <w:rPr>
                <w:rFonts w:ascii="Arial" w:cs="Arial" w:eastAsia="Arial" w:hAnsi="Arial"/>
                <w:sz w:val="26"/>
                <w:szCs w:val="26"/>
                <w:b w:val="1"/>
                <w:bCs w:val="1"/>
                <w:color w:val="04568A"/>
                <w:vertAlign w:val="superscript"/>
              </w:rPr>
              <w:t>(2)</w:t>
            </w:r>
          </w:p>
        </w:tc>
        <w:tc>
          <w:tcPr>
            <w:tcW w:w="1020" w:type="dxa"/>
            <w:vAlign w:val="bottom"/>
            <w:tcBorders>
              <w:top w:val="single" w:sz="8" w:color="04568A"/>
            </w:tcBorders>
            <w:vMerge w:val="restart"/>
          </w:tcPr>
          <w:p>
            <w:pPr>
              <w:jc w:val="right"/>
              <w:ind w:right="59"/>
              <w:spacing w:after="0"/>
              <w:rPr>
                <w:sz w:val="20"/>
                <w:szCs w:val="20"/>
                <w:color w:val="auto"/>
              </w:rPr>
            </w:pPr>
            <w:r>
              <w:rPr>
                <w:rFonts w:ascii="Arial" w:cs="Arial" w:eastAsia="Arial" w:hAnsi="Arial"/>
                <w:sz w:val="16"/>
                <w:szCs w:val="16"/>
                <w:b w:val="1"/>
                <w:bCs w:val="1"/>
                <w:color w:val="04568A"/>
              </w:rPr>
              <w:t>RSUs</w:t>
            </w:r>
            <w:r>
              <w:rPr>
                <w:rFonts w:ascii="Arial" w:cs="Arial" w:eastAsia="Arial" w:hAnsi="Arial"/>
                <w:sz w:val="26"/>
                <w:szCs w:val="26"/>
                <w:b w:val="1"/>
                <w:bCs w:val="1"/>
                <w:color w:val="04568A"/>
                <w:vertAlign w:val="superscript"/>
              </w:rPr>
              <w:t>(2)</w:t>
            </w:r>
          </w:p>
        </w:tc>
        <w:tc>
          <w:tcPr>
            <w:tcW w:w="1160" w:type="dxa"/>
            <w:vAlign w:val="bottom"/>
            <w:tcBorders>
              <w:top w:val="single" w:sz="8" w:color="04568A"/>
            </w:tcBorders>
          </w:tcPr>
          <w:p>
            <w:pPr>
              <w:spacing w:after="0"/>
              <w:rPr>
                <w:sz w:val="14"/>
                <w:szCs w:val="14"/>
                <w:color w:val="auto"/>
              </w:rPr>
            </w:pPr>
          </w:p>
        </w:tc>
        <w:tc>
          <w:tcPr>
            <w:tcW w:w="620" w:type="dxa"/>
            <w:vAlign w:val="bottom"/>
            <w:tcBorders>
              <w:top w:val="single" w:sz="8" w:color="04568A"/>
            </w:tcBorders>
          </w:tcPr>
          <w:p>
            <w:pPr>
              <w:jc w:val="right"/>
              <w:spacing w:after="0" w:line="165" w:lineRule="exact"/>
              <w:rPr>
                <w:sz w:val="20"/>
                <w:szCs w:val="20"/>
                <w:color w:val="auto"/>
              </w:rPr>
            </w:pPr>
            <w:r>
              <w:rPr>
                <w:rFonts w:ascii="Arial" w:cs="Arial" w:eastAsia="Arial" w:hAnsi="Arial"/>
                <w:sz w:val="16"/>
                <w:szCs w:val="16"/>
                <w:b w:val="1"/>
                <w:bCs w:val="1"/>
                <w:color w:val="04568A"/>
              </w:rPr>
              <w:t>% of</w:t>
            </w:r>
          </w:p>
        </w:tc>
        <w:tc>
          <w:tcPr>
            <w:tcW w:w="180" w:type="dxa"/>
            <w:vAlign w:val="bottom"/>
          </w:tcPr>
          <w:p>
            <w:pPr>
              <w:spacing w:after="0"/>
              <w:rPr>
                <w:sz w:val="14"/>
                <w:szCs w:val="14"/>
                <w:color w:val="auto"/>
              </w:rPr>
            </w:pPr>
          </w:p>
        </w:tc>
        <w:tc>
          <w:tcPr>
            <w:tcW w:w="40" w:type="dxa"/>
            <w:vAlign w:val="bottom"/>
            <w:tcBorders>
              <w:top w:val="single" w:sz="8" w:color="04568A"/>
            </w:tcBorders>
          </w:tcPr>
          <w:p>
            <w:pPr>
              <w:spacing w:after="0"/>
              <w:rPr>
                <w:sz w:val="14"/>
                <w:szCs w:val="14"/>
                <w:color w:val="auto"/>
              </w:rPr>
            </w:pPr>
          </w:p>
        </w:tc>
        <w:tc>
          <w:tcPr>
            <w:tcW w:w="1200" w:type="dxa"/>
            <w:vAlign w:val="bottom"/>
            <w:tcBorders>
              <w:top w:val="single" w:sz="8" w:color="04568A"/>
            </w:tcBorders>
          </w:tcPr>
          <w:p>
            <w:pPr>
              <w:spacing w:after="0"/>
              <w:rPr>
                <w:sz w:val="14"/>
                <w:szCs w:val="14"/>
                <w:color w:val="auto"/>
              </w:rPr>
            </w:pPr>
          </w:p>
        </w:tc>
        <w:tc>
          <w:tcPr>
            <w:tcW w:w="500" w:type="dxa"/>
            <w:vAlign w:val="bottom"/>
            <w:tcBorders>
              <w:top w:val="single" w:sz="8" w:color="04568A"/>
            </w:tcBorders>
          </w:tcPr>
          <w:p>
            <w:pPr>
              <w:jc w:val="right"/>
              <w:spacing w:after="0" w:line="165" w:lineRule="exact"/>
              <w:rPr>
                <w:sz w:val="20"/>
                <w:szCs w:val="20"/>
                <w:color w:val="auto"/>
              </w:rPr>
            </w:pPr>
            <w:r>
              <w:rPr>
                <w:rFonts w:ascii="Arial" w:cs="Arial" w:eastAsia="Arial" w:hAnsi="Arial"/>
                <w:sz w:val="16"/>
                <w:szCs w:val="16"/>
                <w:b w:val="1"/>
                <w:bCs w:val="1"/>
                <w:color w:val="04568A"/>
              </w:rPr>
              <w:t>%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tcBorders>
              <w:top w:val="single" w:sz="8" w:color="04568A"/>
            </w:tcBorders>
            <w:gridSpan w:val="2"/>
          </w:tcPr>
          <w:p>
            <w:pPr>
              <w:jc w:val="right"/>
              <w:ind w:right="19"/>
              <w:spacing w:after="0" w:line="165" w:lineRule="exact"/>
              <w:rPr>
                <w:sz w:val="20"/>
                <w:szCs w:val="20"/>
                <w:color w:val="auto"/>
              </w:rPr>
            </w:pPr>
            <w:r>
              <w:rPr>
                <w:rFonts w:ascii="Arial" w:cs="Arial" w:eastAsia="Arial" w:hAnsi="Arial"/>
                <w:sz w:val="16"/>
                <w:szCs w:val="16"/>
                <w:b w:val="1"/>
                <w:bCs w:val="1"/>
                <w:color w:val="04568A"/>
              </w:rPr>
              <w:t>% of All</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7"/>
        </w:trPr>
        <w:tc>
          <w:tcPr>
            <w:tcW w:w="3200" w:type="dxa"/>
            <w:vAlign w:val="bottom"/>
            <w:gridSpan w:val="2"/>
            <w:vMerge w:val="continue"/>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tcPr>
          <w:p>
            <w:pPr>
              <w:jc w:val="right"/>
              <w:ind w:right="79"/>
              <w:spacing w:after="0"/>
              <w:rPr>
                <w:sz w:val="20"/>
                <w:szCs w:val="20"/>
                <w:color w:val="auto"/>
              </w:rPr>
            </w:pPr>
            <w:r>
              <w:rPr>
                <w:rFonts w:ascii="Arial" w:cs="Arial" w:eastAsia="Arial" w:hAnsi="Arial"/>
                <w:sz w:val="16"/>
                <w:szCs w:val="16"/>
                <w:b w:val="1"/>
                <w:bCs w:val="1"/>
                <w:color w:val="04568A"/>
              </w:rPr>
              <w:t>Shares</w:t>
            </w:r>
          </w:p>
        </w:tc>
        <w:tc>
          <w:tcPr>
            <w:tcW w:w="980" w:type="dxa"/>
            <w:vAlign w:val="bottom"/>
            <w:vMerge w:val="continue"/>
          </w:tcPr>
          <w:p>
            <w:pPr>
              <w:spacing w:after="0"/>
              <w:rPr>
                <w:sz w:val="18"/>
                <w:szCs w:val="18"/>
                <w:color w:val="auto"/>
              </w:rPr>
            </w:pPr>
          </w:p>
        </w:tc>
        <w:tc>
          <w:tcPr>
            <w:tcW w:w="1020" w:type="dxa"/>
            <w:vAlign w:val="bottom"/>
            <w:vMerge w:val="continue"/>
          </w:tcPr>
          <w:p>
            <w:pPr>
              <w:spacing w:after="0"/>
              <w:rPr>
                <w:sz w:val="18"/>
                <w:szCs w:val="18"/>
                <w:color w:val="auto"/>
              </w:rPr>
            </w:pPr>
          </w:p>
        </w:tc>
        <w:tc>
          <w:tcPr>
            <w:tcW w:w="1160" w:type="dxa"/>
            <w:vAlign w:val="bottom"/>
          </w:tcPr>
          <w:p>
            <w:pPr>
              <w:jc w:val="right"/>
              <w:ind w:right="119"/>
              <w:spacing w:after="0"/>
              <w:rPr>
                <w:sz w:val="20"/>
                <w:szCs w:val="20"/>
                <w:color w:val="auto"/>
              </w:rPr>
            </w:pPr>
            <w:r>
              <w:rPr>
                <w:rFonts w:ascii="Arial" w:cs="Arial" w:eastAsia="Arial" w:hAnsi="Arial"/>
                <w:sz w:val="16"/>
                <w:szCs w:val="16"/>
                <w:b w:val="1"/>
                <w:bCs w:val="1"/>
                <w:color w:val="04568A"/>
              </w:rPr>
              <w:t>Total</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b w:val="1"/>
                <w:bCs w:val="1"/>
                <w:color w:val="04568A"/>
              </w:rPr>
              <w:t>Class</w:t>
            </w:r>
          </w:p>
        </w:tc>
        <w:tc>
          <w:tcPr>
            <w:tcW w:w="40" w:type="dxa"/>
            <w:vAlign w:val="bottom"/>
          </w:tcPr>
          <w:p>
            <w:pPr>
              <w:spacing w:after="0"/>
              <w:rPr>
                <w:sz w:val="18"/>
                <w:szCs w:val="18"/>
                <w:color w:val="auto"/>
              </w:rPr>
            </w:pPr>
          </w:p>
        </w:tc>
        <w:tc>
          <w:tcPr>
            <w:tcW w:w="1200" w:type="dxa"/>
            <w:vAlign w:val="bottom"/>
          </w:tcPr>
          <w:p>
            <w:pPr>
              <w:jc w:val="right"/>
              <w:ind w:right="239"/>
              <w:spacing w:after="0"/>
              <w:rPr>
                <w:sz w:val="20"/>
                <w:szCs w:val="20"/>
                <w:color w:val="auto"/>
              </w:rPr>
            </w:pPr>
            <w:r>
              <w:rPr>
                <w:rFonts w:ascii="Arial" w:cs="Arial" w:eastAsia="Arial" w:hAnsi="Arial"/>
                <w:sz w:val="16"/>
                <w:szCs w:val="16"/>
                <w:b w:val="1"/>
                <w:bCs w:val="1"/>
                <w:color w:val="04568A"/>
              </w:rPr>
              <w:t>Shares</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b w:val="1"/>
                <w:bCs w:val="1"/>
                <w:color w:val="04568A"/>
              </w:rPr>
              <w:t>Class</w:t>
            </w:r>
          </w:p>
        </w:tc>
        <w:tc>
          <w:tcPr>
            <w:tcW w:w="100" w:type="dxa"/>
            <w:vAlign w:val="bottom"/>
          </w:tcPr>
          <w:p>
            <w:pPr>
              <w:spacing w:after="0"/>
              <w:rPr>
                <w:sz w:val="18"/>
                <w:szCs w:val="18"/>
                <w:color w:val="auto"/>
              </w:rPr>
            </w:pPr>
          </w:p>
        </w:tc>
        <w:tc>
          <w:tcPr>
            <w:tcW w:w="1060" w:type="dxa"/>
            <w:vAlign w:val="bottom"/>
            <w:gridSpan w:val="3"/>
          </w:tcPr>
          <w:p>
            <w:pPr>
              <w:jc w:val="right"/>
              <w:ind w:right="120"/>
              <w:spacing w:after="0"/>
              <w:rPr>
                <w:sz w:val="20"/>
                <w:szCs w:val="20"/>
                <w:color w:val="auto"/>
              </w:rPr>
            </w:pPr>
            <w:r>
              <w:rPr>
                <w:rFonts w:ascii="Arial" w:cs="Arial" w:eastAsia="Arial" w:hAnsi="Arial"/>
                <w:sz w:val="16"/>
                <w:szCs w:val="16"/>
                <w:b w:val="1"/>
                <w:bCs w:val="1"/>
                <w:color w:val="04568A"/>
              </w:rPr>
              <w:t>Classes</w:t>
            </w:r>
          </w:p>
        </w:tc>
        <w:tc>
          <w:tcPr>
            <w:tcW w:w="0" w:type="dxa"/>
            <w:vAlign w:val="bottom"/>
          </w:tcPr>
          <w:p>
            <w:pPr>
              <w:spacing w:after="0"/>
              <w:rPr>
                <w:sz w:val="1"/>
                <w:szCs w:val="1"/>
                <w:color w:val="auto"/>
              </w:rPr>
            </w:pPr>
          </w:p>
        </w:tc>
      </w:tr>
      <w:tr>
        <w:trPr>
          <w:trHeight w:val="183"/>
        </w:trPr>
        <w:tc>
          <w:tcPr>
            <w:tcW w:w="3200" w:type="dxa"/>
            <w:vAlign w:val="bottom"/>
            <w:tcBorders>
              <w:top w:val="single" w:sz="8" w:color="04568A"/>
            </w:tcBorders>
            <w:gridSpan w:val="2"/>
          </w:tcPr>
          <w:p>
            <w:pPr>
              <w:ind w:left="60"/>
              <w:spacing w:after="0" w:line="183" w:lineRule="exact"/>
              <w:rPr>
                <w:sz w:val="20"/>
                <w:szCs w:val="20"/>
                <w:color w:val="auto"/>
              </w:rPr>
            </w:pPr>
            <w:r>
              <w:rPr>
                <w:rFonts w:ascii="Arial" w:cs="Arial" w:eastAsia="Arial" w:hAnsi="Arial"/>
                <w:sz w:val="16"/>
                <w:szCs w:val="16"/>
                <w:color w:val="auto"/>
              </w:rPr>
              <w:t>Emily Peterson Alva</w:t>
            </w:r>
          </w:p>
        </w:tc>
        <w:tc>
          <w:tcPr>
            <w:tcW w:w="1120" w:type="dxa"/>
            <w:vAlign w:val="bottom"/>
            <w:tcBorders>
              <w:top w:val="single" w:sz="8" w:color="04568A"/>
            </w:tcBorders>
            <w:gridSpan w:val="2"/>
          </w:tcPr>
          <w:p>
            <w:pPr>
              <w:jc w:val="right"/>
              <w:ind w:right="79"/>
              <w:spacing w:after="0" w:line="183" w:lineRule="exact"/>
              <w:rPr>
                <w:sz w:val="20"/>
                <w:szCs w:val="20"/>
                <w:color w:val="auto"/>
              </w:rPr>
            </w:pPr>
            <w:r>
              <w:rPr>
                <w:rFonts w:ascii="Arial" w:cs="Arial" w:eastAsia="Arial" w:hAnsi="Arial"/>
                <w:sz w:val="16"/>
                <w:szCs w:val="16"/>
                <w:color w:val="auto"/>
              </w:rPr>
              <w:t>58,784</w:t>
            </w:r>
          </w:p>
        </w:tc>
        <w:tc>
          <w:tcPr>
            <w:tcW w:w="980" w:type="dxa"/>
            <w:vAlign w:val="bottom"/>
            <w:tcBorders>
              <w:top w:val="single" w:sz="8" w:color="04568A"/>
            </w:tcBorders>
          </w:tcPr>
          <w:p>
            <w:pPr>
              <w:jc w:val="right"/>
              <w:spacing w:after="0" w:line="183" w:lineRule="exact"/>
              <w:rPr>
                <w:sz w:val="20"/>
                <w:szCs w:val="20"/>
                <w:color w:val="auto"/>
              </w:rPr>
            </w:pPr>
            <w:r>
              <w:rPr>
                <w:rFonts w:ascii="Arial" w:cs="Arial" w:eastAsia="Arial" w:hAnsi="Arial"/>
                <w:sz w:val="16"/>
                <w:szCs w:val="16"/>
                <w:color w:val="auto"/>
              </w:rPr>
              <w:t>53,021</w:t>
            </w:r>
          </w:p>
        </w:tc>
        <w:tc>
          <w:tcPr>
            <w:tcW w:w="1020" w:type="dxa"/>
            <w:vAlign w:val="bottom"/>
            <w:tcBorders>
              <w:top w:val="single" w:sz="8" w:color="04568A"/>
            </w:tcBorders>
          </w:tcPr>
          <w:p>
            <w:pPr>
              <w:jc w:val="right"/>
              <w:ind w:right="59"/>
              <w:spacing w:after="0" w:line="183" w:lineRule="exact"/>
              <w:rPr>
                <w:sz w:val="20"/>
                <w:szCs w:val="20"/>
                <w:color w:val="auto"/>
              </w:rPr>
            </w:pPr>
            <w:r>
              <w:rPr>
                <w:rFonts w:ascii="Arial" w:cs="Arial" w:eastAsia="Arial" w:hAnsi="Arial"/>
                <w:sz w:val="16"/>
                <w:szCs w:val="16"/>
                <w:color w:val="auto"/>
              </w:rPr>
              <w:t>35,406</w:t>
            </w:r>
          </w:p>
        </w:tc>
        <w:tc>
          <w:tcPr>
            <w:tcW w:w="1160" w:type="dxa"/>
            <w:vAlign w:val="bottom"/>
            <w:tcBorders>
              <w:top w:val="single" w:sz="8" w:color="04568A"/>
            </w:tcBorders>
          </w:tcPr>
          <w:p>
            <w:pPr>
              <w:jc w:val="right"/>
              <w:ind w:right="119"/>
              <w:spacing w:after="0" w:line="183" w:lineRule="exact"/>
              <w:rPr>
                <w:sz w:val="20"/>
                <w:szCs w:val="20"/>
                <w:color w:val="auto"/>
              </w:rPr>
            </w:pPr>
            <w:r>
              <w:rPr>
                <w:rFonts w:ascii="Arial" w:cs="Arial" w:eastAsia="Arial" w:hAnsi="Arial"/>
                <w:sz w:val="16"/>
                <w:szCs w:val="16"/>
                <w:color w:val="auto"/>
              </w:rPr>
              <w:t>147,211</w:t>
            </w:r>
          </w:p>
        </w:tc>
        <w:tc>
          <w:tcPr>
            <w:tcW w:w="800" w:type="dxa"/>
            <w:vAlign w:val="bottom"/>
            <w:tcBorders>
              <w:top w:val="single" w:sz="8" w:color="04568A"/>
            </w:tcBorders>
            <w:gridSpan w:val="2"/>
          </w:tcPr>
          <w:p>
            <w:pPr>
              <w:jc w:val="right"/>
              <w:ind w:right="180"/>
              <w:spacing w:after="0" w:line="183" w:lineRule="exact"/>
              <w:rPr>
                <w:sz w:val="20"/>
                <w:szCs w:val="20"/>
                <w:color w:val="auto"/>
              </w:rPr>
            </w:pPr>
            <w:r>
              <w:rPr>
                <w:rFonts w:ascii="Arial" w:cs="Arial" w:eastAsia="Arial" w:hAnsi="Arial"/>
                <w:sz w:val="16"/>
                <w:szCs w:val="16"/>
                <w:color w:val="auto"/>
              </w:rPr>
              <w:t>*</w:t>
            </w:r>
          </w:p>
        </w:tc>
        <w:tc>
          <w:tcPr>
            <w:tcW w:w="40" w:type="dxa"/>
            <w:vAlign w:val="bottom"/>
            <w:tcBorders>
              <w:top w:val="single" w:sz="8" w:color="04568A"/>
            </w:tcBorders>
          </w:tcPr>
          <w:p>
            <w:pPr>
              <w:spacing w:after="0"/>
              <w:rPr>
                <w:sz w:val="15"/>
                <w:szCs w:val="15"/>
                <w:color w:val="auto"/>
              </w:rPr>
            </w:pPr>
          </w:p>
        </w:tc>
        <w:tc>
          <w:tcPr>
            <w:tcW w:w="1200" w:type="dxa"/>
            <w:vAlign w:val="bottom"/>
            <w:tcBorders>
              <w:top w:val="single" w:sz="8" w:color="04568A"/>
            </w:tcBorders>
          </w:tcPr>
          <w:p>
            <w:pPr>
              <w:jc w:val="right"/>
              <w:ind w:right="239"/>
              <w:spacing w:after="0" w:line="183" w:lineRule="exact"/>
              <w:rPr>
                <w:sz w:val="20"/>
                <w:szCs w:val="20"/>
                <w:color w:val="auto"/>
              </w:rPr>
            </w:pPr>
            <w:r>
              <w:rPr>
                <w:rFonts w:ascii="Arial" w:cs="Arial" w:eastAsia="Arial" w:hAnsi="Arial"/>
                <w:sz w:val="16"/>
                <w:szCs w:val="16"/>
                <w:color w:val="auto"/>
              </w:rPr>
              <w:t>—</w:t>
            </w:r>
          </w:p>
        </w:tc>
        <w:tc>
          <w:tcPr>
            <w:tcW w:w="580" w:type="dxa"/>
            <w:vAlign w:val="bottom"/>
            <w:tcBorders>
              <w:top w:val="single" w:sz="8" w:color="04568A"/>
            </w:tcBorders>
            <w:gridSpan w:val="2"/>
          </w:tcPr>
          <w:p>
            <w:pPr>
              <w:jc w:val="right"/>
              <w:ind w:right="80"/>
              <w:spacing w:after="0" w:line="183" w:lineRule="exact"/>
              <w:rPr>
                <w:sz w:val="20"/>
                <w:szCs w:val="20"/>
                <w:color w:val="auto"/>
              </w:rPr>
            </w:pPr>
            <w:r>
              <w:rPr>
                <w:rFonts w:ascii="Arial" w:cs="Arial" w:eastAsia="Arial" w:hAnsi="Arial"/>
                <w:sz w:val="16"/>
                <w:szCs w:val="16"/>
                <w:color w:val="auto"/>
              </w:rPr>
              <w:t>—</w:t>
            </w:r>
          </w:p>
        </w:tc>
        <w:tc>
          <w:tcPr>
            <w:tcW w:w="1140" w:type="dxa"/>
            <w:vAlign w:val="bottom"/>
            <w:tcBorders>
              <w:top w:val="single" w:sz="8" w:color="04568A"/>
            </w:tcBorders>
            <w:gridSpan w:val="3"/>
          </w:tcPr>
          <w:p>
            <w:pPr>
              <w:jc w:val="right"/>
              <w:ind w:right="19"/>
              <w:spacing w:after="0" w:line="183" w:lineRule="exact"/>
              <w:rPr>
                <w:sz w:val="20"/>
                <w:szCs w:val="20"/>
                <w:color w:val="auto"/>
              </w:rPr>
            </w:pPr>
            <w:r>
              <w:rPr>
                <w:rFonts w:ascii="Arial" w:cs="Arial" w:eastAsia="Arial" w:hAnsi="Arial"/>
                <w:sz w:val="16"/>
                <w:szCs w:val="16"/>
                <w:color w:val="auto"/>
              </w:rPr>
              <w:t>*</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3200" w:type="dxa"/>
            <w:vAlign w:val="bottom"/>
            <w:gridSpan w:val="2"/>
            <w:shd w:val="clear" w:color="auto" w:fill="E4E9F2"/>
          </w:tcPr>
          <w:p>
            <w:pPr>
              <w:ind w:left="60"/>
              <w:spacing w:after="0"/>
              <w:rPr>
                <w:sz w:val="20"/>
                <w:szCs w:val="20"/>
                <w:color w:val="auto"/>
              </w:rPr>
            </w:pPr>
            <w:r>
              <w:rPr>
                <w:rFonts w:ascii="Arial" w:cs="Arial" w:eastAsia="Arial" w:hAnsi="Arial"/>
                <w:sz w:val="16"/>
                <w:szCs w:val="16"/>
                <w:color w:val="auto"/>
              </w:rPr>
              <w:t>Andrew Boyer</w:t>
            </w:r>
          </w:p>
        </w:tc>
        <w:tc>
          <w:tcPr>
            <w:tcW w:w="1120" w:type="dxa"/>
            <w:vAlign w:val="bottom"/>
            <w:gridSpan w:val="2"/>
            <w:shd w:val="clear" w:color="auto" w:fill="E4E9F2"/>
          </w:tcPr>
          <w:p>
            <w:pPr>
              <w:jc w:val="right"/>
              <w:ind w:right="79"/>
              <w:spacing w:after="0"/>
              <w:rPr>
                <w:sz w:val="20"/>
                <w:szCs w:val="20"/>
                <w:color w:val="auto"/>
              </w:rPr>
            </w:pPr>
            <w:r>
              <w:rPr>
                <w:rFonts w:ascii="Arial" w:cs="Arial" w:eastAsia="Arial" w:hAnsi="Arial"/>
                <w:sz w:val="16"/>
                <w:szCs w:val="16"/>
                <w:color w:val="auto"/>
              </w:rPr>
              <w:t>188,281</w:t>
            </w:r>
          </w:p>
        </w:tc>
        <w:tc>
          <w:tcPr>
            <w:tcW w:w="9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347,895</w:t>
            </w:r>
          </w:p>
        </w:tc>
        <w:tc>
          <w:tcPr>
            <w:tcW w:w="1020" w:type="dxa"/>
            <w:vAlign w:val="bottom"/>
            <w:shd w:val="clear" w:color="auto" w:fill="E4E9F2"/>
          </w:tcPr>
          <w:p>
            <w:pPr>
              <w:jc w:val="right"/>
              <w:ind w:right="59"/>
              <w:spacing w:after="0"/>
              <w:rPr>
                <w:sz w:val="20"/>
                <w:szCs w:val="20"/>
                <w:color w:val="auto"/>
              </w:rPr>
            </w:pPr>
            <w:r>
              <w:rPr>
                <w:rFonts w:ascii="Arial" w:cs="Arial" w:eastAsia="Arial" w:hAnsi="Arial"/>
                <w:sz w:val="16"/>
                <w:szCs w:val="16"/>
                <w:color w:val="auto"/>
              </w:rPr>
              <w:t>16,656</w:t>
            </w:r>
          </w:p>
        </w:tc>
        <w:tc>
          <w:tcPr>
            <w:tcW w:w="116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552,832</w:t>
            </w:r>
          </w:p>
        </w:tc>
        <w:tc>
          <w:tcPr>
            <w:tcW w:w="800" w:type="dxa"/>
            <w:vAlign w:val="bottom"/>
            <w:gridSpan w:val="2"/>
            <w:shd w:val="clear" w:color="auto" w:fill="E4E9F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shd w:val="clear" w:color="auto" w:fill="E4E9F2"/>
          </w:tcPr>
          <w:p>
            <w:pPr>
              <w:spacing w:after="0"/>
              <w:rPr>
                <w:sz w:val="16"/>
                <w:szCs w:val="16"/>
                <w:color w:val="auto"/>
              </w:rPr>
            </w:pPr>
          </w:p>
        </w:tc>
        <w:tc>
          <w:tcPr>
            <w:tcW w:w="1200" w:type="dxa"/>
            <w:vAlign w:val="bottom"/>
            <w:shd w:val="clear" w:color="auto" w:fill="E4E9F2"/>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w:t>
            </w:r>
          </w:p>
        </w:tc>
        <w:tc>
          <w:tcPr>
            <w:tcW w:w="1140" w:type="dxa"/>
            <w:vAlign w:val="bottom"/>
            <w:gridSpan w:val="3"/>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tcPr>
          <w:p>
            <w:pPr>
              <w:ind w:left="60"/>
              <w:spacing w:after="0"/>
              <w:rPr>
                <w:sz w:val="20"/>
                <w:szCs w:val="20"/>
                <w:color w:val="auto"/>
              </w:rPr>
            </w:pPr>
            <w:r>
              <w:rPr>
                <w:rFonts w:ascii="Arial" w:cs="Arial" w:eastAsia="Arial" w:hAnsi="Arial"/>
                <w:sz w:val="16"/>
                <w:szCs w:val="16"/>
                <w:color w:val="auto"/>
              </w:rPr>
              <w:t>J. Kevin Buchi</w:t>
            </w:r>
          </w:p>
        </w:tc>
        <w:tc>
          <w:tcPr>
            <w:tcW w:w="1120" w:type="dxa"/>
            <w:vAlign w:val="bottom"/>
            <w:gridSpan w:val="2"/>
          </w:tcPr>
          <w:p>
            <w:pPr>
              <w:jc w:val="right"/>
              <w:ind w:right="79"/>
              <w:spacing w:after="0"/>
              <w:rPr>
                <w:sz w:val="20"/>
                <w:szCs w:val="20"/>
                <w:color w:val="auto"/>
              </w:rPr>
            </w:pPr>
            <w:r>
              <w:rPr>
                <w:rFonts w:ascii="Arial" w:cs="Arial" w:eastAsia="Arial" w:hAnsi="Arial"/>
                <w:sz w:val="16"/>
                <w:szCs w:val="16"/>
                <w:color w:val="auto"/>
              </w:rPr>
              <w:t>70,085</w:t>
            </w:r>
          </w:p>
        </w:tc>
        <w:tc>
          <w:tcPr>
            <w:tcW w:w="980" w:type="dxa"/>
            <w:vAlign w:val="bottom"/>
          </w:tcPr>
          <w:p>
            <w:pPr>
              <w:jc w:val="right"/>
              <w:spacing w:after="0"/>
              <w:rPr>
                <w:sz w:val="20"/>
                <w:szCs w:val="20"/>
                <w:color w:val="auto"/>
              </w:rPr>
            </w:pPr>
            <w:r>
              <w:rPr>
                <w:rFonts w:ascii="Arial" w:cs="Arial" w:eastAsia="Arial" w:hAnsi="Arial"/>
                <w:sz w:val="16"/>
                <w:szCs w:val="16"/>
                <w:color w:val="auto"/>
              </w:rPr>
              <w:t>81,397</w:t>
            </w:r>
          </w:p>
        </w:tc>
        <w:tc>
          <w:tcPr>
            <w:tcW w:w="1020" w:type="dxa"/>
            <w:vAlign w:val="bottom"/>
          </w:tcPr>
          <w:p>
            <w:pPr>
              <w:jc w:val="right"/>
              <w:ind w:right="59"/>
              <w:spacing w:after="0"/>
              <w:rPr>
                <w:sz w:val="20"/>
                <w:szCs w:val="20"/>
                <w:color w:val="auto"/>
              </w:rPr>
            </w:pPr>
            <w:r>
              <w:rPr>
                <w:rFonts w:ascii="Arial" w:cs="Arial" w:eastAsia="Arial" w:hAnsi="Arial"/>
                <w:sz w:val="16"/>
                <w:szCs w:val="16"/>
                <w:color w:val="auto"/>
              </w:rPr>
              <w:t>35,406</w:t>
            </w:r>
          </w:p>
        </w:tc>
        <w:tc>
          <w:tcPr>
            <w:tcW w:w="1160" w:type="dxa"/>
            <w:vAlign w:val="bottom"/>
          </w:tcPr>
          <w:p>
            <w:pPr>
              <w:jc w:val="right"/>
              <w:ind w:right="119"/>
              <w:spacing w:after="0"/>
              <w:rPr>
                <w:sz w:val="20"/>
                <w:szCs w:val="20"/>
                <w:color w:val="auto"/>
              </w:rPr>
            </w:pPr>
            <w:r>
              <w:rPr>
                <w:rFonts w:ascii="Arial" w:cs="Arial" w:eastAsia="Arial" w:hAnsi="Arial"/>
                <w:sz w:val="16"/>
                <w:szCs w:val="16"/>
                <w:color w:val="auto"/>
              </w:rPr>
              <w:t>186,888</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tcPr>
          <w:p>
            <w:pPr>
              <w:spacing w:after="0"/>
              <w:rPr>
                <w:sz w:val="16"/>
                <w:szCs w:val="16"/>
                <w:color w:val="auto"/>
              </w:rPr>
            </w:pPr>
          </w:p>
        </w:tc>
        <w:tc>
          <w:tcPr>
            <w:tcW w:w="120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1140" w:type="dxa"/>
            <w:vAlign w:val="bottom"/>
            <w:gridSpan w:val="3"/>
          </w:tcPr>
          <w:p>
            <w:pPr>
              <w:jc w:val="right"/>
              <w:ind w:right="19"/>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shd w:val="clear" w:color="auto" w:fill="E4E9F2"/>
          </w:tcPr>
          <w:p>
            <w:pPr>
              <w:ind w:left="60"/>
              <w:spacing w:after="0"/>
              <w:rPr>
                <w:sz w:val="20"/>
                <w:szCs w:val="20"/>
                <w:color w:val="auto"/>
              </w:rPr>
            </w:pPr>
            <w:r>
              <w:rPr>
                <w:rFonts w:ascii="Arial" w:cs="Arial" w:eastAsia="Arial" w:hAnsi="Arial"/>
                <w:sz w:val="16"/>
                <w:szCs w:val="16"/>
                <w:color w:val="auto"/>
              </w:rPr>
              <w:t>Jeff George</w:t>
            </w:r>
          </w:p>
        </w:tc>
        <w:tc>
          <w:tcPr>
            <w:tcW w:w="1120" w:type="dxa"/>
            <w:vAlign w:val="bottom"/>
            <w:gridSpan w:val="2"/>
            <w:shd w:val="clear" w:color="auto" w:fill="E4E9F2"/>
          </w:tcPr>
          <w:p>
            <w:pPr>
              <w:jc w:val="right"/>
              <w:ind w:right="79"/>
              <w:spacing w:after="0"/>
              <w:rPr>
                <w:sz w:val="20"/>
                <w:szCs w:val="20"/>
                <w:color w:val="auto"/>
              </w:rPr>
            </w:pPr>
            <w:r>
              <w:rPr>
                <w:rFonts w:ascii="Arial" w:cs="Arial" w:eastAsia="Arial" w:hAnsi="Arial"/>
                <w:sz w:val="16"/>
                <w:szCs w:val="16"/>
                <w:color w:val="auto"/>
              </w:rPr>
              <w:t>77,550</w:t>
            </w:r>
          </w:p>
        </w:tc>
        <w:tc>
          <w:tcPr>
            <w:tcW w:w="9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28,506</w:t>
            </w:r>
          </w:p>
        </w:tc>
        <w:tc>
          <w:tcPr>
            <w:tcW w:w="1020" w:type="dxa"/>
            <w:vAlign w:val="bottom"/>
            <w:shd w:val="clear" w:color="auto" w:fill="E4E9F2"/>
          </w:tcPr>
          <w:p>
            <w:pPr>
              <w:jc w:val="right"/>
              <w:ind w:right="59"/>
              <w:spacing w:after="0"/>
              <w:rPr>
                <w:sz w:val="20"/>
                <w:szCs w:val="20"/>
                <w:color w:val="auto"/>
              </w:rPr>
            </w:pPr>
            <w:r>
              <w:rPr>
                <w:rFonts w:ascii="Arial" w:cs="Arial" w:eastAsia="Arial" w:hAnsi="Arial"/>
                <w:sz w:val="16"/>
                <w:szCs w:val="16"/>
                <w:color w:val="auto"/>
              </w:rPr>
              <w:t>35,406</w:t>
            </w:r>
          </w:p>
        </w:tc>
        <w:tc>
          <w:tcPr>
            <w:tcW w:w="116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141,462</w:t>
            </w:r>
          </w:p>
        </w:tc>
        <w:tc>
          <w:tcPr>
            <w:tcW w:w="800" w:type="dxa"/>
            <w:vAlign w:val="bottom"/>
            <w:gridSpan w:val="2"/>
            <w:shd w:val="clear" w:color="auto" w:fill="E4E9F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shd w:val="clear" w:color="auto" w:fill="E4E9F2"/>
          </w:tcPr>
          <w:p>
            <w:pPr>
              <w:spacing w:after="0"/>
              <w:rPr>
                <w:sz w:val="16"/>
                <w:szCs w:val="16"/>
                <w:color w:val="auto"/>
              </w:rPr>
            </w:pPr>
          </w:p>
        </w:tc>
        <w:tc>
          <w:tcPr>
            <w:tcW w:w="1200" w:type="dxa"/>
            <w:vAlign w:val="bottom"/>
            <w:shd w:val="clear" w:color="auto" w:fill="E4E9F2"/>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w:t>
            </w:r>
          </w:p>
        </w:tc>
        <w:tc>
          <w:tcPr>
            <w:tcW w:w="1140" w:type="dxa"/>
            <w:vAlign w:val="bottom"/>
            <w:gridSpan w:val="3"/>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tcPr>
          <w:p>
            <w:pPr>
              <w:ind w:left="60"/>
              <w:spacing w:after="0"/>
              <w:rPr>
                <w:sz w:val="20"/>
                <w:szCs w:val="20"/>
                <w:color w:val="auto"/>
              </w:rPr>
            </w:pPr>
            <w:r>
              <w:rPr>
                <w:rFonts w:ascii="Arial" w:cs="Arial" w:eastAsia="Arial" w:hAnsi="Arial"/>
                <w:sz w:val="16"/>
                <w:szCs w:val="16"/>
                <w:color w:val="auto"/>
              </w:rPr>
              <w:t>John Kiely</w:t>
            </w:r>
          </w:p>
        </w:tc>
        <w:tc>
          <w:tcPr>
            <w:tcW w:w="1120" w:type="dxa"/>
            <w:vAlign w:val="bottom"/>
            <w:gridSpan w:val="2"/>
          </w:tcPr>
          <w:p>
            <w:pPr>
              <w:jc w:val="right"/>
              <w:ind w:right="79"/>
              <w:spacing w:after="0"/>
              <w:rPr>
                <w:sz w:val="20"/>
                <w:szCs w:val="20"/>
                <w:color w:val="auto"/>
              </w:rPr>
            </w:pPr>
            <w:r>
              <w:rPr>
                <w:rFonts w:ascii="Arial" w:cs="Arial" w:eastAsia="Arial" w:hAnsi="Arial"/>
                <w:sz w:val="16"/>
                <w:szCs w:val="16"/>
                <w:color w:val="auto"/>
              </w:rPr>
              <w:t>63,740</w:t>
            </w:r>
          </w:p>
        </w:tc>
        <w:tc>
          <w:tcPr>
            <w:tcW w:w="980" w:type="dxa"/>
            <w:vAlign w:val="bottom"/>
          </w:tcPr>
          <w:p>
            <w:pPr>
              <w:jc w:val="right"/>
              <w:spacing w:after="0"/>
              <w:rPr>
                <w:sz w:val="20"/>
                <w:szCs w:val="20"/>
                <w:color w:val="auto"/>
              </w:rPr>
            </w:pPr>
            <w:r>
              <w:rPr>
                <w:rFonts w:ascii="Arial" w:cs="Arial" w:eastAsia="Arial" w:hAnsi="Arial"/>
                <w:sz w:val="16"/>
                <w:szCs w:val="16"/>
                <w:color w:val="auto"/>
              </w:rPr>
              <w:t>28,506</w:t>
            </w:r>
          </w:p>
        </w:tc>
        <w:tc>
          <w:tcPr>
            <w:tcW w:w="1020" w:type="dxa"/>
            <w:vAlign w:val="bottom"/>
          </w:tcPr>
          <w:p>
            <w:pPr>
              <w:jc w:val="right"/>
              <w:ind w:right="59"/>
              <w:spacing w:after="0"/>
              <w:rPr>
                <w:sz w:val="20"/>
                <w:szCs w:val="20"/>
                <w:color w:val="auto"/>
              </w:rPr>
            </w:pPr>
            <w:r>
              <w:rPr>
                <w:rFonts w:ascii="Arial" w:cs="Arial" w:eastAsia="Arial" w:hAnsi="Arial"/>
                <w:sz w:val="16"/>
                <w:szCs w:val="16"/>
                <w:color w:val="auto"/>
              </w:rPr>
              <w:t>35,406</w:t>
            </w:r>
          </w:p>
        </w:tc>
        <w:tc>
          <w:tcPr>
            <w:tcW w:w="1160" w:type="dxa"/>
            <w:vAlign w:val="bottom"/>
          </w:tcPr>
          <w:p>
            <w:pPr>
              <w:jc w:val="right"/>
              <w:ind w:right="119"/>
              <w:spacing w:after="0"/>
              <w:rPr>
                <w:sz w:val="20"/>
                <w:szCs w:val="20"/>
                <w:color w:val="auto"/>
              </w:rPr>
            </w:pPr>
            <w:r>
              <w:rPr>
                <w:rFonts w:ascii="Arial" w:cs="Arial" w:eastAsia="Arial" w:hAnsi="Arial"/>
                <w:sz w:val="16"/>
                <w:szCs w:val="16"/>
                <w:color w:val="auto"/>
              </w:rPr>
              <w:t>127,652</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tcPr>
          <w:p>
            <w:pPr>
              <w:spacing w:after="0"/>
              <w:rPr>
                <w:sz w:val="16"/>
                <w:szCs w:val="16"/>
                <w:color w:val="auto"/>
              </w:rPr>
            </w:pPr>
          </w:p>
        </w:tc>
        <w:tc>
          <w:tcPr>
            <w:tcW w:w="120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1140" w:type="dxa"/>
            <w:vAlign w:val="bottom"/>
            <w:gridSpan w:val="3"/>
          </w:tcPr>
          <w:p>
            <w:pPr>
              <w:jc w:val="right"/>
              <w:ind w:right="19"/>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shd w:val="clear" w:color="auto" w:fill="E4E9F2"/>
          </w:tcPr>
          <w:p>
            <w:pPr>
              <w:ind w:left="60"/>
              <w:spacing w:after="0"/>
              <w:rPr>
                <w:sz w:val="20"/>
                <w:szCs w:val="20"/>
                <w:color w:val="auto"/>
              </w:rPr>
            </w:pPr>
            <w:r>
              <w:rPr>
                <w:rFonts w:ascii="Arial" w:cs="Arial" w:eastAsia="Arial" w:hAnsi="Arial"/>
                <w:sz w:val="16"/>
                <w:szCs w:val="16"/>
                <w:color w:val="auto"/>
              </w:rPr>
              <w:t>Anastasios Konidaris</w:t>
            </w:r>
          </w:p>
        </w:tc>
        <w:tc>
          <w:tcPr>
            <w:tcW w:w="1120" w:type="dxa"/>
            <w:vAlign w:val="bottom"/>
            <w:gridSpan w:val="2"/>
            <w:shd w:val="clear" w:color="auto" w:fill="E4E9F2"/>
          </w:tcPr>
          <w:p>
            <w:pPr>
              <w:jc w:val="right"/>
              <w:ind w:right="79"/>
              <w:spacing w:after="0"/>
              <w:rPr>
                <w:sz w:val="20"/>
                <w:szCs w:val="20"/>
                <w:color w:val="auto"/>
              </w:rPr>
            </w:pPr>
            <w:r>
              <w:rPr>
                <w:rFonts w:ascii="Arial" w:cs="Arial" w:eastAsia="Arial" w:hAnsi="Arial"/>
                <w:sz w:val="16"/>
                <w:szCs w:val="16"/>
                <w:color w:val="auto"/>
              </w:rPr>
              <w:t>123,916</w:t>
            </w:r>
          </w:p>
        </w:tc>
        <w:tc>
          <w:tcPr>
            <w:tcW w:w="9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020" w:type="dxa"/>
            <w:vAlign w:val="bottom"/>
            <w:shd w:val="clear" w:color="auto" w:fill="E4E9F2"/>
          </w:tcPr>
          <w:p>
            <w:pPr>
              <w:jc w:val="right"/>
              <w:ind w:right="59"/>
              <w:spacing w:after="0"/>
              <w:rPr>
                <w:sz w:val="20"/>
                <w:szCs w:val="20"/>
                <w:color w:val="auto"/>
              </w:rPr>
            </w:pPr>
            <w:r>
              <w:rPr>
                <w:rFonts w:ascii="Arial" w:cs="Arial" w:eastAsia="Arial" w:hAnsi="Arial"/>
                <w:sz w:val="16"/>
                <w:szCs w:val="16"/>
                <w:color w:val="auto"/>
              </w:rPr>
              <w:t>87,719</w:t>
            </w:r>
          </w:p>
        </w:tc>
        <w:tc>
          <w:tcPr>
            <w:tcW w:w="116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211,635</w:t>
            </w:r>
          </w:p>
        </w:tc>
        <w:tc>
          <w:tcPr>
            <w:tcW w:w="800" w:type="dxa"/>
            <w:vAlign w:val="bottom"/>
            <w:gridSpan w:val="2"/>
            <w:shd w:val="clear" w:color="auto" w:fill="E4E9F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shd w:val="clear" w:color="auto" w:fill="E4E9F2"/>
          </w:tcPr>
          <w:p>
            <w:pPr>
              <w:spacing w:after="0"/>
              <w:rPr>
                <w:sz w:val="16"/>
                <w:szCs w:val="16"/>
                <w:color w:val="auto"/>
              </w:rPr>
            </w:pPr>
          </w:p>
        </w:tc>
        <w:tc>
          <w:tcPr>
            <w:tcW w:w="1200" w:type="dxa"/>
            <w:vAlign w:val="bottom"/>
            <w:shd w:val="clear" w:color="auto" w:fill="E4E9F2"/>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w:t>
            </w:r>
          </w:p>
        </w:tc>
        <w:tc>
          <w:tcPr>
            <w:tcW w:w="1140" w:type="dxa"/>
            <w:vAlign w:val="bottom"/>
            <w:gridSpan w:val="3"/>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tcPr>
          <w:p>
            <w:pPr>
              <w:ind w:left="60"/>
              <w:spacing w:after="0"/>
              <w:rPr>
                <w:sz w:val="20"/>
                <w:szCs w:val="20"/>
                <w:color w:val="auto"/>
              </w:rPr>
            </w:pPr>
            <w:r>
              <w:rPr>
                <w:rFonts w:ascii="Arial" w:cs="Arial" w:eastAsia="Arial" w:hAnsi="Arial"/>
                <w:sz w:val="16"/>
                <w:szCs w:val="16"/>
                <w:color w:val="auto"/>
              </w:rPr>
              <w:t>Paul Meister</w:t>
            </w:r>
          </w:p>
        </w:tc>
        <w:tc>
          <w:tcPr>
            <w:tcW w:w="1120" w:type="dxa"/>
            <w:vAlign w:val="bottom"/>
            <w:gridSpan w:val="2"/>
          </w:tcPr>
          <w:p>
            <w:pPr>
              <w:jc w:val="right"/>
              <w:ind w:right="79"/>
              <w:spacing w:after="0"/>
              <w:rPr>
                <w:sz w:val="20"/>
                <w:szCs w:val="20"/>
                <w:color w:val="auto"/>
              </w:rPr>
            </w:pPr>
            <w:r>
              <w:rPr>
                <w:rFonts w:ascii="Arial" w:cs="Arial" w:eastAsia="Arial" w:hAnsi="Arial"/>
                <w:sz w:val="16"/>
                <w:szCs w:val="16"/>
                <w:color w:val="auto"/>
              </w:rPr>
              <w:t>455,802</w:t>
            </w:r>
          </w:p>
        </w:tc>
        <w:tc>
          <w:tcPr>
            <w:tcW w:w="980" w:type="dxa"/>
            <w:vAlign w:val="bottom"/>
          </w:tcPr>
          <w:p>
            <w:pPr>
              <w:jc w:val="right"/>
              <w:spacing w:after="0"/>
              <w:rPr>
                <w:sz w:val="20"/>
                <w:szCs w:val="20"/>
                <w:color w:val="auto"/>
              </w:rPr>
            </w:pPr>
            <w:r>
              <w:rPr>
                <w:rFonts w:ascii="Arial" w:cs="Arial" w:eastAsia="Arial" w:hAnsi="Arial"/>
                <w:sz w:val="16"/>
                <w:szCs w:val="16"/>
                <w:color w:val="auto"/>
              </w:rPr>
              <w:t>115,156</w:t>
            </w:r>
          </w:p>
        </w:tc>
        <w:tc>
          <w:tcPr>
            <w:tcW w:w="1020" w:type="dxa"/>
            <w:vAlign w:val="bottom"/>
          </w:tcPr>
          <w:p>
            <w:pPr>
              <w:jc w:val="right"/>
              <w:ind w:right="59"/>
              <w:spacing w:after="0"/>
              <w:rPr>
                <w:sz w:val="20"/>
                <w:szCs w:val="20"/>
                <w:color w:val="auto"/>
              </w:rPr>
            </w:pPr>
            <w:r>
              <w:rPr>
                <w:rFonts w:ascii="Arial" w:cs="Arial" w:eastAsia="Arial" w:hAnsi="Arial"/>
                <w:sz w:val="16"/>
                <w:szCs w:val="16"/>
                <w:color w:val="auto"/>
              </w:rPr>
              <w:t>52,677</w:t>
            </w:r>
          </w:p>
        </w:tc>
        <w:tc>
          <w:tcPr>
            <w:tcW w:w="1160" w:type="dxa"/>
            <w:vAlign w:val="bottom"/>
          </w:tcPr>
          <w:p>
            <w:pPr>
              <w:jc w:val="right"/>
              <w:ind w:right="119"/>
              <w:spacing w:after="0"/>
              <w:rPr>
                <w:sz w:val="20"/>
                <w:szCs w:val="20"/>
                <w:color w:val="auto"/>
              </w:rPr>
            </w:pPr>
            <w:r>
              <w:rPr>
                <w:rFonts w:ascii="Arial" w:cs="Arial" w:eastAsia="Arial" w:hAnsi="Arial"/>
                <w:sz w:val="16"/>
                <w:szCs w:val="16"/>
                <w:color w:val="auto"/>
              </w:rPr>
              <w:t>623,635</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tcPr>
          <w:p>
            <w:pPr>
              <w:spacing w:after="0"/>
              <w:rPr>
                <w:sz w:val="16"/>
                <w:szCs w:val="16"/>
                <w:color w:val="auto"/>
              </w:rPr>
            </w:pPr>
          </w:p>
        </w:tc>
        <w:tc>
          <w:tcPr>
            <w:tcW w:w="120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1140" w:type="dxa"/>
            <w:vAlign w:val="bottom"/>
            <w:gridSpan w:val="3"/>
          </w:tcPr>
          <w:p>
            <w:pPr>
              <w:jc w:val="right"/>
              <w:ind w:right="19"/>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shd w:val="clear" w:color="auto" w:fill="E4E9F2"/>
          </w:tcPr>
          <w:p>
            <w:pPr>
              <w:ind w:left="60"/>
              <w:spacing w:after="0"/>
              <w:rPr>
                <w:sz w:val="20"/>
                <w:szCs w:val="20"/>
                <w:color w:val="auto"/>
              </w:rPr>
            </w:pPr>
            <w:r>
              <w:rPr>
                <w:rFonts w:ascii="Arial" w:cs="Arial" w:eastAsia="Arial" w:hAnsi="Arial"/>
                <w:sz w:val="16"/>
                <w:szCs w:val="16"/>
                <w:color w:val="auto"/>
              </w:rPr>
              <w:t>Ted Nark</w:t>
            </w:r>
          </w:p>
        </w:tc>
        <w:tc>
          <w:tcPr>
            <w:tcW w:w="1120" w:type="dxa"/>
            <w:vAlign w:val="bottom"/>
            <w:gridSpan w:val="2"/>
            <w:shd w:val="clear" w:color="auto" w:fill="E4E9F2"/>
          </w:tcPr>
          <w:p>
            <w:pPr>
              <w:jc w:val="right"/>
              <w:ind w:right="79"/>
              <w:spacing w:after="0"/>
              <w:rPr>
                <w:sz w:val="20"/>
                <w:szCs w:val="20"/>
                <w:color w:val="auto"/>
              </w:rPr>
            </w:pPr>
            <w:r>
              <w:rPr>
                <w:rFonts w:ascii="Arial" w:cs="Arial" w:eastAsia="Arial" w:hAnsi="Arial"/>
                <w:sz w:val="16"/>
                <w:szCs w:val="16"/>
                <w:color w:val="auto"/>
              </w:rPr>
              <w:t>108,784</w:t>
            </w:r>
          </w:p>
        </w:tc>
        <w:tc>
          <w:tcPr>
            <w:tcW w:w="9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53,021</w:t>
            </w:r>
          </w:p>
        </w:tc>
        <w:tc>
          <w:tcPr>
            <w:tcW w:w="1020" w:type="dxa"/>
            <w:vAlign w:val="bottom"/>
            <w:shd w:val="clear" w:color="auto" w:fill="E4E9F2"/>
          </w:tcPr>
          <w:p>
            <w:pPr>
              <w:jc w:val="right"/>
              <w:ind w:right="59"/>
              <w:spacing w:after="0"/>
              <w:rPr>
                <w:sz w:val="20"/>
                <w:szCs w:val="20"/>
                <w:color w:val="auto"/>
              </w:rPr>
            </w:pPr>
            <w:r>
              <w:rPr>
                <w:rFonts w:ascii="Arial" w:cs="Arial" w:eastAsia="Arial" w:hAnsi="Arial"/>
                <w:sz w:val="16"/>
                <w:szCs w:val="16"/>
                <w:color w:val="auto"/>
              </w:rPr>
              <w:t>35,406</w:t>
            </w:r>
          </w:p>
        </w:tc>
        <w:tc>
          <w:tcPr>
            <w:tcW w:w="116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197,211</w:t>
            </w:r>
          </w:p>
        </w:tc>
        <w:tc>
          <w:tcPr>
            <w:tcW w:w="800" w:type="dxa"/>
            <w:vAlign w:val="bottom"/>
            <w:gridSpan w:val="2"/>
            <w:shd w:val="clear" w:color="auto" w:fill="E4E9F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shd w:val="clear" w:color="auto" w:fill="E4E9F2"/>
          </w:tcPr>
          <w:p>
            <w:pPr>
              <w:spacing w:after="0"/>
              <w:rPr>
                <w:sz w:val="16"/>
                <w:szCs w:val="16"/>
                <w:color w:val="auto"/>
              </w:rPr>
            </w:pPr>
          </w:p>
        </w:tc>
        <w:tc>
          <w:tcPr>
            <w:tcW w:w="1200" w:type="dxa"/>
            <w:vAlign w:val="bottom"/>
            <w:shd w:val="clear" w:color="auto" w:fill="E4E9F2"/>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w:t>
            </w:r>
          </w:p>
        </w:tc>
        <w:tc>
          <w:tcPr>
            <w:tcW w:w="1140" w:type="dxa"/>
            <w:vAlign w:val="bottom"/>
            <w:gridSpan w:val="3"/>
            <w:shd w:val="clear" w:color="auto" w:fill="E4E9F2"/>
          </w:tcPr>
          <w:p>
            <w:pPr>
              <w:jc w:val="right"/>
              <w:ind w:right="19"/>
              <w:spacing w:after="0"/>
              <w:rPr>
                <w:sz w:val="20"/>
                <w:szCs w:val="20"/>
                <w:color w:val="auto"/>
              </w:rPr>
            </w:pPr>
            <w:r>
              <w:rPr>
                <w:rFonts w:ascii="Arial" w:cs="Arial" w:eastAsia="Arial" w:hAnsi="Arial"/>
                <w:sz w:val="16"/>
                <w:szCs w:val="16"/>
                <w:color w:val="auto"/>
              </w:rPr>
              <w:t>*</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tcPr>
          <w:p>
            <w:pPr>
              <w:ind w:left="60"/>
              <w:spacing w:after="0"/>
              <w:rPr>
                <w:sz w:val="20"/>
                <w:szCs w:val="20"/>
                <w:color w:val="auto"/>
              </w:rPr>
            </w:pPr>
            <w:r>
              <w:rPr>
                <w:rFonts w:ascii="Arial" w:cs="Arial" w:eastAsia="Arial" w:hAnsi="Arial"/>
                <w:sz w:val="16"/>
                <w:szCs w:val="16"/>
                <w:color w:val="auto"/>
              </w:rPr>
              <w:t>Chintu Patel</w:t>
            </w:r>
          </w:p>
        </w:tc>
        <w:tc>
          <w:tcPr>
            <w:tcW w:w="1120" w:type="dxa"/>
            <w:vAlign w:val="bottom"/>
            <w:gridSpan w:val="2"/>
          </w:tcPr>
          <w:p>
            <w:pPr>
              <w:jc w:val="right"/>
              <w:ind w:right="79"/>
              <w:spacing w:after="0"/>
              <w:rPr>
                <w:sz w:val="20"/>
                <w:szCs w:val="20"/>
                <w:color w:val="auto"/>
              </w:rPr>
            </w:pPr>
            <w:r>
              <w:rPr>
                <w:rFonts w:ascii="Arial" w:cs="Arial" w:eastAsia="Arial" w:hAnsi="Arial"/>
                <w:sz w:val="16"/>
                <w:szCs w:val="16"/>
                <w:color w:val="auto"/>
              </w:rPr>
              <w:t>512,566</w:t>
            </w:r>
          </w:p>
        </w:tc>
        <w:tc>
          <w:tcPr>
            <w:tcW w:w="980" w:type="dxa"/>
            <w:vAlign w:val="bottom"/>
          </w:tcPr>
          <w:p>
            <w:pPr>
              <w:jc w:val="right"/>
              <w:spacing w:after="0"/>
              <w:rPr>
                <w:sz w:val="20"/>
                <w:szCs w:val="20"/>
                <w:color w:val="auto"/>
              </w:rPr>
            </w:pPr>
            <w:r>
              <w:rPr>
                <w:rFonts w:ascii="Arial" w:cs="Arial" w:eastAsia="Arial" w:hAnsi="Arial"/>
                <w:sz w:val="16"/>
                <w:szCs w:val="16"/>
                <w:color w:val="auto"/>
              </w:rPr>
              <w:t>53,021</w:t>
            </w:r>
          </w:p>
        </w:tc>
        <w:tc>
          <w:tcPr>
            <w:tcW w:w="1020" w:type="dxa"/>
            <w:vAlign w:val="bottom"/>
          </w:tcPr>
          <w:p>
            <w:pPr>
              <w:jc w:val="right"/>
              <w:ind w:right="59"/>
              <w:spacing w:after="0"/>
              <w:rPr>
                <w:sz w:val="20"/>
                <w:szCs w:val="20"/>
                <w:color w:val="auto"/>
              </w:rPr>
            </w:pPr>
            <w:r>
              <w:rPr>
                <w:rFonts w:ascii="Arial" w:cs="Arial" w:eastAsia="Arial" w:hAnsi="Arial"/>
                <w:sz w:val="16"/>
                <w:szCs w:val="16"/>
                <w:color w:val="auto"/>
              </w:rPr>
              <w:t>—</w:t>
            </w:r>
          </w:p>
        </w:tc>
        <w:tc>
          <w:tcPr>
            <w:tcW w:w="1160" w:type="dxa"/>
            <w:vAlign w:val="bottom"/>
          </w:tcPr>
          <w:p>
            <w:pPr>
              <w:jc w:val="right"/>
              <w:ind w:right="119"/>
              <w:spacing w:after="0"/>
              <w:rPr>
                <w:sz w:val="20"/>
                <w:szCs w:val="20"/>
                <w:color w:val="auto"/>
              </w:rPr>
            </w:pPr>
            <w:r>
              <w:rPr>
                <w:rFonts w:ascii="Arial" w:cs="Arial" w:eastAsia="Arial" w:hAnsi="Arial"/>
                <w:sz w:val="16"/>
                <w:szCs w:val="16"/>
                <w:color w:val="auto"/>
              </w:rPr>
              <w:t>565,587</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1240" w:type="dxa"/>
            <w:vAlign w:val="bottom"/>
            <w:gridSpan w:val="2"/>
          </w:tcPr>
          <w:p>
            <w:pPr>
              <w:jc w:val="right"/>
              <w:ind w:right="239"/>
              <w:spacing w:after="0"/>
              <w:rPr>
                <w:sz w:val="20"/>
                <w:szCs w:val="20"/>
                <w:color w:val="auto"/>
              </w:rPr>
            </w:pPr>
            <w:r>
              <w:rPr>
                <w:rFonts w:ascii="Arial" w:cs="Arial" w:eastAsia="Arial" w:hAnsi="Arial"/>
                <w:sz w:val="16"/>
                <w:szCs w:val="16"/>
                <w:color w:val="auto"/>
              </w:rPr>
              <w:t>24,753,252</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16.27</w:t>
            </w:r>
          </w:p>
        </w:tc>
        <w:tc>
          <w:tcPr>
            <w:tcW w:w="1140" w:type="dxa"/>
            <w:vAlign w:val="bottom"/>
            <w:gridSpan w:val="3"/>
          </w:tcPr>
          <w:p>
            <w:pPr>
              <w:jc w:val="right"/>
              <w:ind w:right="19"/>
              <w:spacing w:after="0"/>
              <w:rPr>
                <w:sz w:val="20"/>
                <w:szCs w:val="20"/>
                <w:color w:val="auto"/>
              </w:rPr>
            </w:pPr>
            <w:r>
              <w:rPr>
                <w:rFonts w:ascii="Arial" w:cs="Arial" w:eastAsia="Arial" w:hAnsi="Arial"/>
                <w:sz w:val="16"/>
                <w:szCs w:val="16"/>
                <w:color w:val="auto"/>
              </w:rPr>
              <w:t>8.36</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shd w:val="clear" w:color="auto" w:fill="E4E9F2"/>
          </w:tcPr>
          <w:p>
            <w:pPr>
              <w:ind w:left="60"/>
              <w:spacing w:after="0"/>
              <w:rPr>
                <w:sz w:val="20"/>
                <w:szCs w:val="20"/>
                <w:color w:val="auto"/>
              </w:rPr>
            </w:pPr>
            <w:r>
              <w:rPr>
                <w:rFonts w:ascii="Arial" w:cs="Arial" w:eastAsia="Arial" w:hAnsi="Arial"/>
                <w:sz w:val="16"/>
                <w:szCs w:val="16"/>
                <w:color w:val="auto"/>
              </w:rPr>
              <w:t>Chirag Patel</w:t>
            </w:r>
          </w:p>
        </w:tc>
        <w:tc>
          <w:tcPr>
            <w:tcW w:w="1120" w:type="dxa"/>
            <w:vAlign w:val="bottom"/>
            <w:gridSpan w:val="2"/>
            <w:shd w:val="clear" w:color="auto" w:fill="E4E9F2"/>
          </w:tcPr>
          <w:p>
            <w:pPr>
              <w:jc w:val="right"/>
              <w:ind w:right="79"/>
              <w:spacing w:after="0"/>
              <w:rPr>
                <w:sz w:val="20"/>
                <w:szCs w:val="20"/>
                <w:color w:val="auto"/>
              </w:rPr>
            </w:pPr>
            <w:r>
              <w:rPr>
                <w:rFonts w:ascii="Arial" w:cs="Arial" w:eastAsia="Arial" w:hAnsi="Arial"/>
                <w:sz w:val="16"/>
                <w:szCs w:val="16"/>
                <w:color w:val="auto"/>
              </w:rPr>
              <w:t>512,566</w:t>
            </w:r>
          </w:p>
        </w:tc>
        <w:tc>
          <w:tcPr>
            <w:tcW w:w="9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53,021</w:t>
            </w:r>
          </w:p>
        </w:tc>
        <w:tc>
          <w:tcPr>
            <w:tcW w:w="1020" w:type="dxa"/>
            <w:vAlign w:val="bottom"/>
            <w:shd w:val="clear" w:color="auto" w:fill="E4E9F2"/>
          </w:tcPr>
          <w:p>
            <w:pPr>
              <w:jc w:val="right"/>
              <w:ind w:right="59"/>
              <w:spacing w:after="0"/>
              <w:rPr>
                <w:sz w:val="20"/>
                <w:szCs w:val="20"/>
                <w:color w:val="auto"/>
              </w:rPr>
            </w:pPr>
            <w:r>
              <w:rPr>
                <w:rFonts w:ascii="Arial" w:cs="Arial" w:eastAsia="Arial" w:hAnsi="Arial"/>
                <w:sz w:val="16"/>
                <w:szCs w:val="16"/>
                <w:color w:val="auto"/>
              </w:rPr>
              <w:t>—</w:t>
            </w:r>
          </w:p>
        </w:tc>
        <w:tc>
          <w:tcPr>
            <w:tcW w:w="116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565,587</w:t>
            </w:r>
          </w:p>
        </w:tc>
        <w:tc>
          <w:tcPr>
            <w:tcW w:w="800" w:type="dxa"/>
            <w:vAlign w:val="bottom"/>
            <w:gridSpan w:val="2"/>
            <w:shd w:val="clear" w:color="auto" w:fill="E4E9F2"/>
          </w:tcPr>
          <w:p>
            <w:pPr>
              <w:jc w:val="right"/>
              <w:ind w:right="180"/>
              <w:spacing w:after="0"/>
              <w:rPr>
                <w:sz w:val="20"/>
                <w:szCs w:val="20"/>
                <w:color w:val="auto"/>
              </w:rPr>
            </w:pPr>
            <w:r>
              <w:rPr>
                <w:rFonts w:ascii="Arial" w:cs="Arial" w:eastAsia="Arial" w:hAnsi="Arial"/>
                <w:sz w:val="16"/>
                <w:szCs w:val="16"/>
                <w:color w:val="auto"/>
              </w:rPr>
              <w:t>*</w:t>
            </w:r>
          </w:p>
        </w:tc>
        <w:tc>
          <w:tcPr>
            <w:tcW w:w="1240" w:type="dxa"/>
            <w:vAlign w:val="bottom"/>
            <w:gridSpan w:val="2"/>
            <w:shd w:val="clear" w:color="auto" w:fill="E4E9F2"/>
          </w:tcPr>
          <w:p>
            <w:pPr>
              <w:jc w:val="right"/>
              <w:ind w:right="239"/>
              <w:spacing w:after="0"/>
              <w:rPr>
                <w:sz w:val="20"/>
                <w:szCs w:val="20"/>
                <w:color w:val="auto"/>
              </w:rPr>
            </w:pPr>
            <w:r>
              <w:rPr>
                <w:rFonts w:ascii="Arial" w:cs="Arial" w:eastAsia="Arial" w:hAnsi="Arial"/>
                <w:sz w:val="16"/>
                <w:szCs w:val="16"/>
                <w:color w:val="auto"/>
              </w:rPr>
              <w:t>21,269,420</w:t>
            </w:r>
          </w:p>
        </w:tc>
        <w:tc>
          <w:tcPr>
            <w:tcW w:w="58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13.98</w:t>
            </w:r>
          </w:p>
        </w:tc>
        <w:tc>
          <w:tcPr>
            <w:tcW w:w="1140" w:type="dxa"/>
            <w:vAlign w:val="bottom"/>
            <w:gridSpan w:val="3"/>
            <w:shd w:val="clear" w:color="auto" w:fill="E4E9F2"/>
          </w:tcPr>
          <w:p>
            <w:pPr>
              <w:jc w:val="right"/>
              <w:ind w:right="19"/>
              <w:spacing w:after="0"/>
              <w:rPr>
                <w:sz w:val="20"/>
                <w:szCs w:val="20"/>
                <w:color w:val="auto"/>
              </w:rPr>
            </w:pPr>
            <w:r>
              <w:rPr>
                <w:rFonts w:ascii="Arial" w:cs="Arial" w:eastAsia="Arial" w:hAnsi="Arial"/>
                <w:sz w:val="16"/>
                <w:szCs w:val="16"/>
                <w:color w:val="auto"/>
              </w:rPr>
              <w:t>7.21</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tcPr>
          <w:p>
            <w:pPr>
              <w:ind w:left="60"/>
              <w:spacing w:after="0"/>
              <w:rPr>
                <w:sz w:val="20"/>
                <w:szCs w:val="20"/>
                <w:color w:val="auto"/>
              </w:rPr>
            </w:pPr>
            <w:r>
              <w:rPr>
                <w:rFonts w:ascii="Arial" w:cs="Arial" w:eastAsia="Arial" w:hAnsi="Arial"/>
                <w:sz w:val="16"/>
                <w:szCs w:val="16"/>
                <w:color w:val="auto"/>
              </w:rPr>
              <w:t>Gautam Patel</w:t>
            </w:r>
          </w:p>
        </w:tc>
        <w:tc>
          <w:tcPr>
            <w:tcW w:w="1120" w:type="dxa"/>
            <w:vAlign w:val="bottom"/>
            <w:gridSpan w:val="2"/>
          </w:tcPr>
          <w:p>
            <w:pPr>
              <w:jc w:val="right"/>
              <w:ind w:right="79"/>
              <w:spacing w:after="0"/>
              <w:rPr>
                <w:sz w:val="20"/>
                <w:szCs w:val="20"/>
                <w:color w:val="auto"/>
              </w:rPr>
            </w:pPr>
            <w:r>
              <w:rPr>
                <w:rFonts w:ascii="Arial" w:cs="Arial" w:eastAsia="Arial" w:hAnsi="Arial"/>
                <w:sz w:val="16"/>
                <w:szCs w:val="16"/>
                <w:color w:val="auto"/>
              </w:rPr>
              <w:t>13,146,217</w:t>
            </w:r>
          </w:p>
        </w:tc>
        <w:tc>
          <w:tcPr>
            <w:tcW w:w="980" w:type="dxa"/>
            <w:vAlign w:val="bottom"/>
          </w:tcPr>
          <w:p>
            <w:pPr>
              <w:jc w:val="right"/>
              <w:spacing w:after="0"/>
              <w:rPr>
                <w:sz w:val="20"/>
                <w:szCs w:val="20"/>
                <w:color w:val="auto"/>
              </w:rPr>
            </w:pPr>
            <w:r>
              <w:rPr>
                <w:rFonts w:ascii="Arial" w:cs="Arial" w:eastAsia="Arial" w:hAnsi="Arial"/>
                <w:sz w:val="16"/>
                <w:szCs w:val="16"/>
                <w:color w:val="auto"/>
              </w:rPr>
              <w:t>53,021</w:t>
            </w:r>
          </w:p>
        </w:tc>
        <w:tc>
          <w:tcPr>
            <w:tcW w:w="1020" w:type="dxa"/>
            <w:vAlign w:val="bottom"/>
          </w:tcPr>
          <w:p>
            <w:pPr>
              <w:jc w:val="right"/>
              <w:ind w:right="59"/>
              <w:spacing w:after="0"/>
              <w:rPr>
                <w:sz w:val="20"/>
                <w:szCs w:val="20"/>
                <w:color w:val="auto"/>
              </w:rPr>
            </w:pPr>
            <w:r>
              <w:rPr>
                <w:rFonts w:ascii="Arial" w:cs="Arial" w:eastAsia="Arial" w:hAnsi="Arial"/>
                <w:sz w:val="16"/>
                <w:szCs w:val="16"/>
                <w:color w:val="auto"/>
              </w:rPr>
              <w:t>35,406</w:t>
            </w:r>
          </w:p>
        </w:tc>
        <w:tc>
          <w:tcPr>
            <w:tcW w:w="1160" w:type="dxa"/>
            <w:vAlign w:val="bottom"/>
          </w:tcPr>
          <w:p>
            <w:pPr>
              <w:jc w:val="right"/>
              <w:ind w:right="119"/>
              <w:spacing w:after="0"/>
              <w:rPr>
                <w:sz w:val="20"/>
                <w:szCs w:val="20"/>
                <w:color w:val="auto"/>
              </w:rPr>
            </w:pPr>
            <w:r>
              <w:rPr>
                <w:rFonts w:ascii="Arial" w:cs="Arial" w:eastAsia="Arial" w:hAnsi="Arial"/>
                <w:sz w:val="16"/>
                <w:szCs w:val="16"/>
                <w:color w:val="auto"/>
              </w:rPr>
              <w:t>13,234,644</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8.79</w:t>
            </w:r>
          </w:p>
        </w:tc>
        <w:tc>
          <w:tcPr>
            <w:tcW w:w="1240" w:type="dxa"/>
            <w:vAlign w:val="bottom"/>
            <w:gridSpan w:val="2"/>
          </w:tcPr>
          <w:p>
            <w:pPr>
              <w:jc w:val="right"/>
              <w:ind w:right="239"/>
              <w:spacing w:after="0"/>
              <w:rPr>
                <w:sz w:val="20"/>
                <w:szCs w:val="20"/>
                <w:color w:val="auto"/>
              </w:rPr>
            </w:pPr>
            <w:r>
              <w:rPr>
                <w:rFonts w:ascii="Arial" w:cs="Arial" w:eastAsia="Arial" w:hAnsi="Arial"/>
                <w:sz w:val="16"/>
                <w:szCs w:val="16"/>
                <w:color w:val="auto"/>
              </w:rPr>
              <w:t>17,497,336</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11.50</w:t>
            </w:r>
          </w:p>
        </w:tc>
        <w:tc>
          <w:tcPr>
            <w:tcW w:w="1140" w:type="dxa"/>
            <w:vAlign w:val="bottom"/>
            <w:gridSpan w:val="3"/>
          </w:tcPr>
          <w:p>
            <w:pPr>
              <w:jc w:val="right"/>
              <w:ind w:right="19"/>
              <w:spacing w:after="0"/>
              <w:rPr>
                <w:sz w:val="20"/>
                <w:szCs w:val="20"/>
                <w:color w:val="auto"/>
              </w:rPr>
            </w:pPr>
            <w:r>
              <w:rPr>
                <w:rFonts w:ascii="Arial" w:cs="Arial" w:eastAsia="Arial" w:hAnsi="Arial"/>
                <w:sz w:val="16"/>
                <w:szCs w:val="16"/>
                <w:color w:val="auto"/>
              </w:rPr>
              <w:t>10.15</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shd w:val="clear" w:color="auto" w:fill="E4E9F2"/>
          </w:tcPr>
          <w:p>
            <w:pPr>
              <w:ind w:left="60"/>
              <w:spacing w:after="0"/>
              <w:rPr>
                <w:sz w:val="20"/>
                <w:szCs w:val="20"/>
                <w:color w:val="auto"/>
              </w:rPr>
            </w:pPr>
            <w:r>
              <w:rPr>
                <w:rFonts w:ascii="Arial" w:cs="Arial" w:eastAsia="Arial" w:hAnsi="Arial"/>
                <w:sz w:val="16"/>
                <w:szCs w:val="16"/>
                <w:color w:val="auto"/>
              </w:rPr>
              <w:t>Nikita Shah</w:t>
            </w:r>
          </w:p>
        </w:tc>
        <w:tc>
          <w:tcPr>
            <w:tcW w:w="1120" w:type="dxa"/>
            <w:vAlign w:val="bottom"/>
            <w:gridSpan w:val="2"/>
            <w:shd w:val="clear" w:color="auto" w:fill="E4E9F2"/>
          </w:tcPr>
          <w:p>
            <w:pPr>
              <w:jc w:val="right"/>
              <w:ind w:right="79"/>
              <w:spacing w:after="0"/>
              <w:rPr>
                <w:sz w:val="20"/>
                <w:szCs w:val="20"/>
                <w:color w:val="auto"/>
              </w:rPr>
            </w:pPr>
            <w:r>
              <w:rPr>
                <w:rFonts w:ascii="Arial" w:cs="Arial" w:eastAsia="Arial" w:hAnsi="Arial"/>
                <w:sz w:val="16"/>
                <w:szCs w:val="16"/>
                <w:color w:val="auto"/>
              </w:rPr>
              <w:t>265,094</w:t>
            </w:r>
          </w:p>
        </w:tc>
        <w:tc>
          <w:tcPr>
            <w:tcW w:w="9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144,304</w:t>
            </w:r>
          </w:p>
        </w:tc>
        <w:tc>
          <w:tcPr>
            <w:tcW w:w="1020" w:type="dxa"/>
            <w:vAlign w:val="bottom"/>
            <w:shd w:val="clear" w:color="auto" w:fill="E4E9F2"/>
          </w:tcPr>
          <w:p>
            <w:pPr>
              <w:jc w:val="right"/>
              <w:ind w:right="59"/>
              <w:spacing w:after="0"/>
              <w:rPr>
                <w:sz w:val="20"/>
                <w:szCs w:val="20"/>
                <w:color w:val="auto"/>
              </w:rPr>
            </w:pPr>
            <w:r>
              <w:rPr>
                <w:rFonts w:ascii="Arial" w:cs="Arial" w:eastAsia="Arial" w:hAnsi="Arial"/>
                <w:sz w:val="16"/>
                <w:szCs w:val="16"/>
                <w:color w:val="auto"/>
              </w:rPr>
              <w:t>4,442</w:t>
            </w:r>
          </w:p>
        </w:tc>
        <w:tc>
          <w:tcPr>
            <w:tcW w:w="116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413,840</w:t>
            </w:r>
          </w:p>
        </w:tc>
        <w:tc>
          <w:tcPr>
            <w:tcW w:w="800" w:type="dxa"/>
            <w:vAlign w:val="bottom"/>
            <w:gridSpan w:val="2"/>
            <w:shd w:val="clear" w:color="auto" w:fill="E4E9F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shd w:val="clear" w:color="auto" w:fill="E4E9F2"/>
          </w:tcPr>
          <w:p>
            <w:pPr>
              <w:spacing w:after="0"/>
              <w:rPr>
                <w:sz w:val="16"/>
                <w:szCs w:val="16"/>
                <w:color w:val="auto"/>
              </w:rPr>
            </w:pPr>
          </w:p>
        </w:tc>
        <w:tc>
          <w:tcPr>
            <w:tcW w:w="1200" w:type="dxa"/>
            <w:vAlign w:val="bottom"/>
            <w:shd w:val="clear" w:color="auto" w:fill="E4E9F2"/>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w:t>
            </w:r>
          </w:p>
        </w:tc>
        <w:tc>
          <w:tcPr>
            <w:tcW w:w="100" w:type="dxa"/>
            <w:vAlign w:val="bottom"/>
            <w:shd w:val="clear" w:color="auto" w:fill="E4E9F2"/>
          </w:tcPr>
          <w:p>
            <w:pPr>
              <w:spacing w:after="0"/>
              <w:rPr>
                <w:sz w:val="16"/>
                <w:szCs w:val="16"/>
                <w:color w:val="auto"/>
              </w:rPr>
            </w:pPr>
          </w:p>
        </w:tc>
        <w:tc>
          <w:tcPr>
            <w:tcW w:w="600" w:type="dxa"/>
            <w:vAlign w:val="bottom"/>
            <w:shd w:val="clear" w:color="auto" w:fill="E4E9F2"/>
          </w:tcPr>
          <w:p>
            <w:pPr>
              <w:spacing w:after="0"/>
              <w:rPr>
                <w:sz w:val="16"/>
                <w:szCs w:val="16"/>
                <w:color w:val="auto"/>
              </w:rPr>
            </w:pPr>
          </w:p>
        </w:tc>
        <w:tc>
          <w:tcPr>
            <w:tcW w:w="440" w:type="dxa"/>
            <w:vAlign w:val="bottom"/>
            <w:shd w:val="clear" w:color="auto" w:fill="E4E9F2"/>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tcPr>
          <w:p>
            <w:pPr>
              <w:ind w:left="60"/>
              <w:spacing w:after="0"/>
              <w:rPr>
                <w:sz w:val="20"/>
                <w:szCs w:val="20"/>
                <w:color w:val="auto"/>
              </w:rPr>
            </w:pPr>
            <w:r>
              <w:rPr>
                <w:rFonts w:ascii="Arial" w:cs="Arial" w:eastAsia="Arial" w:hAnsi="Arial"/>
                <w:sz w:val="16"/>
                <w:szCs w:val="16"/>
                <w:color w:val="auto"/>
              </w:rPr>
              <w:t>Joseph Todisco</w:t>
            </w:r>
          </w:p>
        </w:tc>
        <w:tc>
          <w:tcPr>
            <w:tcW w:w="1120" w:type="dxa"/>
            <w:vAlign w:val="bottom"/>
            <w:gridSpan w:val="2"/>
          </w:tcPr>
          <w:p>
            <w:pPr>
              <w:jc w:val="right"/>
              <w:ind w:right="79"/>
              <w:spacing w:after="0"/>
              <w:rPr>
                <w:sz w:val="20"/>
                <w:szCs w:val="20"/>
                <w:color w:val="auto"/>
              </w:rPr>
            </w:pPr>
            <w:r>
              <w:rPr>
                <w:rFonts w:ascii="Arial" w:cs="Arial" w:eastAsia="Arial" w:hAnsi="Arial"/>
                <w:sz w:val="16"/>
                <w:szCs w:val="16"/>
                <w:color w:val="auto"/>
              </w:rPr>
              <w:t>324,314</w:t>
            </w:r>
          </w:p>
        </w:tc>
        <w:tc>
          <w:tcPr>
            <w:tcW w:w="980" w:type="dxa"/>
            <w:vAlign w:val="bottom"/>
          </w:tcPr>
          <w:p>
            <w:pPr>
              <w:jc w:val="right"/>
              <w:spacing w:after="0"/>
              <w:rPr>
                <w:sz w:val="20"/>
                <w:szCs w:val="20"/>
                <w:color w:val="auto"/>
              </w:rPr>
            </w:pPr>
            <w:r>
              <w:rPr>
                <w:rFonts w:ascii="Arial" w:cs="Arial" w:eastAsia="Arial" w:hAnsi="Arial"/>
                <w:sz w:val="16"/>
                <w:szCs w:val="16"/>
                <w:color w:val="auto"/>
              </w:rPr>
              <w:t>140,536</w:t>
            </w:r>
          </w:p>
        </w:tc>
        <w:tc>
          <w:tcPr>
            <w:tcW w:w="1020" w:type="dxa"/>
            <w:vAlign w:val="bottom"/>
          </w:tcPr>
          <w:p>
            <w:pPr>
              <w:jc w:val="right"/>
              <w:ind w:right="59"/>
              <w:spacing w:after="0"/>
              <w:rPr>
                <w:sz w:val="20"/>
                <w:szCs w:val="20"/>
                <w:color w:val="auto"/>
              </w:rPr>
            </w:pPr>
            <w:r>
              <w:rPr>
                <w:rFonts w:ascii="Arial" w:cs="Arial" w:eastAsia="Arial" w:hAnsi="Arial"/>
                <w:sz w:val="16"/>
                <w:szCs w:val="16"/>
                <w:color w:val="auto"/>
              </w:rPr>
              <w:t>4,442</w:t>
            </w:r>
          </w:p>
        </w:tc>
        <w:tc>
          <w:tcPr>
            <w:tcW w:w="1160" w:type="dxa"/>
            <w:vAlign w:val="bottom"/>
          </w:tcPr>
          <w:p>
            <w:pPr>
              <w:jc w:val="right"/>
              <w:ind w:right="119"/>
              <w:spacing w:after="0"/>
              <w:rPr>
                <w:sz w:val="20"/>
                <w:szCs w:val="20"/>
                <w:color w:val="auto"/>
              </w:rPr>
            </w:pPr>
            <w:r>
              <w:rPr>
                <w:rFonts w:ascii="Arial" w:cs="Arial" w:eastAsia="Arial" w:hAnsi="Arial"/>
                <w:sz w:val="16"/>
                <w:szCs w:val="16"/>
                <w:color w:val="auto"/>
              </w:rPr>
              <w:t>469,292</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tcPr>
          <w:p>
            <w:pPr>
              <w:spacing w:after="0"/>
              <w:rPr>
                <w:sz w:val="16"/>
                <w:szCs w:val="16"/>
                <w:color w:val="auto"/>
              </w:rPr>
            </w:pPr>
          </w:p>
        </w:tc>
        <w:tc>
          <w:tcPr>
            <w:tcW w:w="120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200" w:type="dxa"/>
            <w:vAlign w:val="bottom"/>
            <w:gridSpan w:val="2"/>
            <w:shd w:val="clear" w:color="auto" w:fill="E4E9F2"/>
          </w:tcPr>
          <w:p>
            <w:pPr>
              <w:ind w:left="60"/>
              <w:spacing w:after="0"/>
              <w:rPr>
                <w:sz w:val="20"/>
                <w:szCs w:val="20"/>
                <w:color w:val="auto"/>
              </w:rPr>
            </w:pPr>
            <w:r>
              <w:rPr>
                <w:rFonts w:ascii="Arial" w:cs="Arial" w:eastAsia="Arial" w:hAnsi="Arial"/>
                <w:sz w:val="16"/>
                <w:szCs w:val="16"/>
                <w:color w:val="auto"/>
              </w:rPr>
              <w:t>Shlomo Yanai</w:t>
            </w:r>
          </w:p>
        </w:tc>
        <w:tc>
          <w:tcPr>
            <w:tcW w:w="1120" w:type="dxa"/>
            <w:vAlign w:val="bottom"/>
            <w:gridSpan w:val="2"/>
            <w:shd w:val="clear" w:color="auto" w:fill="E4E9F2"/>
          </w:tcPr>
          <w:p>
            <w:pPr>
              <w:jc w:val="right"/>
              <w:ind w:right="79"/>
              <w:spacing w:after="0"/>
              <w:rPr>
                <w:sz w:val="20"/>
                <w:szCs w:val="20"/>
                <w:color w:val="auto"/>
              </w:rPr>
            </w:pPr>
            <w:r>
              <w:rPr>
                <w:rFonts w:ascii="Arial" w:cs="Arial" w:eastAsia="Arial" w:hAnsi="Arial"/>
                <w:sz w:val="16"/>
                <w:szCs w:val="16"/>
                <w:color w:val="auto"/>
              </w:rPr>
              <w:t>53,740</w:t>
            </w:r>
          </w:p>
        </w:tc>
        <w:tc>
          <w:tcPr>
            <w:tcW w:w="9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28,506</w:t>
            </w:r>
          </w:p>
        </w:tc>
        <w:tc>
          <w:tcPr>
            <w:tcW w:w="1020" w:type="dxa"/>
            <w:vAlign w:val="bottom"/>
            <w:shd w:val="clear" w:color="auto" w:fill="E4E9F2"/>
          </w:tcPr>
          <w:p>
            <w:pPr>
              <w:jc w:val="right"/>
              <w:ind w:right="59"/>
              <w:spacing w:after="0"/>
              <w:rPr>
                <w:sz w:val="20"/>
                <w:szCs w:val="20"/>
                <w:color w:val="auto"/>
              </w:rPr>
            </w:pPr>
            <w:r>
              <w:rPr>
                <w:rFonts w:ascii="Arial" w:cs="Arial" w:eastAsia="Arial" w:hAnsi="Arial"/>
                <w:sz w:val="16"/>
                <w:szCs w:val="16"/>
                <w:color w:val="auto"/>
              </w:rPr>
              <w:t>35,406</w:t>
            </w:r>
          </w:p>
        </w:tc>
        <w:tc>
          <w:tcPr>
            <w:tcW w:w="1160" w:type="dxa"/>
            <w:vAlign w:val="bottom"/>
            <w:shd w:val="clear" w:color="auto" w:fill="E4E9F2"/>
          </w:tcPr>
          <w:p>
            <w:pPr>
              <w:jc w:val="right"/>
              <w:ind w:right="119"/>
              <w:spacing w:after="0"/>
              <w:rPr>
                <w:sz w:val="20"/>
                <w:szCs w:val="20"/>
                <w:color w:val="auto"/>
              </w:rPr>
            </w:pPr>
            <w:r>
              <w:rPr>
                <w:rFonts w:ascii="Arial" w:cs="Arial" w:eastAsia="Arial" w:hAnsi="Arial"/>
                <w:sz w:val="16"/>
                <w:szCs w:val="16"/>
                <w:color w:val="auto"/>
              </w:rPr>
              <w:t>117,652</w:t>
            </w:r>
          </w:p>
        </w:tc>
        <w:tc>
          <w:tcPr>
            <w:tcW w:w="800" w:type="dxa"/>
            <w:vAlign w:val="bottom"/>
            <w:gridSpan w:val="2"/>
            <w:shd w:val="clear" w:color="auto" w:fill="E4E9F2"/>
          </w:tcPr>
          <w:p>
            <w:pPr>
              <w:jc w:val="right"/>
              <w:ind w:right="180"/>
              <w:spacing w:after="0"/>
              <w:rPr>
                <w:sz w:val="20"/>
                <w:szCs w:val="20"/>
                <w:color w:val="auto"/>
              </w:rPr>
            </w:pPr>
            <w:r>
              <w:rPr>
                <w:rFonts w:ascii="Arial" w:cs="Arial" w:eastAsia="Arial" w:hAnsi="Arial"/>
                <w:sz w:val="16"/>
                <w:szCs w:val="16"/>
                <w:color w:val="auto"/>
              </w:rPr>
              <w:t>*</w:t>
            </w:r>
          </w:p>
        </w:tc>
        <w:tc>
          <w:tcPr>
            <w:tcW w:w="40" w:type="dxa"/>
            <w:vAlign w:val="bottom"/>
            <w:shd w:val="clear" w:color="auto" w:fill="E4E9F2"/>
          </w:tcPr>
          <w:p>
            <w:pPr>
              <w:spacing w:after="0"/>
              <w:rPr>
                <w:sz w:val="16"/>
                <w:szCs w:val="16"/>
                <w:color w:val="auto"/>
              </w:rPr>
            </w:pPr>
          </w:p>
        </w:tc>
        <w:tc>
          <w:tcPr>
            <w:tcW w:w="1200" w:type="dxa"/>
            <w:vAlign w:val="bottom"/>
            <w:shd w:val="clear" w:color="auto" w:fill="E4E9F2"/>
          </w:tcPr>
          <w:p>
            <w:pPr>
              <w:jc w:val="right"/>
              <w:ind w:right="239"/>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w:t>
            </w:r>
          </w:p>
        </w:tc>
        <w:tc>
          <w:tcPr>
            <w:tcW w:w="100" w:type="dxa"/>
            <w:vAlign w:val="bottom"/>
            <w:shd w:val="clear" w:color="auto" w:fill="E4E9F2"/>
          </w:tcPr>
          <w:p>
            <w:pPr>
              <w:spacing w:after="0"/>
              <w:rPr>
                <w:sz w:val="16"/>
                <w:szCs w:val="16"/>
                <w:color w:val="auto"/>
              </w:rPr>
            </w:pPr>
          </w:p>
        </w:tc>
        <w:tc>
          <w:tcPr>
            <w:tcW w:w="600" w:type="dxa"/>
            <w:vAlign w:val="bottom"/>
            <w:shd w:val="clear" w:color="auto" w:fill="E4E9F2"/>
          </w:tcPr>
          <w:p>
            <w:pPr>
              <w:spacing w:after="0"/>
              <w:rPr>
                <w:sz w:val="16"/>
                <w:szCs w:val="16"/>
                <w:color w:val="auto"/>
              </w:rPr>
            </w:pPr>
          </w:p>
        </w:tc>
        <w:tc>
          <w:tcPr>
            <w:tcW w:w="440" w:type="dxa"/>
            <w:vAlign w:val="bottom"/>
            <w:shd w:val="clear" w:color="auto" w:fill="E4E9F2"/>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1"/>
        </w:trPr>
        <w:tc>
          <w:tcPr>
            <w:tcW w:w="3200" w:type="dxa"/>
            <w:vAlign w:val="bottom"/>
            <w:gridSpan w:val="2"/>
          </w:tcPr>
          <w:p>
            <w:pPr>
              <w:ind w:left="60"/>
              <w:spacing w:after="0"/>
              <w:rPr>
                <w:sz w:val="20"/>
                <w:szCs w:val="20"/>
                <w:color w:val="auto"/>
              </w:rPr>
            </w:pPr>
            <w:r>
              <w:rPr>
                <w:rFonts w:ascii="Arial" w:cs="Arial" w:eastAsia="Arial" w:hAnsi="Arial"/>
                <w:sz w:val="16"/>
                <w:szCs w:val="16"/>
                <w:color w:val="auto"/>
              </w:rPr>
              <w:t>Total Current Directors and Executive</w:t>
            </w:r>
          </w:p>
        </w:tc>
        <w:tc>
          <w:tcPr>
            <w:tcW w:w="1120" w:type="dxa"/>
            <w:vAlign w:val="bottom"/>
            <w:gridSpan w:val="2"/>
          </w:tcPr>
          <w:p>
            <w:pPr>
              <w:jc w:val="right"/>
              <w:ind w:right="79"/>
              <w:spacing w:after="0"/>
              <w:rPr>
                <w:sz w:val="20"/>
                <w:szCs w:val="20"/>
                <w:color w:val="auto"/>
              </w:rPr>
            </w:pPr>
            <w:r>
              <w:rPr>
                <w:rFonts w:ascii="Arial" w:cs="Arial" w:eastAsia="Arial" w:hAnsi="Arial"/>
                <w:sz w:val="16"/>
                <w:szCs w:val="16"/>
                <w:color w:val="auto"/>
              </w:rPr>
              <w:t>15,961,439</w:t>
            </w:r>
          </w:p>
        </w:tc>
        <w:tc>
          <w:tcPr>
            <w:tcW w:w="980" w:type="dxa"/>
            <w:vAlign w:val="bottom"/>
          </w:tcPr>
          <w:p>
            <w:pPr>
              <w:jc w:val="right"/>
              <w:spacing w:after="0"/>
              <w:rPr>
                <w:sz w:val="20"/>
                <w:szCs w:val="20"/>
                <w:color w:val="auto"/>
              </w:rPr>
            </w:pPr>
            <w:r>
              <w:rPr>
                <w:rFonts w:ascii="Arial" w:cs="Arial" w:eastAsia="Arial" w:hAnsi="Arial"/>
                <w:sz w:val="16"/>
                <w:szCs w:val="16"/>
                <w:color w:val="auto"/>
              </w:rPr>
              <w:t>1,179,911</w:t>
            </w:r>
          </w:p>
        </w:tc>
        <w:tc>
          <w:tcPr>
            <w:tcW w:w="1020" w:type="dxa"/>
            <w:vAlign w:val="bottom"/>
          </w:tcPr>
          <w:p>
            <w:pPr>
              <w:jc w:val="right"/>
              <w:ind w:right="59"/>
              <w:spacing w:after="0"/>
              <w:rPr>
                <w:sz w:val="20"/>
                <w:szCs w:val="20"/>
                <w:color w:val="auto"/>
              </w:rPr>
            </w:pPr>
            <w:r>
              <w:rPr>
                <w:rFonts w:ascii="Arial" w:cs="Arial" w:eastAsia="Arial" w:hAnsi="Arial"/>
                <w:sz w:val="16"/>
                <w:szCs w:val="16"/>
                <w:color w:val="auto"/>
              </w:rPr>
              <w:t>413,778</w:t>
            </w:r>
          </w:p>
        </w:tc>
        <w:tc>
          <w:tcPr>
            <w:tcW w:w="1160" w:type="dxa"/>
            <w:vAlign w:val="bottom"/>
          </w:tcPr>
          <w:p>
            <w:pPr>
              <w:jc w:val="right"/>
              <w:ind w:right="119"/>
              <w:spacing w:after="0"/>
              <w:rPr>
                <w:sz w:val="20"/>
                <w:szCs w:val="20"/>
                <w:color w:val="auto"/>
              </w:rPr>
            </w:pPr>
            <w:r>
              <w:rPr>
                <w:rFonts w:ascii="Arial" w:cs="Arial" w:eastAsia="Arial" w:hAnsi="Arial"/>
                <w:sz w:val="16"/>
                <w:szCs w:val="16"/>
                <w:color w:val="auto"/>
              </w:rPr>
              <w:t>17,555,128</w:t>
            </w:r>
          </w:p>
        </w:tc>
        <w:tc>
          <w:tcPr>
            <w:tcW w:w="800" w:type="dxa"/>
            <w:vAlign w:val="bottom"/>
            <w:gridSpan w:val="2"/>
          </w:tcPr>
          <w:p>
            <w:pPr>
              <w:jc w:val="right"/>
              <w:ind w:right="180"/>
              <w:spacing w:after="0"/>
              <w:rPr>
                <w:sz w:val="20"/>
                <w:szCs w:val="20"/>
                <w:color w:val="auto"/>
              </w:rPr>
            </w:pPr>
            <w:r>
              <w:rPr>
                <w:rFonts w:ascii="Arial" w:cs="Arial" w:eastAsia="Arial" w:hAnsi="Arial"/>
                <w:sz w:val="16"/>
                <w:szCs w:val="16"/>
                <w:color w:val="auto"/>
              </w:rPr>
              <w:t>11.65</w:t>
            </w:r>
          </w:p>
        </w:tc>
        <w:tc>
          <w:tcPr>
            <w:tcW w:w="1240" w:type="dxa"/>
            <w:vAlign w:val="bottom"/>
            <w:gridSpan w:val="2"/>
          </w:tcPr>
          <w:p>
            <w:pPr>
              <w:jc w:val="right"/>
              <w:ind w:right="239"/>
              <w:spacing w:after="0"/>
              <w:rPr>
                <w:sz w:val="20"/>
                <w:szCs w:val="20"/>
                <w:color w:val="auto"/>
              </w:rPr>
            </w:pPr>
            <w:r>
              <w:rPr>
                <w:rFonts w:ascii="Arial" w:cs="Arial" w:eastAsia="Arial" w:hAnsi="Arial"/>
                <w:sz w:val="16"/>
                <w:szCs w:val="16"/>
                <w:color w:val="auto"/>
              </w:rPr>
              <w:t>63,520,008</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41.76</w:t>
            </w:r>
          </w:p>
        </w:tc>
        <w:tc>
          <w:tcPr>
            <w:tcW w:w="1140" w:type="dxa"/>
            <w:vAlign w:val="bottom"/>
            <w:gridSpan w:val="3"/>
          </w:tcPr>
          <w:p>
            <w:pPr>
              <w:jc w:val="right"/>
              <w:ind w:right="19"/>
              <w:spacing w:after="0"/>
              <w:rPr>
                <w:sz w:val="20"/>
                <w:szCs w:val="20"/>
                <w:color w:val="auto"/>
              </w:rPr>
            </w:pPr>
            <w:r>
              <w:rPr>
                <w:rFonts w:ascii="Arial" w:cs="Arial" w:eastAsia="Arial" w:hAnsi="Arial"/>
                <w:sz w:val="16"/>
                <w:szCs w:val="16"/>
                <w:color w:val="auto"/>
              </w:rPr>
              <w:t>26.78</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7"/>
        </w:trPr>
        <w:tc>
          <w:tcPr>
            <w:tcW w:w="3200" w:type="dxa"/>
            <w:vAlign w:val="bottom"/>
            <w:tcBorders>
              <w:bottom w:val="single" w:sz="8" w:color="04568A"/>
            </w:tcBorders>
            <w:gridSpan w:val="2"/>
          </w:tcPr>
          <w:p>
            <w:pPr>
              <w:ind w:left="60"/>
              <w:spacing w:after="0"/>
              <w:rPr>
                <w:sz w:val="20"/>
                <w:szCs w:val="20"/>
                <w:color w:val="auto"/>
              </w:rPr>
            </w:pPr>
            <w:r>
              <w:rPr>
                <w:rFonts w:ascii="Arial" w:cs="Arial" w:eastAsia="Arial" w:hAnsi="Arial"/>
                <w:sz w:val="16"/>
                <w:szCs w:val="16"/>
                <w:color w:val="auto"/>
              </w:rPr>
              <w:t>Officers as a Group (15 Persons)</w:t>
            </w:r>
          </w:p>
        </w:tc>
        <w:tc>
          <w:tcPr>
            <w:tcW w:w="180" w:type="dxa"/>
            <w:vAlign w:val="bottom"/>
            <w:tcBorders>
              <w:bottom w:val="single" w:sz="8" w:color="04568A"/>
            </w:tcBorders>
          </w:tcPr>
          <w:p>
            <w:pPr>
              <w:spacing w:after="0"/>
              <w:rPr>
                <w:sz w:val="16"/>
                <w:szCs w:val="16"/>
                <w:color w:val="auto"/>
              </w:rPr>
            </w:pPr>
          </w:p>
        </w:tc>
        <w:tc>
          <w:tcPr>
            <w:tcW w:w="940" w:type="dxa"/>
            <w:vAlign w:val="bottom"/>
            <w:tcBorders>
              <w:bottom w:val="single" w:sz="8" w:color="04568A"/>
            </w:tcBorders>
          </w:tcPr>
          <w:p>
            <w:pPr>
              <w:spacing w:after="0"/>
              <w:rPr>
                <w:sz w:val="16"/>
                <w:szCs w:val="16"/>
                <w:color w:val="auto"/>
              </w:rPr>
            </w:pPr>
          </w:p>
        </w:tc>
        <w:tc>
          <w:tcPr>
            <w:tcW w:w="980" w:type="dxa"/>
            <w:vAlign w:val="bottom"/>
            <w:tcBorders>
              <w:bottom w:val="single" w:sz="8" w:color="04568A"/>
            </w:tcBorders>
          </w:tcPr>
          <w:p>
            <w:pPr>
              <w:spacing w:after="0"/>
              <w:rPr>
                <w:sz w:val="16"/>
                <w:szCs w:val="16"/>
                <w:color w:val="auto"/>
              </w:rPr>
            </w:pPr>
          </w:p>
        </w:tc>
        <w:tc>
          <w:tcPr>
            <w:tcW w:w="1020" w:type="dxa"/>
            <w:vAlign w:val="bottom"/>
            <w:tcBorders>
              <w:bottom w:val="single" w:sz="8" w:color="04568A"/>
            </w:tcBorders>
          </w:tcPr>
          <w:p>
            <w:pPr>
              <w:spacing w:after="0"/>
              <w:rPr>
                <w:sz w:val="16"/>
                <w:szCs w:val="16"/>
                <w:color w:val="auto"/>
              </w:rPr>
            </w:pPr>
          </w:p>
        </w:tc>
        <w:tc>
          <w:tcPr>
            <w:tcW w:w="1160" w:type="dxa"/>
            <w:vAlign w:val="bottom"/>
            <w:tcBorders>
              <w:bottom w:val="single" w:sz="8" w:color="04568A"/>
            </w:tcBorders>
          </w:tcPr>
          <w:p>
            <w:pPr>
              <w:spacing w:after="0"/>
              <w:rPr>
                <w:sz w:val="16"/>
                <w:szCs w:val="16"/>
                <w:color w:val="auto"/>
              </w:rPr>
            </w:pPr>
          </w:p>
        </w:tc>
        <w:tc>
          <w:tcPr>
            <w:tcW w:w="620" w:type="dxa"/>
            <w:vAlign w:val="bottom"/>
            <w:tcBorders>
              <w:bottom w:val="single" w:sz="8" w:color="04568A"/>
            </w:tcBorders>
          </w:tcPr>
          <w:p>
            <w:pPr>
              <w:spacing w:after="0"/>
              <w:rPr>
                <w:sz w:val="16"/>
                <w:szCs w:val="16"/>
                <w:color w:val="auto"/>
              </w:rPr>
            </w:pPr>
          </w:p>
        </w:tc>
        <w:tc>
          <w:tcPr>
            <w:tcW w:w="180" w:type="dxa"/>
            <w:vAlign w:val="bottom"/>
            <w:tcBorders>
              <w:bottom w:val="single" w:sz="8" w:color="04568A"/>
            </w:tcBorders>
          </w:tcPr>
          <w:p>
            <w:pPr>
              <w:spacing w:after="0"/>
              <w:rPr>
                <w:sz w:val="16"/>
                <w:szCs w:val="16"/>
                <w:color w:val="auto"/>
              </w:rPr>
            </w:pPr>
          </w:p>
        </w:tc>
        <w:tc>
          <w:tcPr>
            <w:tcW w:w="40" w:type="dxa"/>
            <w:vAlign w:val="bottom"/>
            <w:tcBorders>
              <w:bottom w:val="single" w:sz="8" w:color="04568A"/>
            </w:tcBorders>
          </w:tcPr>
          <w:p>
            <w:pPr>
              <w:spacing w:after="0"/>
              <w:rPr>
                <w:sz w:val="16"/>
                <w:szCs w:val="16"/>
                <w:color w:val="auto"/>
              </w:rPr>
            </w:pPr>
          </w:p>
        </w:tc>
        <w:tc>
          <w:tcPr>
            <w:tcW w:w="1200" w:type="dxa"/>
            <w:vAlign w:val="bottom"/>
            <w:tcBorders>
              <w:bottom w:val="single" w:sz="8" w:color="04568A"/>
            </w:tcBorders>
          </w:tcPr>
          <w:p>
            <w:pPr>
              <w:spacing w:after="0"/>
              <w:rPr>
                <w:sz w:val="16"/>
                <w:szCs w:val="16"/>
                <w:color w:val="auto"/>
              </w:rPr>
            </w:pPr>
          </w:p>
        </w:tc>
        <w:tc>
          <w:tcPr>
            <w:tcW w:w="500" w:type="dxa"/>
            <w:vAlign w:val="bottom"/>
            <w:tcBorders>
              <w:bottom w:val="single" w:sz="8" w:color="04568A"/>
            </w:tcBorders>
          </w:tcPr>
          <w:p>
            <w:pPr>
              <w:spacing w:after="0"/>
              <w:rPr>
                <w:sz w:val="16"/>
                <w:szCs w:val="16"/>
                <w:color w:val="auto"/>
              </w:rPr>
            </w:pPr>
          </w:p>
        </w:tc>
        <w:tc>
          <w:tcPr>
            <w:tcW w:w="80" w:type="dxa"/>
            <w:vAlign w:val="bottom"/>
            <w:tcBorders>
              <w:bottom w:val="single" w:sz="8" w:color="04568A"/>
            </w:tcBorders>
          </w:tcPr>
          <w:p>
            <w:pPr>
              <w:spacing w:after="0"/>
              <w:rPr>
                <w:sz w:val="16"/>
                <w:szCs w:val="16"/>
                <w:color w:val="auto"/>
              </w:rPr>
            </w:pPr>
          </w:p>
        </w:tc>
        <w:tc>
          <w:tcPr>
            <w:tcW w:w="100" w:type="dxa"/>
            <w:vAlign w:val="bottom"/>
            <w:tcBorders>
              <w:bottom w:val="single" w:sz="8" w:color="04568A"/>
            </w:tcBorders>
          </w:tcPr>
          <w:p>
            <w:pPr>
              <w:spacing w:after="0"/>
              <w:rPr>
                <w:sz w:val="16"/>
                <w:szCs w:val="16"/>
                <w:color w:val="auto"/>
              </w:rPr>
            </w:pPr>
          </w:p>
        </w:tc>
        <w:tc>
          <w:tcPr>
            <w:tcW w:w="600" w:type="dxa"/>
            <w:vAlign w:val="bottom"/>
            <w:tcBorders>
              <w:bottom w:val="single" w:sz="8" w:color="04568A"/>
            </w:tcBorders>
          </w:tcPr>
          <w:p>
            <w:pPr>
              <w:spacing w:after="0"/>
              <w:rPr>
                <w:sz w:val="16"/>
                <w:szCs w:val="16"/>
                <w:color w:val="auto"/>
              </w:rPr>
            </w:pPr>
          </w:p>
        </w:tc>
        <w:tc>
          <w:tcPr>
            <w:tcW w:w="440" w:type="dxa"/>
            <w:vAlign w:val="bottom"/>
            <w:tcBorders>
              <w:bottom w:val="single" w:sz="8" w:color="04568A"/>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77"/>
        </w:trPr>
        <w:tc>
          <w:tcPr>
            <w:tcW w:w="1580" w:type="dxa"/>
            <w:vAlign w:val="bottom"/>
            <w:vMerge w:val="restart"/>
          </w:tcPr>
          <w:p>
            <w:pPr>
              <w:spacing w:after="0"/>
              <w:rPr>
                <w:sz w:val="20"/>
                <w:szCs w:val="20"/>
                <w:color w:val="auto"/>
              </w:rPr>
            </w:pPr>
            <w:r>
              <w:rPr>
                <w:rFonts w:ascii="Arial" w:cs="Arial" w:eastAsia="Arial" w:hAnsi="Arial"/>
                <w:sz w:val="16"/>
                <w:szCs w:val="16"/>
                <w:b w:val="1"/>
                <w:bCs w:val="1"/>
                <w:color w:val="04568A"/>
              </w:rPr>
              <w:t>www.amneal.com</w:t>
            </w:r>
          </w:p>
        </w:tc>
        <w:tc>
          <w:tcPr>
            <w:tcW w:w="16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4900" w:type="dxa"/>
            <w:vAlign w:val="bottom"/>
            <w:gridSpan w:val="6"/>
            <w:vMerge w:val="restart"/>
          </w:tcPr>
          <w:p>
            <w:pPr>
              <w:ind w:left="12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40" w:type="dxa"/>
            <w:vAlign w:val="bottom"/>
          </w:tcPr>
          <w:p>
            <w:pPr>
              <w:spacing w:after="0"/>
              <w:rPr>
                <w:sz w:val="24"/>
                <w:szCs w:val="24"/>
                <w:color w:val="auto"/>
              </w:rPr>
            </w:pPr>
          </w:p>
        </w:tc>
        <w:tc>
          <w:tcPr>
            <w:tcW w:w="120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gridSpan w:val="2"/>
          </w:tcPr>
          <w:p>
            <w:pPr>
              <w:spacing w:after="0"/>
              <w:rPr>
                <w:sz w:val="24"/>
                <w:szCs w:val="24"/>
                <w:color w:val="auto"/>
              </w:rPr>
            </w:pPr>
          </w:p>
        </w:tc>
        <w:tc>
          <w:tcPr>
            <w:tcW w:w="460" w:type="dxa"/>
            <w:vAlign w:val="bottom"/>
            <w:gridSpan w:val="2"/>
            <w:vMerge w:val="restart"/>
          </w:tcPr>
          <w:p>
            <w:pPr>
              <w:jc w:val="right"/>
              <w:ind w:right="20"/>
              <w:spacing w:after="0"/>
              <w:rPr>
                <w:sz w:val="20"/>
                <w:szCs w:val="20"/>
                <w:color w:val="auto"/>
              </w:rPr>
            </w:pPr>
            <w:r>
              <w:rPr>
                <w:rFonts w:ascii="Arial" w:cs="Arial" w:eastAsia="Arial" w:hAnsi="Arial"/>
                <w:sz w:val="16"/>
                <w:szCs w:val="16"/>
                <w:b w:val="1"/>
                <w:bCs w:val="1"/>
                <w:color w:val="auto"/>
              </w:rPr>
              <w:t>48</w:t>
            </w:r>
          </w:p>
        </w:tc>
        <w:tc>
          <w:tcPr>
            <w:tcW w:w="0" w:type="dxa"/>
            <w:vAlign w:val="bottom"/>
          </w:tcPr>
          <w:p>
            <w:pPr>
              <w:spacing w:after="0"/>
              <w:rPr>
                <w:sz w:val="1"/>
                <w:szCs w:val="1"/>
                <w:color w:val="auto"/>
              </w:rPr>
            </w:pPr>
          </w:p>
        </w:tc>
      </w:tr>
      <w:tr>
        <w:trPr>
          <w:trHeight w:val="82"/>
        </w:trPr>
        <w:tc>
          <w:tcPr>
            <w:tcW w:w="1580" w:type="dxa"/>
            <w:vAlign w:val="bottom"/>
            <w:vMerge w:val="continue"/>
          </w:tcPr>
          <w:p>
            <w:pPr>
              <w:spacing w:after="0"/>
              <w:rPr>
                <w:sz w:val="7"/>
                <w:szCs w:val="7"/>
                <w:color w:val="auto"/>
              </w:rPr>
            </w:pPr>
          </w:p>
        </w:tc>
        <w:tc>
          <w:tcPr>
            <w:tcW w:w="1620" w:type="dxa"/>
            <w:vAlign w:val="bottom"/>
          </w:tcPr>
          <w:p>
            <w:pPr>
              <w:spacing w:after="0"/>
              <w:rPr>
                <w:sz w:val="7"/>
                <w:szCs w:val="7"/>
                <w:color w:val="auto"/>
              </w:rPr>
            </w:pPr>
          </w:p>
        </w:tc>
        <w:tc>
          <w:tcPr>
            <w:tcW w:w="180" w:type="dxa"/>
            <w:vAlign w:val="bottom"/>
          </w:tcPr>
          <w:p>
            <w:pPr>
              <w:spacing w:after="0"/>
              <w:rPr>
                <w:sz w:val="7"/>
                <w:szCs w:val="7"/>
                <w:color w:val="auto"/>
              </w:rPr>
            </w:pPr>
          </w:p>
        </w:tc>
        <w:tc>
          <w:tcPr>
            <w:tcW w:w="4900" w:type="dxa"/>
            <w:vAlign w:val="bottom"/>
            <w:gridSpan w:val="6"/>
            <w:vMerge w:val="continue"/>
          </w:tcPr>
          <w:p>
            <w:pPr>
              <w:spacing w:after="0"/>
              <w:rPr>
                <w:sz w:val="7"/>
                <w:szCs w:val="7"/>
                <w:color w:val="auto"/>
              </w:rPr>
            </w:pPr>
          </w:p>
        </w:tc>
        <w:tc>
          <w:tcPr>
            <w:tcW w:w="40" w:type="dxa"/>
            <w:vAlign w:val="bottom"/>
          </w:tcPr>
          <w:p>
            <w:pPr>
              <w:spacing w:after="0"/>
              <w:rPr>
                <w:sz w:val="7"/>
                <w:szCs w:val="7"/>
                <w:color w:val="auto"/>
              </w:rPr>
            </w:pPr>
          </w:p>
        </w:tc>
        <w:tc>
          <w:tcPr>
            <w:tcW w:w="1200" w:type="dxa"/>
            <w:vAlign w:val="bottom"/>
          </w:tcPr>
          <w:p>
            <w:pPr>
              <w:spacing w:after="0"/>
              <w:rPr>
                <w:sz w:val="7"/>
                <w:szCs w:val="7"/>
                <w:color w:val="auto"/>
              </w:rPr>
            </w:pPr>
          </w:p>
        </w:tc>
        <w:tc>
          <w:tcPr>
            <w:tcW w:w="500" w:type="dxa"/>
            <w:vAlign w:val="bottom"/>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gridSpan w:val="2"/>
          </w:tcPr>
          <w:p>
            <w:pPr>
              <w:spacing w:after="0"/>
              <w:rPr>
                <w:sz w:val="7"/>
                <w:szCs w:val="7"/>
                <w:color w:val="auto"/>
              </w:rPr>
            </w:pPr>
          </w:p>
        </w:tc>
        <w:tc>
          <w:tcPr>
            <w:tcW w:w="460" w:type="dxa"/>
            <w:vAlign w:val="bottom"/>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1580" w:type="dxa"/>
            <w:vAlign w:val="bottom"/>
            <w:tcBorders>
              <w:bottom w:val="single" w:sz="8" w:color="C0C0C0"/>
            </w:tcBorders>
          </w:tcPr>
          <w:p>
            <w:pPr>
              <w:spacing w:after="0"/>
              <w:rPr>
                <w:sz w:val="24"/>
                <w:szCs w:val="24"/>
                <w:color w:val="auto"/>
              </w:rPr>
            </w:pPr>
          </w:p>
        </w:tc>
        <w:tc>
          <w:tcPr>
            <w:tcW w:w="1620" w:type="dxa"/>
            <w:vAlign w:val="bottom"/>
            <w:tcBorders>
              <w:bottom w:val="single" w:sz="8" w:color="C0C0C0"/>
            </w:tcBorders>
          </w:tcPr>
          <w:p>
            <w:pPr>
              <w:spacing w:after="0"/>
              <w:rPr>
                <w:sz w:val="24"/>
                <w:szCs w:val="24"/>
                <w:color w:val="auto"/>
              </w:rPr>
            </w:pPr>
          </w:p>
        </w:tc>
        <w:tc>
          <w:tcPr>
            <w:tcW w:w="180" w:type="dxa"/>
            <w:vAlign w:val="bottom"/>
            <w:tcBorders>
              <w:bottom w:val="single" w:sz="8" w:color="C0C0C0"/>
            </w:tcBorders>
          </w:tcPr>
          <w:p>
            <w:pPr>
              <w:spacing w:after="0"/>
              <w:rPr>
                <w:sz w:val="24"/>
                <w:szCs w:val="24"/>
                <w:color w:val="auto"/>
              </w:rPr>
            </w:pPr>
          </w:p>
        </w:tc>
        <w:tc>
          <w:tcPr>
            <w:tcW w:w="940" w:type="dxa"/>
            <w:vAlign w:val="bottom"/>
            <w:tcBorders>
              <w:bottom w:val="single" w:sz="8" w:color="C0C0C0"/>
            </w:tcBorders>
          </w:tcPr>
          <w:p>
            <w:pPr>
              <w:spacing w:after="0"/>
              <w:rPr>
                <w:sz w:val="24"/>
                <w:szCs w:val="24"/>
                <w:color w:val="auto"/>
              </w:rPr>
            </w:pPr>
          </w:p>
        </w:tc>
        <w:tc>
          <w:tcPr>
            <w:tcW w:w="980" w:type="dxa"/>
            <w:vAlign w:val="bottom"/>
            <w:tcBorders>
              <w:bottom w:val="single" w:sz="8" w:color="C0C0C0"/>
            </w:tcBorders>
          </w:tcPr>
          <w:p>
            <w:pPr>
              <w:spacing w:after="0"/>
              <w:rPr>
                <w:sz w:val="24"/>
                <w:szCs w:val="24"/>
                <w:color w:val="auto"/>
              </w:rPr>
            </w:pPr>
          </w:p>
        </w:tc>
        <w:tc>
          <w:tcPr>
            <w:tcW w:w="1020" w:type="dxa"/>
            <w:vAlign w:val="bottom"/>
            <w:tcBorders>
              <w:bottom w:val="single" w:sz="8" w:color="C0C0C0"/>
            </w:tcBorders>
          </w:tcPr>
          <w:p>
            <w:pPr>
              <w:spacing w:after="0"/>
              <w:rPr>
                <w:sz w:val="24"/>
                <w:szCs w:val="24"/>
                <w:color w:val="auto"/>
              </w:rPr>
            </w:pPr>
          </w:p>
        </w:tc>
        <w:tc>
          <w:tcPr>
            <w:tcW w:w="1160" w:type="dxa"/>
            <w:vAlign w:val="bottom"/>
            <w:tcBorders>
              <w:bottom w:val="single" w:sz="8" w:color="C0C0C0"/>
            </w:tcBorders>
          </w:tcPr>
          <w:p>
            <w:pPr>
              <w:spacing w:after="0"/>
              <w:rPr>
                <w:sz w:val="24"/>
                <w:szCs w:val="24"/>
                <w:color w:val="auto"/>
              </w:rPr>
            </w:pPr>
          </w:p>
        </w:tc>
        <w:tc>
          <w:tcPr>
            <w:tcW w:w="620" w:type="dxa"/>
            <w:vAlign w:val="bottom"/>
            <w:tcBorders>
              <w:bottom w:val="single" w:sz="8" w:color="C0C0C0"/>
            </w:tcBorders>
          </w:tcPr>
          <w:p>
            <w:pPr>
              <w:spacing w:after="0"/>
              <w:rPr>
                <w:sz w:val="24"/>
                <w:szCs w:val="24"/>
                <w:color w:val="auto"/>
              </w:rPr>
            </w:pPr>
          </w:p>
        </w:tc>
        <w:tc>
          <w:tcPr>
            <w:tcW w:w="180" w:type="dxa"/>
            <w:vAlign w:val="bottom"/>
            <w:tcBorders>
              <w:bottom w:val="single" w:sz="8" w:color="C0C0C0"/>
            </w:tcBorders>
          </w:tcPr>
          <w:p>
            <w:pPr>
              <w:spacing w:after="0"/>
              <w:rPr>
                <w:sz w:val="24"/>
                <w:szCs w:val="24"/>
                <w:color w:val="auto"/>
              </w:rPr>
            </w:pPr>
          </w:p>
        </w:tc>
        <w:tc>
          <w:tcPr>
            <w:tcW w:w="40" w:type="dxa"/>
            <w:vAlign w:val="bottom"/>
            <w:tcBorders>
              <w:bottom w:val="single" w:sz="8" w:color="C0C0C0"/>
            </w:tcBorders>
          </w:tcPr>
          <w:p>
            <w:pPr>
              <w:spacing w:after="0"/>
              <w:rPr>
                <w:sz w:val="24"/>
                <w:szCs w:val="24"/>
                <w:color w:val="auto"/>
              </w:rPr>
            </w:pPr>
          </w:p>
        </w:tc>
        <w:tc>
          <w:tcPr>
            <w:tcW w:w="1200" w:type="dxa"/>
            <w:vAlign w:val="bottom"/>
            <w:tcBorders>
              <w:bottom w:val="single" w:sz="8" w:color="C0C0C0"/>
            </w:tcBorders>
          </w:tcPr>
          <w:p>
            <w:pPr>
              <w:spacing w:after="0"/>
              <w:rPr>
                <w:sz w:val="24"/>
                <w:szCs w:val="24"/>
                <w:color w:val="auto"/>
              </w:rPr>
            </w:pPr>
          </w:p>
        </w:tc>
        <w:tc>
          <w:tcPr>
            <w:tcW w:w="500" w:type="dxa"/>
            <w:vAlign w:val="bottom"/>
            <w:tcBorders>
              <w:bottom w:val="single" w:sz="8" w:color="C0C0C0"/>
            </w:tcBorders>
          </w:tcPr>
          <w:p>
            <w:pPr>
              <w:spacing w:after="0"/>
              <w:rPr>
                <w:sz w:val="24"/>
                <w:szCs w:val="24"/>
                <w:color w:val="auto"/>
              </w:rPr>
            </w:pPr>
          </w:p>
        </w:tc>
        <w:tc>
          <w:tcPr>
            <w:tcW w:w="80" w:type="dxa"/>
            <w:vAlign w:val="bottom"/>
            <w:tcBorders>
              <w:bottom w:val="single" w:sz="8" w:color="C0C0C0"/>
            </w:tcBorders>
          </w:tcPr>
          <w:p>
            <w:pPr>
              <w:spacing w:after="0"/>
              <w:rPr>
                <w:sz w:val="24"/>
                <w:szCs w:val="24"/>
                <w:color w:val="auto"/>
              </w:rPr>
            </w:pPr>
          </w:p>
        </w:tc>
        <w:tc>
          <w:tcPr>
            <w:tcW w:w="100" w:type="dxa"/>
            <w:vAlign w:val="bottom"/>
            <w:tcBorders>
              <w:bottom w:val="single" w:sz="8" w:color="C0C0C0"/>
            </w:tcBorders>
          </w:tcPr>
          <w:p>
            <w:pPr>
              <w:spacing w:after="0"/>
              <w:rPr>
                <w:sz w:val="24"/>
                <w:szCs w:val="24"/>
                <w:color w:val="auto"/>
              </w:rPr>
            </w:pPr>
          </w:p>
        </w:tc>
        <w:tc>
          <w:tcPr>
            <w:tcW w:w="60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49" w:name="page50"/>
    <w:bookmarkEnd w:id="49"/>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3700" w:type="dxa"/>
            <w:vAlign w:val="bottom"/>
            <w:gridSpan w:val="2"/>
          </w:tcPr>
          <w:p>
            <w:pPr>
              <w:spacing w:after="0"/>
              <w:rPr>
                <w:rFonts w:ascii="Arial" w:cs="Arial" w:eastAsia="Arial" w:hAnsi="Arial"/>
                <w:sz w:val="14"/>
                <w:szCs w:val="14"/>
                <w:b w:val="1"/>
                <w:bCs w:val="1"/>
                <w:color w:val="0000EE"/>
              </w:rPr>
            </w:pPr>
            <w:hyperlink w:anchor="page7">
              <w:r>
                <w:rPr>
                  <w:rFonts w:ascii="Arial" w:cs="Arial" w:eastAsia="Arial" w:hAnsi="Arial"/>
                  <w:sz w:val="14"/>
                  <w:szCs w:val="14"/>
                  <w:b w:val="1"/>
                  <w:bCs w:val="1"/>
                  <w:color w:val="0000EE"/>
                </w:rPr>
                <w:t>Back to Contents</w:t>
              </w:r>
            </w:hyperlink>
          </w:p>
        </w:tc>
        <w:tc>
          <w:tcPr>
            <w:tcW w:w="14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98"/>
        </w:trPr>
        <w:tc>
          <w:tcPr>
            <w:tcW w:w="1200" w:type="dxa"/>
            <w:vAlign w:val="bottom"/>
            <w:tcBorders>
              <w:top w:val="single" w:sz="8" w:color="0000EE"/>
            </w:tcBorders>
          </w:tcPr>
          <w:p>
            <w:pPr>
              <w:spacing w:after="0"/>
              <w:rPr>
                <w:sz w:val="24"/>
                <w:szCs w:val="24"/>
                <w:color w:val="auto"/>
              </w:rPr>
            </w:pPr>
          </w:p>
        </w:tc>
        <w:tc>
          <w:tcPr>
            <w:tcW w:w="2500" w:type="dxa"/>
            <w:vAlign w:val="bottom"/>
          </w:tcPr>
          <w:p>
            <w:pPr>
              <w:spacing w:after="0"/>
              <w:rPr>
                <w:sz w:val="24"/>
                <w:szCs w:val="24"/>
                <w:color w:val="auto"/>
              </w:rPr>
            </w:pPr>
          </w:p>
        </w:tc>
        <w:tc>
          <w:tcPr>
            <w:tcW w:w="140" w:type="dxa"/>
            <w:vAlign w:val="bottom"/>
            <w:tcBorders>
              <w:bottom w:val="single" w:sz="8" w:color="04568A"/>
            </w:tcBorders>
          </w:tcPr>
          <w:p>
            <w:pPr>
              <w:spacing w:after="0"/>
              <w:rPr>
                <w:sz w:val="24"/>
                <w:szCs w:val="24"/>
                <w:color w:val="auto"/>
              </w:rPr>
            </w:pPr>
          </w:p>
        </w:tc>
        <w:tc>
          <w:tcPr>
            <w:tcW w:w="1320" w:type="dxa"/>
            <w:vAlign w:val="bottom"/>
            <w:tcBorders>
              <w:bottom w:val="single" w:sz="8" w:color="04568A"/>
            </w:tcBorders>
          </w:tcPr>
          <w:p>
            <w:pPr>
              <w:spacing w:after="0"/>
              <w:rPr>
                <w:sz w:val="24"/>
                <w:szCs w:val="24"/>
                <w:color w:val="auto"/>
              </w:rPr>
            </w:pPr>
          </w:p>
        </w:tc>
        <w:tc>
          <w:tcPr>
            <w:tcW w:w="840" w:type="dxa"/>
            <w:vAlign w:val="bottom"/>
            <w:tcBorders>
              <w:bottom w:val="single" w:sz="8" w:color="04568A"/>
            </w:tcBorders>
          </w:tcPr>
          <w:p>
            <w:pPr>
              <w:spacing w:after="0"/>
              <w:rPr>
                <w:sz w:val="24"/>
                <w:szCs w:val="24"/>
                <w:color w:val="auto"/>
              </w:rPr>
            </w:pPr>
          </w:p>
        </w:tc>
        <w:tc>
          <w:tcPr>
            <w:tcW w:w="80" w:type="dxa"/>
            <w:vAlign w:val="bottom"/>
            <w:tcBorders>
              <w:bottom w:val="single" w:sz="8" w:color="04568A"/>
            </w:tcBorders>
          </w:tcPr>
          <w:p>
            <w:pPr>
              <w:spacing w:after="0"/>
              <w:rPr>
                <w:sz w:val="24"/>
                <w:szCs w:val="24"/>
                <w:color w:val="auto"/>
              </w:rPr>
            </w:pPr>
          </w:p>
        </w:tc>
        <w:tc>
          <w:tcPr>
            <w:tcW w:w="240" w:type="dxa"/>
            <w:vAlign w:val="bottom"/>
            <w:tcBorders>
              <w:bottom w:val="single" w:sz="8" w:color="04568A"/>
            </w:tcBorders>
          </w:tcPr>
          <w:p>
            <w:pPr>
              <w:spacing w:after="0"/>
              <w:rPr>
                <w:sz w:val="24"/>
                <w:szCs w:val="24"/>
                <w:color w:val="auto"/>
              </w:rPr>
            </w:pPr>
          </w:p>
        </w:tc>
        <w:tc>
          <w:tcPr>
            <w:tcW w:w="20" w:type="dxa"/>
            <w:vAlign w:val="bottom"/>
            <w:tcBorders>
              <w:bottom w:val="single" w:sz="8" w:color="04568A"/>
            </w:tcBorders>
          </w:tcPr>
          <w:p>
            <w:pPr>
              <w:spacing w:after="0"/>
              <w:rPr>
                <w:sz w:val="24"/>
                <w:szCs w:val="24"/>
                <w:color w:val="auto"/>
              </w:rPr>
            </w:pPr>
          </w:p>
        </w:tc>
        <w:tc>
          <w:tcPr>
            <w:tcW w:w="3760" w:type="dxa"/>
            <w:vAlign w:val="bottom"/>
            <w:tcBorders>
              <w:bottom w:val="single" w:sz="8" w:color="04568A"/>
            </w:tcBorders>
            <w:gridSpan w:val="7"/>
          </w:tcPr>
          <w:p>
            <w:pPr>
              <w:ind w:left="420"/>
              <w:spacing w:after="0"/>
              <w:rPr>
                <w:sz w:val="20"/>
                <w:szCs w:val="20"/>
                <w:color w:val="auto"/>
              </w:rPr>
            </w:pPr>
            <w:r>
              <w:rPr>
                <w:rFonts w:ascii="Arial" w:cs="Arial" w:eastAsia="Arial" w:hAnsi="Arial"/>
                <w:sz w:val="16"/>
                <w:szCs w:val="16"/>
                <w:b w:val="1"/>
                <w:bCs w:val="1"/>
                <w:color w:val="04568A"/>
              </w:rPr>
              <w:t>Amneal Group</w:t>
            </w:r>
            <w:r>
              <w:rPr>
                <w:rFonts w:ascii="Arial" w:cs="Arial" w:eastAsia="Arial" w:hAnsi="Arial"/>
                <w:sz w:val="26"/>
                <w:szCs w:val="26"/>
                <w:b w:val="1"/>
                <w:bCs w:val="1"/>
                <w:color w:val="04568A"/>
                <w:vertAlign w:val="superscript"/>
              </w:rPr>
              <w:t>(8)</w:t>
            </w:r>
          </w:p>
        </w:tc>
        <w:tc>
          <w:tcPr>
            <w:tcW w:w="1140" w:type="dxa"/>
            <w:vAlign w:val="bottom"/>
            <w:tcBorders>
              <w:bottom w:val="single" w:sz="8" w:color="04568A"/>
            </w:tcBorders>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3"/>
        </w:trPr>
        <w:tc>
          <w:tcPr>
            <w:tcW w:w="3700" w:type="dxa"/>
            <w:vAlign w:val="bottom"/>
            <w:gridSpan w:val="2"/>
            <w:vMerge w:val="restart"/>
          </w:tcPr>
          <w:p>
            <w:pPr>
              <w:ind w:left="60"/>
              <w:spacing w:after="0"/>
              <w:rPr>
                <w:sz w:val="20"/>
                <w:szCs w:val="20"/>
                <w:color w:val="auto"/>
              </w:rPr>
            </w:pPr>
            <w:r>
              <w:rPr>
                <w:rFonts w:ascii="Arial" w:cs="Arial" w:eastAsia="Arial" w:hAnsi="Arial"/>
                <w:sz w:val="16"/>
                <w:szCs w:val="16"/>
                <w:b w:val="1"/>
                <w:bCs w:val="1"/>
                <w:color w:val="04568A"/>
              </w:rPr>
              <w:t>Name</w:t>
            </w:r>
            <w:r>
              <w:rPr>
                <w:rFonts w:ascii="Arial" w:cs="Arial" w:eastAsia="Arial" w:hAnsi="Arial"/>
                <w:sz w:val="26"/>
                <w:szCs w:val="26"/>
                <w:b w:val="1"/>
                <w:bCs w:val="1"/>
                <w:color w:val="04568A"/>
                <w:vertAlign w:val="superscript"/>
              </w:rPr>
              <w:t>(1)</w:t>
            </w:r>
          </w:p>
        </w:tc>
        <w:tc>
          <w:tcPr>
            <w:tcW w:w="140" w:type="dxa"/>
            <w:vAlign w:val="bottom"/>
            <w:tcBorders>
              <w:bottom w:val="single" w:sz="8" w:color="04568A"/>
            </w:tcBorders>
          </w:tcPr>
          <w:p>
            <w:pPr>
              <w:spacing w:after="0"/>
              <w:rPr>
                <w:sz w:val="15"/>
                <w:szCs w:val="15"/>
                <w:color w:val="auto"/>
              </w:rPr>
            </w:pPr>
          </w:p>
        </w:tc>
        <w:tc>
          <w:tcPr>
            <w:tcW w:w="1320" w:type="dxa"/>
            <w:vAlign w:val="bottom"/>
            <w:tcBorders>
              <w:bottom w:val="single" w:sz="8" w:color="04568A"/>
            </w:tcBorders>
          </w:tcPr>
          <w:p>
            <w:pPr>
              <w:jc w:val="right"/>
              <w:spacing w:after="0" w:line="183" w:lineRule="exact"/>
              <w:rPr>
                <w:sz w:val="20"/>
                <w:szCs w:val="20"/>
                <w:color w:val="auto"/>
              </w:rPr>
            </w:pPr>
            <w:r>
              <w:rPr>
                <w:rFonts w:ascii="Arial" w:cs="Arial" w:eastAsia="Arial" w:hAnsi="Arial"/>
                <w:sz w:val="16"/>
                <w:szCs w:val="16"/>
                <w:b w:val="1"/>
                <w:bCs w:val="1"/>
                <w:color w:val="04568A"/>
              </w:rPr>
              <w:t>Class A</w:t>
            </w:r>
          </w:p>
        </w:tc>
        <w:tc>
          <w:tcPr>
            <w:tcW w:w="840" w:type="dxa"/>
            <w:vAlign w:val="bottom"/>
            <w:tcBorders>
              <w:bottom w:val="single" w:sz="8" w:color="04568A"/>
            </w:tcBorders>
          </w:tcPr>
          <w:p>
            <w:pPr>
              <w:spacing w:after="0"/>
              <w:rPr>
                <w:sz w:val="15"/>
                <w:szCs w:val="15"/>
                <w:color w:val="auto"/>
              </w:rPr>
            </w:pP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 w:type="dxa"/>
            <w:vAlign w:val="bottom"/>
            <w:tcBorders>
              <w:bottom w:val="single" w:sz="8" w:color="04568A"/>
            </w:tcBorders>
          </w:tcPr>
          <w:p>
            <w:pPr>
              <w:spacing w:after="0"/>
              <w:rPr>
                <w:sz w:val="15"/>
                <w:szCs w:val="15"/>
                <w:color w:val="auto"/>
              </w:rPr>
            </w:pPr>
          </w:p>
        </w:tc>
        <w:tc>
          <w:tcPr>
            <w:tcW w:w="2200" w:type="dxa"/>
            <w:vAlign w:val="bottom"/>
            <w:tcBorders>
              <w:bottom w:val="single" w:sz="8" w:color="04568A"/>
            </w:tcBorders>
            <w:gridSpan w:val="2"/>
          </w:tcPr>
          <w:p>
            <w:pPr>
              <w:ind w:left="800"/>
              <w:spacing w:after="0" w:line="183" w:lineRule="exact"/>
              <w:rPr>
                <w:sz w:val="20"/>
                <w:szCs w:val="20"/>
                <w:color w:val="auto"/>
              </w:rPr>
            </w:pPr>
            <w:r>
              <w:rPr>
                <w:rFonts w:ascii="Arial" w:cs="Arial" w:eastAsia="Arial" w:hAnsi="Arial"/>
                <w:sz w:val="16"/>
                <w:szCs w:val="16"/>
                <w:b w:val="1"/>
                <w:bCs w:val="1"/>
                <w:color w:val="04568A"/>
              </w:rPr>
              <w:t>Class B</w:t>
            </w:r>
          </w:p>
        </w:tc>
        <w:tc>
          <w:tcPr>
            <w:tcW w:w="260" w:type="dxa"/>
            <w:vAlign w:val="bottom"/>
            <w:gridSpan w:val="3"/>
          </w:tcPr>
          <w:p>
            <w:pPr>
              <w:spacing w:after="0"/>
              <w:rPr>
                <w:sz w:val="15"/>
                <w:szCs w:val="15"/>
                <w:color w:val="auto"/>
              </w:rPr>
            </w:pPr>
          </w:p>
        </w:tc>
        <w:tc>
          <w:tcPr>
            <w:tcW w:w="1180" w:type="dxa"/>
            <w:vAlign w:val="bottom"/>
            <w:tcBorders>
              <w:bottom w:val="single" w:sz="8" w:color="04568A"/>
            </w:tcBorders>
          </w:tcPr>
          <w:p>
            <w:pPr>
              <w:spacing w:after="0"/>
              <w:rPr>
                <w:sz w:val="15"/>
                <w:szCs w:val="15"/>
                <w:color w:val="auto"/>
              </w:rPr>
            </w:pPr>
          </w:p>
        </w:tc>
        <w:tc>
          <w:tcPr>
            <w:tcW w:w="120" w:type="dxa"/>
            <w:vAlign w:val="bottom"/>
          </w:tcPr>
          <w:p>
            <w:pPr>
              <w:spacing w:after="0"/>
              <w:rPr>
                <w:sz w:val="15"/>
                <w:szCs w:val="15"/>
                <w:color w:val="auto"/>
              </w:rPr>
            </w:pPr>
          </w:p>
        </w:tc>
        <w:tc>
          <w:tcPr>
            <w:tcW w:w="1140" w:type="dxa"/>
            <w:vAlign w:val="bottom"/>
            <w:tcBorders>
              <w:bottom w:val="single" w:sz="8" w:color="04568A"/>
            </w:tcBorders>
          </w:tcPr>
          <w:p>
            <w:pPr>
              <w:jc w:val="right"/>
              <w:ind w:right="59"/>
              <w:spacing w:after="0" w:line="183" w:lineRule="exact"/>
              <w:rPr>
                <w:sz w:val="20"/>
                <w:szCs w:val="20"/>
                <w:color w:val="auto"/>
              </w:rPr>
            </w:pPr>
            <w:r>
              <w:rPr>
                <w:rFonts w:ascii="Arial" w:cs="Arial" w:eastAsia="Arial" w:hAnsi="Arial"/>
                <w:sz w:val="16"/>
                <w:szCs w:val="16"/>
                <w:b w:val="1"/>
                <w:bCs w:val="1"/>
                <w:color w:val="04568A"/>
              </w:rPr>
              <w:t>All Common</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3"/>
        </w:trPr>
        <w:tc>
          <w:tcPr>
            <w:tcW w:w="3700" w:type="dxa"/>
            <w:vAlign w:val="bottom"/>
            <w:gridSpan w:val="2"/>
            <w:vMerge w:val="continue"/>
          </w:tcPr>
          <w:p>
            <w:pPr>
              <w:spacing w:after="0"/>
              <w:rPr>
                <w:sz w:val="19"/>
                <w:szCs w:val="19"/>
                <w:color w:val="auto"/>
              </w:rPr>
            </w:pPr>
          </w:p>
        </w:tc>
        <w:tc>
          <w:tcPr>
            <w:tcW w:w="140" w:type="dxa"/>
            <w:vAlign w:val="bottom"/>
          </w:tcPr>
          <w:p>
            <w:pPr>
              <w:spacing w:after="0"/>
              <w:rPr>
                <w:sz w:val="19"/>
                <w:szCs w:val="19"/>
                <w:color w:val="auto"/>
              </w:rPr>
            </w:pPr>
          </w:p>
        </w:tc>
        <w:tc>
          <w:tcPr>
            <w:tcW w:w="1320" w:type="dxa"/>
            <w:vAlign w:val="bottom"/>
          </w:tcPr>
          <w:p>
            <w:pPr>
              <w:jc w:val="right"/>
              <w:ind w:right="379"/>
              <w:spacing w:after="0" w:line="223" w:lineRule="exact"/>
              <w:rPr>
                <w:sz w:val="20"/>
                <w:szCs w:val="20"/>
                <w:color w:val="auto"/>
              </w:rPr>
            </w:pPr>
            <w:r>
              <w:rPr>
                <w:rFonts w:ascii="Arial" w:cs="Arial" w:eastAsia="Arial" w:hAnsi="Arial"/>
                <w:sz w:val="16"/>
                <w:szCs w:val="16"/>
                <w:b w:val="1"/>
                <w:bCs w:val="1"/>
                <w:color w:val="04568A"/>
              </w:rPr>
              <w:t>Shares</w:t>
            </w:r>
            <w:r>
              <w:rPr>
                <w:rFonts w:ascii="Arial" w:cs="Arial" w:eastAsia="Arial" w:hAnsi="Arial"/>
                <w:sz w:val="25"/>
                <w:szCs w:val="25"/>
                <w:b w:val="1"/>
                <w:bCs w:val="1"/>
                <w:color w:val="04568A"/>
                <w:vertAlign w:val="superscript"/>
              </w:rPr>
              <w:t>(2)</w:t>
            </w:r>
          </w:p>
        </w:tc>
        <w:tc>
          <w:tcPr>
            <w:tcW w:w="1160" w:type="dxa"/>
            <w:vAlign w:val="bottom"/>
            <w:gridSpan w:val="3"/>
          </w:tcPr>
          <w:p>
            <w:pPr>
              <w:jc w:val="right"/>
              <w:ind w:right="239"/>
              <w:spacing w:after="0"/>
              <w:rPr>
                <w:sz w:val="20"/>
                <w:szCs w:val="20"/>
                <w:color w:val="auto"/>
              </w:rPr>
            </w:pPr>
            <w:r>
              <w:rPr>
                <w:rFonts w:ascii="Arial" w:cs="Arial" w:eastAsia="Arial" w:hAnsi="Arial"/>
                <w:sz w:val="16"/>
                <w:szCs w:val="16"/>
                <w:b w:val="1"/>
                <w:bCs w:val="1"/>
                <w:color w:val="04568A"/>
              </w:rPr>
              <w:t>% of Class</w:t>
            </w:r>
          </w:p>
        </w:tc>
        <w:tc>
          <w:tcPr>
            <w:tcW w:w="20" w:type="dxa"/>
            <w:vAlign w:val="bottom"/>
          </w:tcPr>
          <w:p>
            <w:pPr>
              <w:spacing w:after="0"/>
              <w:rPr>
                <w:sz w:val="19"/>
                <w:szCs w:val="19"/>
                <w:color w:val="auto"/>
              </w:rPr>
            </w:pPr>
          </w:p>
        </w:tc>
        <w:tc>
          <w:tcPr>
            <w:tcW w:w="1180" w:type="dxa"/>
            <w:vAlign w:val="bottom"/>
          </w:tcPr>
          <w:p>
            <w:pPr>
              <w:jc w:val="right"/>
              <w:ind w:right="99"/>
              <w:spacing w:after="0"/>
              <w:rPr>
                <w:sz w:val="20"/>
                <w:szCs w:val="20"/>
                <w:color w:val="auto"/>
              </w:rPr>
            </w:pPr>
            <w:r>
              <w:rPr>
                <w:rFonts w:ascii="Arial" w:cs="Arial" w:eastAsia="Arial" w:hAnsi="Arial"/>
                <w:sz w:val="16"/>
                <w:szCs w:val="16"/>
                <w:b w:val="1"/>
                <w:bCs w:val="1"/>
                <w:color w:val="04568A"/>
              </w:rPr>
              <w:t>Shares</w:t>
            </w:r>
          </w:p>
        </w:tc>
        <w:tc>
          <w:tcPr>
            <w:tcW w:w="2580" w:type="dxa"/>
            <w:vAlign w:val="bottom"/>
            <w:gridSpan w:val="6"/>
          </w:tcPr>
          <w:p>
            <w:pPr>
              <w:ind w:left="200"/>
              <w:spacing w:after="0"/>
              <w:rPr>
                <w:sz w:val="20"/>
                <w:szCs w:val="20"/>
                <w:color w:val="auto"/>
              </w:rPr>
            </w:pPr>
            <w:r>
              <w:rPr>
                <w:rFonts w:ascii="Arial" w:cs="Arial" w:eastAsia="Arial" w:hAnsi="Arial"/>
                <w:sz w:val="16"/>
                <w:szCs w:val="16"/>
                <w:b w:val="1"/>
                <w:bCs w:val="1"/>
                <w:color w:val="04568A"/>
              </w:rPr>
              <w:t>% of Class</w:t>
            </w:r>
          </w:p>
        </w:tc>
        <w:tc>
          <w:tcPr>
            <w:tcW w:w="1160" w:type="dxa"/>
            <w:vAlign w:val="bottom"/>
            <w:gridSpan w:val="2"/>
          </w:tcPr>
          <w:p>
            <w:pPr>
              <w:jc w:val="right"/>
              <w:ind w:right="160"/>
              <w:spacing w:after="0"/>
              <w:rPr>
                <w:sz w:val="20"/>
                <w:szCs w:val="20"/>
                <w:color w:val="auto"/>
              </w:rPr>
            </w:pPr>
            <w:r>
              <w:rPr>
                <w:rFonts w:ascii="Arial" w:cs="Arial" w:eastAsia="Arial" w:hAnsi="Arial"/>
                <w:sz w:val="16"/>
                <w:szCs w:val="16"/>
                <w:b w:val="1"/>
                <w:bCs w:val="1"/>
                <w:color w:val="04568A"/>
              </w:rPr>
              <w:t>% of Class</w:t>
            </w:r>
          </w:p>
        </w:tc>
        <w:tc>
          <w:tcPr>
            <w:tcW w:w="0" w:type="dxa"/>
            <w:vAlign w:val="bottom"/>
          </w:tcPr>
          <w:p>
            <w:pPr>
              <w:spacing w:after="0"/>
              <w:rPr>
                <w:sz w:val="1"/>
                <w:szCs w:val="1"/>
                <w:color w:val="auto"/>
              </w:rPr>
            </w:pPr>
          </w:p>
        </w:tc>
      </w:tr>
      <w:tr>
        <w:trPr>
          <w:trHeight w:val="223"/>
        </w:trPr>
        <w:tc>
          <w:tcPr>
            <w:tcW w:w="3700" w:type="dxa"/>
            <w:vAlign w:val="bottom"/>
            <w:tcBorders>
              <w:top w:val="single" w:sz="8" w:color="04568A"/>
            </w:tcBorders>
            <w:gridSpan w:val="2"/>
          </w:tcPr>
          <w:p>
            <w:pPr>
              <w:ind w:left="60"/>
              <w:spacing w:after="0" w:line="223" w:lineRule="exact"/>
              <w:rPr>
                <w:sz w:val="20"/>
                <w:szCs w:val="20"/>
                <w:color w:val="auto"/>
              </w:rPr>
            </w:pPr>
            <w:r>
              <w:rPr>
                <w:rFonts w:ascii="Arial" w:cs="Arial" w:eastAsia="Arial" w:hAnsi="Arial"/>
                <w:sz w:val="16"/>
                <w:szCs w:val="16"/>
                <w:color w:val="auto"/>
              </w:rPr>
              <w:t>Tushar Patel</w:t>
            </w:r>
            <w:r>
              <w:rPr>
                <w:rFonts w:ascii="Arial" w:cs="Arial" w:eastAsia="Arial" w:hAnsi="Arial"/>
                <w:sz w:val="25"/>
                <w:szCs w:val="25"/>
                <w:color w:val="auto"/>
                <w:vertAlign w:val="superscript"/>
              </w:rPr>
              <w:t>(3)</w:t>
            </w:r>
          </w:p>
        </w:tc>
        <w:tc>
          <w:tcPr>
            <w:tcW w:w="140" w:type="dxa"/>
            <w:vAlign w:val="bottom"/>
            <w:tcBorders>
              <w:top w:val="single" w:sz="8" w:color="04568A"/>
            </w:tcBorders>
          </w:tcPr>
          <w:p>
            <w:pPr>
              <w:spacing w:after="0"/>
              <w:rPr>
                <w:sz w:val="19"/>
                <w:szCs w:val="19"/>
                <w:color w:val="auto"/>
              </w:rPr>
            </w:pPr>
          </w:p>
        </w:tc>
        <w:tc>
          <w:tcPr>
            <w:tcW w:w="1320" w:type="dxa"/>
            <w:vAlign w:val="bottom"/>
            <w:tcBorders>
              <w:top w:val="single" w:sz="8" w:color="04568A"/>
            </w:tcBorders>
          </w:tcPr>
          <w:p>
            <w:pPr>
              <w:jc w:val="right"/>
              <w:ind w:right="379"/>
              <w:spacing w:after="0"/>
              <w:rPr>
                <w:sz w:val="20"/>
                <w:szCs w:val="20"/>
                <w:color w:val="auto"/>
              </w:rPr>
            </w:pPr>
            <w:r>
              <w:rPr>
                <w:rFonts w:ascii="Arial" w:cs="Arial" w:eastAsia="Arial" w:hAnsi="Arial"/>
                <w:sz w:val="16"/>
                <w:szCs w:val="16"/>
                <w:color w:val="auto"/>
              </w:rPr>
              <w:t>—</w:t>
            </w:r>
          </w:p>
        </w:tc>
        <w:tc>
          <w:tcPr>
            <w:tcW w:w="1160" w:type="dxa"/>
            <w:vAlign w:val="bottom"/>
            <w:tcBorders>
              <w:top w:val="single" w:sz="8" w:color="04568A"/>
            </w:tcBorders>
            <w:gridSpan w:val="3"/>
          </w:tcPr>
          <w:p>
            <w:pPr>
              <w:jc w:val="right"/>
              <w:ind w:right="239"/>
              <w:spacing w:after="0"/>
              <w:rPr>
                <w:sz w:val="20"/>
                <w:szCs w:val="20"/>
                <w:color w:val="auto"/>
              </w:rPr>
            </w:pPr>
            <w:r>
              <w:rPr>
                <w:rFonts w:ascii="Arial" w:cs="Arial" w:eastAsia="Arial" w:hAnsi="Arial"/>
                <w:sz w:val="16"/>
                <w:szCs w:val="16"/>
                <w:color w:val="auto"/>
              </w:rPr>
              <w:t>—</w:t>
            </w:r>
          </w:p>
        </w:tc>
        <w:tc>
          <w:tcPr>
            <w:tcW w:w="1200" w:type="dxa"/>
            <w:vAlign w:val="bottom"/>
            <w:tcBorders>
              <w:top w:val="single" w:sz="8" w:color="04568A"/>
            </w:tcBorders>
            <w:gridSpan w:val="2"/>
          </w:tcPr>
          <w:p>
            <w:pPr>
              <w:jc w:val="right"/>
              <w:ind w:right="99"/>
              <w:spacing w:after="0"/>
              <w:rPr>
                <w:sz w:val="20"/>
                <w:szCs w:val="20"/>
                <w:color w:val="auto"/>
              </w:rPr>
            </w:pPr>
            <w:r>
              <w:rPr>
                <w:rFonts w:ascii="Arial" w:cs="Arial" w:eastAsia="Arial" w:hAnsi="Arial"/>
                <w:sz w:val="16"/>
                <w:szCs w:val="16"/>
                <w:color w:val="auto"/>
              </w:rPr>
              <w:t>53,578,209</w:t>
            </w:r>
          </w:p>
        </w:tc>
        <w:tc>
          <w:tcPr>
            <w:tcW w:w="1240" w:type="dxa"/>
            <w:vAlign w:val="bottom"/>
            <w:tcBorders>
              <w:top w:val="single" w:sz="8" w:color="04568A"/>
            </w:tcBorders>
            <w:gridSpan w:val="3"/>
          </w:tcPr>
          <w:p>
            <w:pPr>
              <w:jc w:val="right"/>
              <w:ind w:right="80"/>
              <w:spacing w:after="0"/>
              <w:rPr>
                <w:sz w:val="20"/>
                <w:szCs w:val="20"/>
                <w:color w:val="auto"/>
              </w:rPr>
            </w:pPr>
            <w:r>
              <w:rPr>
                <w:rFonts w:ascii="Arial" w:cs="Arial" w:eastAsia="Arial" w:hAnsi="Arial"/>
                <w:sz w:val="16"/>
                <w:szCs w:val="16"/>
                <w:color w:val="auto"/>
              </w:rPr>
              <w:t>35.22%</w:t>
            </w:r>
          </w:p>
        </w:tc>
        <w:tc>
          <w:tcPr>
            <w:tcW w:w="40" w:type="dxa"/>
            <w:vAlign w:val="bottom"/>
            <w:tcBorders>
              <w:top w:val="single" w:sz="8" w:color="04568A"/>
            </w:tcBorders>
          </w:tcPr>
          <w:p>
            <w:pPr>
              <w:spacing w:after="0"/>
              <w:rPr>
                <w:sz w:val="19"/>
                <w:szCs w:val="19"/>
                <w:color w:val="auto"/>
              </w:rPr>
            </w:pPr>
          </w:p>
        </w:tc>
        <w:tc>
          <w:tcPr>
            <w:tcW w:w="1180" w:type="dxa"/>
            <w:vAlign w:val="bottom"/>
            <w:tcBorders>
              <w:top w:val="single" w:sz="8" w:color="04568A"/>
            </w:tcBorders>
          </w:tcPr>
          <w:p>
            <w:pPr>
              <w:spacing w:after="0"/>
              <w:rPr>
                <w:sz w:val="19"/>
                <w:szCs w:val="19"/>
                <w:color w:val="auto"/>
              </w:rPr>
            </w:pPr>
          </w:p>
        </w:tc>
        <w:tc>
          <w:tcPr>
            <w:tcW w:w="120" w:type="dxa"/>
            <w:vAlign w:val="bottom"/>
            <w:tcBorders>
              <w:top w:val="single" w:sz="8" w:color="04568A"/>
            </w:tcBorders>
          </w:tcPr>
          <w:p>
            <w:pPr>
              <w:spacing w:after="0"/>
              <w:rPr>
                <w:sz w:val="19"/>
                <w:szCs w:val="19"/>
                <w:color w:val="auto"/>
              </w:rPr>
            </w:pPr>
          </w:p>
        </w:tc>
        <w:tc>
          <w:tcPr>
            <w:tcW w:w="1140" w:type="dxa"/>
            <w:vAlign w:val="bottom"/>
            <w:tcBorders>
              <w:top w:val="single" w:sz="8" w:color="04568A"/>
            </w:tcBorders>
          </w:tcPr>
          <w:p>
            <w:pPr>
              <w:jc w:val="right"/>
              <w:spacing w:after="0"/>
              <w:rPr>
                <w:sz w:val="20"/>
                <w:szCs w:val="20"/>
                <w:color w:val="auto"/>
              </w:rPr>
            </w:pPr>
            <w:r>
              <w:rPr>
                <w:rFonts w:ascii="Arial" w:cs="Arial" w:eastAsia="Arial" w:hAnsi="Arial"/>
                <w:sz w:val="16"/>
                <w:szCs w:val="16"/>
                <w:color w:val="auto"/>
              </w:rPr>
              <w:t>17.70%</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700" w:type="dxa"/>
            <w:vAlign w:val="bottom"/>
            <w:gridSpan w:val="2"/>
            <w:shd w:val="clear" w:color="auto" w:fill="E4E9F2"/>
          </w:tcPr>
          <w:p>
            <w:pPr>
              <w:ind w:left="60"/>
              <w:spacing w:after="0" w:line="230" w:lineRule="exact"/>
              <w:rPr>
                <w:sz w:val="20"/>
                <w:szCs w:val="20"/>
                <w:color w:val="auto"/>
              </w:rPr>
            </w:pPr>
            <w:r>
              <w:rPr>
                <w:rFonts w:ascii="Arial" w:cs="Arial" w:eastAsia="Arial" w:hAnsi="Arial"/>
                <w:sz w:val="16"/>
                <w:szCs w:val="16"/>
                <w:color w:val="auto"/>
              </w:rPr>
              <w:t>Gautam Patel</w:t>
            </w:r>
            <w:r>
              <w:rPr>
                <w:rFonts w:ascii="Arial" w:cs="Arial" w:eastAsia="Arial" w:hAnsi="Arial"/>
                <w:sz w:val="26"/>
                <w:szCs w:val="26"/>
                <w:color w:val="auto"/>
                <w:vertAlign w:val="superscript"/>
              </w:rPr>
              <w:t>(4)</w:t>
            </w:r>
          </w:p>
        </w:tc>
        <w:tc>
          <w:tcPr>
            <w:tcW w:w="1460" w:type="dxa"/>
            <w:vAlign w:val="bottom"/>
            <w:gridSpan w:val="2"/>
            <w:shd w:val="clear" w:color="auto" w:fill="E4E9F2"/>
          </w:tcPr>
          <w:p>
            <w:pPr>
              <w:jc w:val="right"/>
              <w:ind w:right="379"/>
              <w:spacing w:after="0"/>
              <w:rPr>
                <w:sz w:val="20"/>
                <w:szCs w:val="20"/>
                <w:color w:val="auto"/>
              </w:rPr>
            </w:pPr>
            <w:r>
              <w:rPr>
                <w:rFonts w:ascii="Arial" w:cs="Arial" w:eastAsia="Arial" w:hAnsi="Arial"/>
                <w:sz w:val="16"/>
                <w:szCs w:val="16"/>
                <w:color w:val="auto"/>
              </w:rPr>
              <w:t>13,234,644</w:t>
            </w:r>
          </w:p>
        </w:tc>
        <w:tc>
          <w:tcPr>
            <w:tcW w:w="92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8.79%</w:t>
            </w:r>
          </w:p>
        </w:tc>
        <w:tc>
          <w:tcPr>
            <w:tcW w:w="240" w:type="dxa"/>
            <w:vAlign w:val="bottom"/>
            <w:shd w:val="clear" w:color="auto" w:fill="E4E9F2"/>
          </w:tcPr>
          <w:p>
            <w:pPr>
              <w:spacing w:after="0"/>
              <w:rPr>
                <w:sz w:val="19"/>
                <w:szCs w:val="19"/>
                <w:color w:val="auto"/>
              </w:rPr>
            </w:pPr>
          </w:p>
        </w:tc>
        <w:tc>
          <w:tcPr>
            <w:tcW w:w="1200" w:type="dxa"/>
            <w:vAlign w:val="bottom"/>
            <w:gridSpan w:val="2"/>
            <w:shd w:val="clear" w:color="auto" w:fill="E4E9F2"/>
          </w:tcPr>
          <w:p>
            <w:pPr>
              <w:jc w:val="right"/>
              <w:ind w:right="99"/>
              <w:spacing w:after="0"/>
              <w:rPr>
                <w:sz w:val="20"/>
                <w:szCs w:val="20"/>
                <w:color w:val="auto"/>
              </w:rPr>
            </w:pPr>
            <w:r>
              <w:rPr>
                <w:rFonts w:ascii="Arial" w:cs="Arial" w:eastAsia="Arial" w:hAnsi="Arial"/>
                <w:sz w:val="16"/>
                <w:szCs w:val="16"/>
                <w:color w:val="auto"/>
              </w:rPr>
              <w:t>17,497,336</w:t>
            </w:r>
          </w:p>
        </w:tc>
        <w:tc>
          <w:tcPr>
            <w:tcW w:w="1240" w:type="dxa"/>
            <w:vAlign w:val="bottom"/>
            <w:gridSpan w:val="3"/>
            <w:shd w:val="clear" w:color="auto" w:fill="E4E9F2"/>
          </w:tcPr>
          <w:p>
            <w:pPr>
              <w:jc w:val="right"/>
              <w:ind w:right="80"/>
              <w:spacing w:after="0"/>
              <w:rPr>
                <w:sz w:val="20"/>
                <w:szCs w:val="20"/>
                <w:color w:val="auto"/>
              </w:rPr>
            </w:pPr>
            <w:r>
              <w:rPr>
                <w:rFonts w:ascii="Arial" w:cs="Arial" w:eastAsia="Arial" w:hAnsi="Arial"/>
                <w:sz w:val="16"/>
                <w:szCs w:val="16"/>
                <w:color w:val="auto"/>
              </w:rPr>
              <w:t>11.50%</w:t>
            </w:r>
          </w:p>
        </w:tc>
        <w:tc>
          <w:tcPr>
            <w:tcW w:w="40" w:type="dxa"/>
            <w:vAlign w:val="bottom"/>
            <w:shd w:val="clear" w:color="auto" w:fill="E4E9F2"/>
          </w:tcPr>
          <w:p>
            <w:pPr>
              <w:spacing w:after="0"/>
              <w:rPr>
                <w:sz w:val="19"/>
                <w:szCs w:val="19"/>
                <w:color w:val="auto"/>
              </w:rPr>
            </w:pPr>
          </w:p>
        </w:tc>
        <w:tc>
          <w:tcPr>
            <w:tcW w:w="1180" w:type="dxa"/>
            <w:vAlign w:val="bottom"/>
            <w:shd w:val="clear" w:color="auto" w:fill="E4E9F2"/>
          </w:tcPr>
          <w:p>
            <w:pPr>
              <w:spacing w:after="0"/>
              <w:rPr>
                <w:sz w:val="19"/>
                <w:szCs w:val="19"/>
                <w:color w:val="auto"/>
              </w:rPr>
            </w:pPr>
          </w:p>
        </w:tc>
        <w:tc>
          <w:tcPr>
            <w:tcW w:w="120" w:type="dxa"/>
            <w:vAlign w:val="bottom"/>
            <w:shd w:val="clear" w:color="auto" w:fill="E4E9F2"/>
          </w:tcPr>
          <w:p>
            <w:pPr>
              <w:spacing w:after="0"/>
              <w:rPr>
                <w:sz w:val="19"/>
                <w:szCs w:val="19"/>
                <w:color w:val="auto"/>
              </w:rPr>
            </w:pPr>
          </w:p>
        </w:tc>
        <w:tc>
          <w:tcPr>
            <w:tcW w:w="1140" w:type="dxa"/>
            <w:vAlign w:val="bottom"/>
            <w:shd w:val="clear" w:color="auto" w:fill="E4E9F2"/>
          </w:tcPr>
          <w:p>
            <w:pPr>
              <w:jc w:val="right"/>
              <w:spacing w:after="0"/>
              <w:rPr>
                <w:sz w:val="20"/>
                <w:szCs w:val="20"/>
                <w:color w:val="auto"/>
              </w:rPr>
            </w:pPr>
            <w:r>
              <w:rPr>
                <w:rFonts w:ascii="Arial" w:cs="Arial" w:eastAsia="Arial" w:hAnsi="Arial"/>
                <w:sz w:val="16"/>
                <w:szCs w:val="16"/>
                <w:color w:val="auto"/>
              </w:rPr>
              <w:t>10.15%</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700" w:type="dxa"/>
            <w:vAlign w:val="bottom"/>
            <w:gridSpan w:val="2"/>
          </w:tcPr>
          <w:p>
            <w:pPr>
              <w:ind w:left="60"/>
              <w:spacing w:after="0" w:line="230" w:lineRule="exact"/>
              <w:rPr>
                <w:sz w:val="20"/>
                <w:szCs w:val="20"/>
                <w:color w:val="auto"/>
              </w:rPr>
            </w:pPr>
            <w:r>
              <w:rPr>
                <w:rFonts w:ascii="Arial" w:cs="Arial" w:eastAsia="Arial" w:hAnsi="Arial"/>
                <w:sz w:val="16"/>
                <w:szCs w:val="16"/>
                <w:color w:val="auto"/>
              </w:rPr>
              <w:t>Dipan Patel</w:t>
            </w:r>
            <w:r>
              <w:rPr>
                <w:rFonts w:ascii="Arial" w:cs="Arial" w:eastAsia="Arial" w:hAnsi="Arial"/>
                <w:sz w:val="26"/>
                <w:szCs w:val="26"/>
                <w:color w:val="auto"/>
                <w:vertAlign w:val="superscript"/>
              </w:rPr>
              <w:t>(5)</w:t>
            </w:r>
          </w:p>
        </w:tc>
        <w:tc>
          <w:tcPr>
            <w:tcW w:w="140" w:type="dxa"/>
            <w:vAlign w:val="bottom"/>
          </w:tcPr>
          <w:p>
            <w:pPr>
              <w:spacing w:after="0"/>
              <w:rPr>
                <w:sz w:val="19"/>
                <w:szCs w:val="19"/>
                <w:color w:val="auto"/>
              </w:rPr>
            </w:pPr>
          </w:p>
        </w:tc>
        <w:tc>
          <w:tcPr>
            <w:tcW w:w="1320" w:type="dxa"/>
            <w:vAlign w:val="bottom"/>
          </w:tcPr>
          <w:p>
            <w:pPr>
              <w:jc w:val="right"/>
              <w:ind w:right="379"/>
              <w:spacing w:after="0"/>
              <w:rPr>
                <w:sz w:val="20"/>
                <w:szCs w:val="20"/>
                <w:color w:val="auto"/>
              </w:rPr>
            </w:pPr>
            <w:r>
              <w:rPr>
                <w:rFonts w:ascii="Arial" w:cs="Arial" w:eastAsia="Arial" w:hAnsi="Arial"/>
                <w:sz w:val="16"/>
                <w:szCs w:val="16"/>
                <w:color w:val="auto"/>
              </w:rPr>
              <w:t>—</w:t>
            </w:r>
          </w:p>
        </w:tc>
        <w:tc>
          <w:tcPr>
            <w:tcW w:w="1160" w:type="dxa"/>
            <w:vAlign w:val="bottom"/>
            <w:gridSpan w:val="3"/>
          </w:tcPr>
          <w:p>
            <w:pPr>
              <w:jc w:val="right"/>
              <w:ind w:right="239"/>
              <w:spacing w:after="0"/>
              <w:rPr>
                <w:sz w:val="20"/>
                <w:szCs w:val="20"/>
                <w:color w:val="auto"/>
              </w:rPr>
            </w:pPr>
            <w:r>
              <w:rPr>
                <w:rFonts w:ascii="Arial" w:cs="Arial" w:eastAsia="Arial" w:hAnsi="Arial"/>
                <w:sz w:val="16"/>
                <w:szCs w:val="16"/>
                <w:color w:val="auto"/>
              </w:rPr>
              <w:t>—</w:t>
            </w:r>
          </w:p>
        </w:tc>
        <w:tc>
          <w:tcPr>
            <w:tcW w:w="1200" w:type="dxa"/>
            <w:vAlign w:val="bottom"/>
            <w:gridSpan w:val="2"/>
          </w:tcPr>
          <w:p>
            <w:pPr>
              <w:jc w:val="right"/>
              <w:ind w:right="99"/>
              <w:spacing w:after="0"/>
              <w:rPr>
                <w:sz w:val="20"/>
                <w:szCs w:val="20"/>
                <w:color w:val="auto"/>
              </w:rPr>
            </w:pPr>
            <w:r>
              <w:rPr>
                <w:rFonts w:ascii="Arial" w:cs="Arial" w:eastAsia="Arial" w:hAnsi="Arial"/>
                <w:sz w:val="16"/>
                <w:szCs w:val="16"/>
                <w:color w:val="auto"/>
              </w:rPr>
              <w:t>26,905,073</w:t>
            </w:r>
          </w:p>
        </w:tc>
        <w:tc>
          <w:tcPr>
            <w:tcW w:w="1240" w:type="dxa"/>
            <w:vAlign w:val="bottom"/>
            <w:gridSpan w:val="3"/>
          </w:tcPr>
          <w:p>
            <w:pPr>
              <w:jc w:val="right"/>
              <w:ind w:right="80"/>
              <w:spacing w:after="0"/>
              <w:rPr>
                <w:sz w:val="20"/>
                <w:szCs w:val="20"/>
                <w:color w:val="auto"/>
              </w:rPr>
            </w:pPr>
            <w:r>
              <w:rPr>
                <w:rFonts w:ascii="Arial" w:cs="Arial" w:eastAsia="Arial" w:hAnsi="Arial"/>
                <w:sz w:val="16"/>
                <w:szCs w:val="16"/>
                <w:color w:val="auto"/>
              </w:rPr>
              <w:t>17.69%</w:t>
            </w:r>
          </w:p>
        </w:tc>
        <w:tc>
          <w:tcPr>
            <w:tcW w:w="4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6"/>
                <w:szCs w:val="16"/>
                <w:color w:val="auto"/>
              </w:rPr>
              <w:t>8.89%</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700" w:type="dxa"/>
            <w:vAlign w:val="bottom"/>
            <w:gridSpan w:val="2"/>
            <w:shd w:val="clear" w:color="auto" w:fill="E4E9F2"/>
          </w:tcPr>
          <w:p>
            <w:pPr>
              <w:ind w:left="60"/>
              <w:spacing w:after="0" w:line="230" w:lineRule="exact"/>
              <w:rPr>
                <w:sz w:val="20"/>
                <w:szCs w:val="20"/>
                <w:color w:val="auto"/>
              </w:rPr>
            </w:pPr>
            <w:r>
              <w:rPr>
                <w:rFonts w:ascii="Arial" w:cs="Arial" w:eastAsia="Arial" w:hAnsi="Arial"/>
                <w:sz w:val="16"/>
                <w:szCs w:val="16"/>
                <w:color w:val="auto"/>
              </w:rPr>
              <w:t>Chintu Patel</w:t>
            </w:r>
            <w:r>
              <w:rPr>
                <w:rFonts w:ascii="Arial" w:cs="Arial" w:eastAsia="Arial" w:hAnsi="Arial"/>
                <w:sz w:val="26"/>
                <w:szCs w:val="26"/>
                <w:color w:val="auto"/>
                <w:vertAlign w:val="superscript"/>
              </w:rPr>
              <w:t>(6)</w:t>
            </w:r>
          </w:p>
        </w:tc>
        <w:tc>
          <w:tcPr>
            <w:tcW w:w="1460" w:type="dxa"/>
            <w:vAlign w:val="bottom"/>
            <w:gridSpan w:val="2"/>
            <w:shd w:val="clear" w:color="auto" w:fill="E4E9F2"/>
          </w:tcPr>
          <w:p>
            <w:pPr>
              <w:jc w:val="right"/>
              <w:ind w:right="379"/>
              <w:spacing w:after="0"/>
              <w:rPr>
                <w:sz w:val="20"/>
                <w:szCs w:val="20"/>
                <w:color w:val="auto"/>
              </w:rPr>
            </w:pPr>
            <w:r>
              <w:rPr>
                <w:rFonts w:ascii="Arial" w:cs="Arial" w:eastAsia="Arial" w:hAnsi="Arial"/>
                <w:sz w:val="16"/>
                <w:szCs w:val="16"/>
                <w:color w:val="auto"/>
              </w:rPr>
              <w:t>565,587</w:t>
            </w:r>
          </w:p>
        </w:tc>
        <w:tc>
          <w:tcPr>
            <w:tcW w:w="920" w:type="dxa"/>
            <w:vAlign w:val="bottom"/>
            <w:gridSpan w:val="2"/>
            <w:shd w:val="clear" w:color="auto" w:fill="E4E9F2"/>
          </w:tcPr>
          <w:p>
            <w:pPr>
              <w:jc w:val="right"/>
              <w:ind w:right="80"/>
              <w:spacing w:after="0"/>
              <w:rPr>
                <w:sz w:val="20"/>
                <w:szCs w:val="20"/>
                <w:color w:val="auto"/>
              </w:rPr>
            </w:pPr>
            <w:r>
              <w:rPr>
                <w:rFonts w:ascii="Arial" w:cs="Arial" w:eastAsia="Arial" w:hAnsi="Arial"/>
                <w:sz w:val="16"/>
                <w:szCs w:val="16"/>
                <w:color w:val="auto"/>
              </w:rPr>
              <w:t>*</w:t>
            </w:r>
          </w:p>
        </w:tc>
        <w:tc>
          <w:tcPr>
            <w:tcW w:w="240" w:type="dxa"/>
            <w:vAlign w:val="bottom"/>
            <w:shd w:val="clear" w:color="auto" w:fill="E4E9F2"/>
          </w:tcPr>
          <w:p>
            <w:pPr>
              <w:spacing w:after="0"/>
              <w:rPr>
                <w:sz w:val="19"/>
                <w:szCs w:val="19"/>
                <w:color w:val="auto"/>
              </w:rPr>
            </w:pPr>
          </w:p>
        </w:tc>
        <w:tc>
          <w:tcPr>
            <w:tcW w:w="1200" w:type="dxa"/>
            <w:vAlign w:val="bottom"/>
            <w:gridSpan w:val="2"/>
            <w:shd w:val="clear" w:color="auto" w:fill="E4E9F2"/>
          </w:tcPr>
          <w:p>
            <w:pPr>
              <w:jc w:val="right"/>
              <w:ind w:right="99"/>
              <w:spacing w:after="0"/>
              <w:rPr>
                <w:sz w:val="20"/>
                <w:szCs w:val="20"/>
                <w:color w:val="auto"/>
              </w:rPr>
            </w:pPr>
            <w:r>
              <w:rPr>
                <w:rFonts w:ascii="Arial" w:cs="Arial" w:eastAsia="Arial" w:hAnsi="Arial"/>
                <w:sz w:val="16"/>
                <w:szCs w:val="16"/>
                <w:color w:val="auto"/>
              </w:rPr>
              <w:t>24,753,252</w:t>
            </w:r>
          </w:p>
        </w:tc>
        <w:tc>
          <w:tcPr>
            <w:tcW w:w="1240" w:type="dxa"/>
            <w:vAlign w:val="bottom"/>
            <w:gridSpan w:val="3"/>
            <w:shd w:val="clear" w:color="auto" w:fill="E4E9F2"/>
          </w:tcPr>
          <w:p>
            <w:pPr>
              <w:jc w:val="right"/>
              <w:ind w:right="80"/>
              <w:spacing w:after="0"/>
              <w:rPr>
                <w:sz w:val="20"/>
                <w:szCs w:val="20"/>
                <w:color w:val="auto"/>
              </w:rPr>
            </w:pPr>
            <w:r>
              <w:rPr>
                <w:rFonts w:ascii="Arial" w:cs="Arial" w:eastAsia="Arial" w:hAnsi="Arial"/>
                <w:sz w:val="16"/>
                <w:szCs w:val="16"/>
                <w:color w:val="auto"/>
              </w:rPr>
              <w:t>16.27%</w:t>
            </w:r>
          </w:p>
        </w:tc>
        <w:tc>
          <w:tcPr>
            <w:tcW w:w="40" w:type="dxa"/>
            <w:vAlign w:val="bottom"/>
            <w:shd w:val="clear" w:color="auto" w:fill="E4E9F2"/>
          </w:tcPr>
          <w:p>
            <w:pPr>
              <w:spacing w:after="0"/>
              <w:rPr>
                <w:sz w:val="19"/>
                <w:szCs w:val="19"/>
                <w:color w:val="auto"/>
              </w:rPr>
            </w:pPr>
          </w:p>
        </w:tc>
        <w:tc>
          <w:tcPr>
            <w:tcW w:w="1180" w:type="dxa"/>
            <w:vAlign w:val="bottom"/>
            <w:shd w:val="clear" w:color="auto" w:fill="E4E9F2"/>
          </w:tcPr>
          <w:p>
            <w:pPr>
              <w:spacing w:after="0"/>
              <w:rPr>
                <w:sz w:val="19"/>
                <w:szCs w:val="19"/>
                <w:color w:val="auto"/>
              </w:rPr>
            </w:pPr>
          </w:p>
        </w:tc>
        <w:tc>
          <w:tcPr>
            <w:tcW w:w="120" w:type="dxa"/>
            <w:vAlign w:val="bottom"/>
            <w:shd w:val="clear" w:color="auto" w:fill="E4E9F2"/>
          </w:tcPr>
          <w:p>
            <w:pPr>
              <w:spacing w:after="0"/>
              <w:rPr>
                <w:sz w:val="19"/>
                <w:szCs w:val="19"/>
                <w:color w:val="auto"/>
              </w:rPr>
            </w:pPr>
          </w:p>
        </w:tc>
        <w:tc>
          <w:tcPr>
            <w:tcW w:w="1140" w:type="dxa"/>
            <w:vAlign w:val="bottom"/>
            <w:shd w:val="clear" w:color="auto" w:fill="E4E9F2"/>
          </w:tcPr>
          <w:p>
            <w:pPr>
              <w:jc w:val="right"/>
              <w:spacing w:after="0"/>
              <w:rPr>
                <w:sz w:val="20"/>
                <w:szCs w:val="20"/>
                <w:color w:val="auto"/>
              </w:rPr>
            </w:pPr>
            <w:r>
              <w:rPr>
                <w:rFonts w:ascii="Arial" w:cs="Arial" w:eastAsia="Arial" w:hAnsi="Arial"/>
                <w:sz w:val="16"/>
                <w:szCs w:val="16"/>
                <w:color w:val="auto"/>
              </w:rPr>
              <w:t>8.36%</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700" w:type="dxa"/>
            <w:vAlign w:val="bottom"/>
            <w:gridSpan w:val="2"/>
          </w:tcPr>
          <w:p>
            <w:pPr>
              <w:ind w:left="60"/>
              <w:spacing w:after="0" w:line="230" w:lineRule="exact"/>
              <w:rPr>
                <w:sz w:val="20"/>
                <w:szCs w:val="20"/>
                <w:color w:val="auto"/>
              </w:rPr>
            </w:pPr>
            <w:r>
              <w:rPr>
                <w:rFonts w:ascii="Arial" w:cs="Arial" w:eastAsia="Arial" w:hAnsi="Arial"/>
                <w:sz w:val="16"/>
                <w:szCs w:val="16"/>
                <w:color w:val="auto"/>
              </w:rPr>
              <w:t>Chirag Patel</w:t>
            </w:r>
            <w:r>
              <w:rPr>
                <w:rFonts w:ascii="Arial" w:cs="Arial" w:eastAsia="Arial" w:hAnsi="Arial"/>
                <w:sz w:val="26"/>
                <w:szCs w:val="26"/>
                <w:color w:val="auto"/>
                <w:vertAlign w:val="superscript"/>
              </w:rPr>
              <w:t>(7)</w:t>
            </w:r>
          </w:p>
        </w:tc>
        <w:tc>
          <w:tcPr>
            <w:tcW w:w="1460" w:type="dxa"/>
            <w:vAlign w:val="bottom"/>
            <w:gridSpan w:val="2"/>
          </w:tcPr>
          <w:p>
            <w:pPr>
              <w:jc w:val="right"/>
              <w:ind w:right="379"/>
              <w:spacing w:after="0"/>
              <w:rPr>
                <w:sz w:val="20"/>
                <w:szCs w:val="20"/>
                <w:color w:val="auto"/>
              </w:rPr>
            </w:pPr>
            <w:r>
              <w:rPr>
                <w:rFonts w:ascii="Arial" w:cs="Arial" w:eastAsia="Arial" w:hAnsi="Arial"/>
                <w:sz w:val="16"/>
                <w:szCs w:val="16"/>
                <w:color w:val="auto"/>
              </w:rPr>
              <w:t>565,587</w:t>
            </w:r>
          </w:p>
        </w:tc>
        <w:tc>
          <w:tcPr>
            <w:tcW w:w="92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240" w:type="dxa"/>
            <w:vAlign w:val="bottom"/>
          </w:tcPr>
          <w:p>
            <w:pPr>
              <w:spacing w:after="0"/>
              <w:rPr>
                <w:sz w:val="19"/>
                <w:szCs w:val="19"/>
                <w:color w:val="auto"/>
              </w:rPr>
            </w:pPr>
          </w:p>
        </w:tc>
        <w:tc>
          <w:tcPr>
            <w:tcW w:w="1200" w:type="dxa"/>
            <w:vAlign w:val="bottom"/>
            <w:gridSpan w:val="2"/>
          </w:tcPr>
          <w:p>
            <w:pPr>
              <w:jc w:val="right"/>
              <w:ind w:right="99"/>
              <w:spacing w:after="0"/>
              <w:rPr>
                <w:sz w:val="20"/>
                <w:szCs w:val="20"/>
                <w:color w:val="auto"/>
              </w:rPr>
            </w:pPr>
            <w:r>
              <w:rPr>
                <w:rFonts w:ascii="Arial" w:cs="Arial" w:eastAsia="Arial" w:hAnsi="Arial"/>
                <w:sz w:val="16"/>
                <w:szCs w:val="16"/>
                <w:color w:val="auto"/>
              </w:rPr>
              <w:t>21,269,420</w:t>
            </w:r>
          </w:p>
        </w:tc>
        <w:tc>
          <w:tcPr>
            <w:tcW w:w="1240" w:type="dxa"/>
            <w:vAlign w:val="bottom"/>
            <w:gridSpan w:val="3"/>
          </w:tcPr>
          <w:p>
            <w:pPr>
              <w:jc w:val="right"/>
              <w:ind w:right="80"/>
              <w:spacing w:after="0"/>
              <w:rPr>
                <w:sz w:val="20"/>
                <w:szCs w:val="20"/>
                <w:color w:val="auto"/>
              </w:rPr>
            </w:pPr>
            <w:r>
              <w:rPr>
                <w:rFonts w:ascii="Arial" w:cs="Arial" w:eastAsia="Arial" w:hAnsi="Arial"/>
                <w:sz w:val="16"/>
                <w:szCs w:val="16"/>
                <w:color w:val="auto"/>
              </w:rPr>
              <w:t>13.98%</w:t>
            </w:r>
          </w:p>
        </w:tc>
        <w:tc>
          <w:tcPr>
            <w:tcW w:w="4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6"/>
                <w:szCs w:val="16"/>
                <w:color w:val="auto"/>
              </w:rPr>
              <w:t>7.21%</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700" w:type="dxa"/>
            <w:vAlign w:val="bottom"/>
            <w:tcBorders>
              <w:bottom w:val="single" w:sz="8" w:color="04568A"/>
            </w:tcBorders>
            <w:gridSpan w:val="2"/>
            <w:shd w:val="clear" w:color="auto" w:fill="E4E9F2"/>
          </w:tcPr>
          <w:p>
            <w:pPr>
              <w:ind w:left="60"/>
              <w:spacing w:after="0"/>
              <w:rPr>
                <w:sz w:val="20"/>
                <w:szCs w:val="20"/>
                <w:color w:val="auto"/>
              </w:rPr>
            </w:pPr>
            <w:r>
              <w:rPr>
                <w:rFonts w:ascii="Arial" w:cs="Arial" w:eastAsia="Arial" w:hAnsi="Arial"/>
                <w:sz w:val="16"/>
                <w:szCs w:val="16"/>
                <w:color w:val="auto"/>
              </w:rPr>
              <w:t>Other Members of the Amneal Group</w:t>
            </w:r>
          </w:p>
        </w:tc>
        <w:tc>
          <w:tcPr>
            <w:tcW w:w="140" w:type="dxa"/>
            <w:vAlign w:val="bottom"/>
            <w:tcBorders>
              <w:bottom w:val="single" w:sz="8" w:color="04568A"/>
            </w:tcBorders>
            <w:shd w:val="clear" w:color="auto" w:fill="E4E9F2"/>
          </w:tcPr>
          <w:p>
            <w:pPr>
              <w:spacing w:after="0"/>
              <w:rPr>
                <w:sz w:val="19"/>
                <w:szCs w:val="19"/>
                <w:color w:val="auto"/>
              </w:rPr>
            </w:pPr>
          </w:p>
        </w:tc>
        <w:tc>
          <w:tcPr>
            <w:tcW w:w="1320" w:type="dxa"/>
            <w:vAlign w:val="bottom"/>
            <w:tcBorders>
              <w:bottom w:val="single" w:sz="8" w:color="04568A"/>
            </w:tcBorders>
            <w:shd w:val="clear" w:color="auto" w:fill="E4E9F2"/>
          </w:tcPr>
          <w:p>
            <w:pPr>
              <w:jc w:val="right"/>
              <w:ind w:right="219"/>
              <w:spacing w:after="0" w:line="230" w:lineRule="exact"/>
              <w:rPr>
                <w:sz w:val="20"/>
                <w:szCs w:val="20"/>
                <w:color w:val="auto"/>
              </w:rPr>
            </w:pPr>
            <w:r>
              <w:rPr>
                <w:rFonts w:ascii="Arial" w:cs="Arial" w:eastAsia="Arial" w:hAnsi="Arial"/>
                <w:sz w:val="16"/>
                <w:szCs w:val="16"/>
                <w:color w:val="auto"/>
              </w:rPr>
              <w:t>N/A</w:t>
            </w:r>
            <w:r>
              <w:rPr>
                <w:rFonts w:ascii="Arial" w:cs="Arial" w:eastAsia="Arial" w:hAnsi="Arial"/>
                <w:sz w:val="26"/>
                <w:szCs w:val="26"/>
                <w:color w:val="auto"/>
                <w:vertAlign w:val="superscript"/>
              </w:rPr>
              <w:t>(8)</w:t>
            </w:r>
          </w:p>
        </w:tc>
        <w:tc>
          <w:tcPr>
            <w:tcW w:w="1160" w:type="dxa"/>
            <w:vAlign w:val="bottom"/>
            <w:tcBorders>
              <w:bottom w:val="single" w:sz="8" w:color="04568A"/>
            </w:tcBorders>
            <w:gridSpan w:val="3"/>
            <w:shd w:val="clear" w:color="auto" w:fill="E4E9F2"/>
          </w:tcPr>
          <w:p>
            <w:pPr>
              <w:jc w:val="right"/>
              <w:ind w:right="59"/>
              <w:spacing w:after="0" w:line="230" w:lineRule="exact"/>
              <w:rPr>
                <w:sz w:val="20"/>
                <w:szCs w:val="20"/>
                <w:color w:val="auto"/>
              </w:rPr>
            </w:pPr>
            <w:r>
              <w:rPr>
                <w:rFonts w:ascii="Arial" w:cs="Arial" w:eastAsia="Arial" w:hAnsi="Arial"/>
                <w:sz w:val="16"/>
                <w:szCs w:val="16"/>
                <w:color w:val="auto"/>
              </w:rPr>
              <w:t>N/A</w:t>
            </w:r>
            <w:r>
              <w:rPr>
                <w:rFonts w:ascii="Arial" w:cs="Arial" w:eastAsia="Arial" w:hAnsi="Arial"/>
                <w:sz w:val="26"/>
                <w:szCs w:val="26"/>
                <w:color w:val="auto"/>
                <w:vertAlign w:val="superscript"/>
              </w:rPr>
              <w:t>(8)</w:t>
            </w:r>
          </w:p>
        </w:tc>
        <w:tc>
          <w:tcPr>
            <w:tcW w:w="1200" w:type="dxa"/>
            <w:vAlign w:val="bottom"/>
            <w:tcBorders>
              <w:bottom w:val="single" w:sz="8" w:color="04568A"/>
            </w:tcBorders>
            <w:gridSpan w:val="2"/>
            <w:shd w:val="clear" w:color="auto" w:fill="E4E9F2"/>
          </w:tcPr>
          <w:p>
            <w:pPr>
              <w:jc w:val="right"/>
              <w:ind w:right="99"/>
              <w:spacing w:after="0"/>
              <w:rPr>
                <w:sz w:val="20"/>
                <w:szCs w:val="20"/>
                <w:color w:val="auto"/>
              </w:rPr>
            </w:pPr>
            <w:r>
              <w:rPr>
                <w:rFonts w:ascii="Arial" w:cs="Arial" w:eastAsia="Arial" w:hAnsi="Arial"/>
                <w:sz w:val="16"/>
                <w:szCs w:val="16"/>
                <w:color w:val="auto"/>
              </w:rPr>
              <w:t>8,113,600</w:t>
            </w:r>
          </w:p>
        </w:tc>
        <w:tc>
          <w:tcPr>
            <w:tcW w:w="1240" w:type="dxa"/>
            <w:vAlign w:val="bottom"/>
            <w:tcBorders>
              <w:bottom w:val="single" w:sz="8" w:color="04568A"/>
            </w:tcBorders>
            <w:gridSpan w:val="3"/>
            <w:shd w:val="clear" w:color="auto" w:fill="E4E9F2"/>
          </w:tcPr>
          <w:p>
            <w:pPr>
              <w:jc w:val="right"/>
              <w:ind w:right="80"/>
              <w:spacing w:after="0"/>
              <w:rPr>
                <w:sz w:val="20"/>
                <w:szCs w:val="20"/>
                <w:color w:val="auto"/>
              </w:rPr>
            </w:pPr>
            <w:r>
              <w:rPr>
                <w:rFonts w:ascii="Arial" w:cs="Arial" w:eastAsia="Arial" w:hAnsi="Arial"/>
                <w:sz w:val="16"/>
                <w:szCs w:val="16"/>
                <w:color w:val="auto"/>
              </w:rPr>
              <w:t>5.33%</w:t>
            </w:r>
          </w:p>
        </w:tc>
        <w:tc>
          <w:tcPr>
            <w:tcW w:w="40" w:type="dxa"/>
            <w:vAlign w:val="bottom"/>
            <w:tcBorders>
              <w:bottom w:val="single" w:sz="8" w:color="04568A"/>
            </w:tcBorders>
            <w:shd w:val="clear" w:color="auto" w:fill="E4E9F2"/>
          </w:tcPr>
          <w:p>
            <w:pPr>
              <w:spacing w:after="0"/>
              <w:rPr>
                <w:sz w:val="19"/>
                <w:szCs w:val="19"/>
                <w:color w:val="auto"/>
              </w:rPr>
            </w:pPr>
          </w:p>
        </w:tc>
        <w:tc>
          <w:tcPr>
            <w:tcW w:w="1180" w:type="dxa"/>
            <w:vAlign w:val="bottom"/>
            <w:tcBorders>
              <w:bottom w:val="single" w:sz="8" w:color="04568A"/>
            </w:tcBorders>
            <w:shd w:val="clear" w:color="auto" w:fill="E4E9F2"/>
          </w:tcPr>
          <w:p>
            <w:pPr>
              <w:spacing w:after="0"/>
              <w:rPr>
                <w:sz w:val="19"/>
                <w:szCs w:val="19"/>
                <w:color w:val="auto"/>
              </w:rPr>
            </w:pPr>
          </w:p>
        </w:tc>
        <w:tc>
          <w:tcPr>
            <w:tcW w:w="120" w:type="dxa"/>
            <w:vAlign w:val="bottom"/>
            <w:tcBorders>
              <w:bottom w:val="single" w:sz="8" w:color="04568A"/>
            </w:tcBorders>
            <w:shd w:val="clear" w:color="auto" w:fill="E4E9F2"/>
          </w:tcPr>
          <w:p>
            <w:pPr>
              <w:spacing w:after="0"/>
              <w:rPr>
                <w:sz w:val="19"/>
                <w:szCs w:val="19"/>
                <w:color w:val="auto"/>
              </w:rPr>
            </w:pPr>
          </w:p>
        </w:tc>
        <w:tc>
          <w:tcPr>
            <w:tcW w:w="114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2.69%</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3"/>
        </w:trPr>
        <w:tc>
          <w:tcPr>
            <w:tcW w:w="3700" w:type="dxa"/>
            <w:vAlign w:val="bottom"/>
            <w:tcBorders>
              <w:bottom w:val="single" w:sz="8" w:color="04568A"/>
            </w:tcBorders>
            <w:gridSpan w:val="2"/>
          </w:tcPr>
          <w:p>
            <w:pPr>
              <w:ind w:left="60"/>
              <w:spacing w:after="0" w:line="183" w:lineRule="exact"/>
              <w:rPr>
                <w:sz w:val="20"/>
                <w:szCs w:val="20"/>
                <w:color w:val="auto"/>
              </w:rPr>
            </w:pPr>
            <w:r>
              <w:rPr>
                <w:rFonts w:ascii="Arial" w:cs="Arial" w:eastAsia="Arial" w:hAnsi="Arial"/>
                <w:sz w:val="16"/>
                <w:szCs w:val="16"/>
                <w:b w:val="1"/>
                <w:bCs w:val="1"/>
                <w:color w:val="04568A"/>
              </w:rPr>
              <w:t>TOTAL AMNEAL GROUP</w:t>
            </w:r>
          </w:p>
        </w:tc>
        <w:tc>
          <w:tcPr>
            <w:tcW w:w="1460" w:type="dxa"/>
            <w:vAlign w:val="bottom"/>
            <w:tcBorders>
              <w:bottom w:val="single" w:sz="8" w:color="04568A"/>
            </w:tcBorders>
            <w:gridSpan w:val="2"/>
          </w:tcPr>
          <w:p>
            <w:pPr>
              <w:jc w:val="right"/>
              <w:ind w:right="379"/>
              <w:spacing w:after="0" w:line="183" w:lineRule="exact"/>
              <w:rPr>
                <w:sz w:val="20"/>
                <w:szCs w:val="20"/>
                <w:color w:val="auto"/>
              </w:rPr>
            </w:pPr>
            <w:r>
              <w:rPr>
                <w:rFonts w:ascii="Arial" w:cs="Arial" w:eastAsia="Arial" w:hAnsi="Arial"/>
                <w:sz w:val="16"/>
                <w:szCs w:val="16"/>
                <w:b w:val="1"/>
                <w:bCs w:val="1"/>
                <w:color w:val="04568A"/>
              </w:rPr>
              <w:t>14,356,818</w:t>
            </w:r>
          </w:p>
        </w:tc>
        <w:tc>
          <w:tcPr>
            <w:tcW w:w="920" w:type="dxa"/>
            <w:vAlign w:val="bottom"/>
            <w:tcBorders>
              <w:bottom w:val="single" w:sz="8" w:color="04568A"/>
            </w:tcBorders>
            <w:gridSpan w:val="2"/>
          </w:tcPr>
          <w:p>
            <w:pPr>
              <w:jc w:val="right"/>
              <w:ind w:right="80"/>
              <w:spacing w:after="0" w:line="183" w:lineRule="exact"/>
              <w:rPr>
                <w:sz w:val="20"/>
                <w:szCs w:val="20"/>
                <w:color w:val="auto"/>
              </w:rPr>
            </w:pPr>
            <w:r>
              <w:rPr>
                <w:rFonts w:ascii="Arial" w:cs="Arial" w:eastAsia="Arial" w:hAnsi="Arial"/>
                <w:sz w:val="16"/>
                <w:szCs w:val="16"/>
                <w:b w:val="1"/>
                <w:bCs w:val="1"/>
                <w:color w:val="04568A"/>
              </w:rPr>
              <w:t>9.53%</w:t>
            </w:r>
          </w:p>
        </w:tc>
        <w:tc>
          <w:tcPr>
            <w:tcW w:w="240" w:type="dxa"/>
            <w:vAlign w:val="bottom"/>
            <w:tcBorders>
              <w:bottom w:val="single" w:sz="8" w:color="04568A"/>
            </w:tcBorders>
          </w:tcPr>
          <w:p>
            <w:pPr>
              <w:spacing w:after="0"/>
              <w:rPr>
                <w:sz w:val="15"/>
                <w:szCs w:val="15"/>
                <w:color w:val="auto"/>
              </w:rPr>
            </w:pPr>
          </w:p>
        </w:tc>
        <w:tc>
          <w:tcPr>
            <w:tcW w:w="1200" w:type="dxa"/>
            <w:vAlign w:val="bottom"/>
            <w:tcBorders>
              <w:bottom w:val="single" w:sz="8" w:color="04568A"/>
            </w:tcBorders>
            <w:gridSpan w:val="2"/>
          </w:tcPr>
          <w:p>
            <w:pPr>
              <w:jc w:val="right"/>
              <w:ind w:right="99"/>
              <w:spacing w:after="0" w:line="183" w:lineRule="exact"/>
              <w:rPr>
                <w:sz w:val="20"/>
                <w:szCs w:val="20"/>
                <w:color w:val="auto"/>
              </w:rPr>
            </w:pPr>
            <w:r>
              <w:rPr>
                <w:rFonts w:ascii="Arial" w:cs="Arial" w:eastAsia="Arial" w:hAnsi="Arial"/>
                <w:sz w:val="16"/>
                <w:szCs w:val="16"/>
                <w:b w:val="1"/>
                <w:bCs w:val="1"/>
                <w:color w:val="04568A"/>
              </w:rPr>
              <w:t>152,116,890</w:t>
            </w:r>
          </w:p>
        </w:tc>
        <w:tc>
          <w:tcPr>
            <w:tcW w:w="1240" w:type="dxa"/>
            <w:vAlign w:val="bottom"/>
            <w:tcBorders>
              <w:bottom w:val="single" w:sz="8" w:color="04568A"/>
            </w:tcBorders>
            <w:gridSpan w:val="3"/>
          </w:tcPr>
          <w:p>
            <w:pPr>
              <w:jc w:val="right"/>
              <w:ind w:right="80"/>
              <w:spacing w:after="0" w:line="183" w:lineRule="exact"/>
              <w:rPr>
                <w:sz w:val="20"/>
                <w:szCs w:val="20"/>
                <w:color w:val="auto"/>
              </w:rPr>
            </w:pPr>
            <w:r>
              <w:rPr>
                <w:rFonts w:ascii="Arial" w:cs="Arial" w:eastAsia="Arial" w:hAnsi="Arial"/>
                <w:sz w:val="16"/>
                <w:szCs w:val="16"/>
                <w:b w:val="1"/>
                <w:bCs w:val="1"/>
                <w:color w:val="04568A"/>
              </w:rPr>
              <w:t>100.00%</w:t>
            </w:r>
          </w:p>
        </w:tc>
        <w:tc>
          <w:tcPr>
            <w:tcW w:w="40" w:type="dxa"/>
            <w:vAlign w:val="bottom"/>
            <w:tcBorders>
              <w:bottom w:val="single" w:sz="8" w:color="04568A"/>
            </w:tcBorders>
          </w:tcPr>
          <w:p>
            <w:pPr>
              <w:spacing w:after="0"/>
              <w:rPr>
                <w:sz w:val="15"/>
                <w:szCs w:val="15"/>
                <w:color w:val="auto"/>
              </w:rPr>
            </w:pPr>
          </w:p>
        </w:tc>
        <w:tc>
          <w:tcPr>
            <w:tcW w:w="1180" w:type="dxa"/>
            <w:vAlign w:val="bottom"/>
            <w:tcBorders>
              <w:bottom w:val="single" w:sz="8" w:color="04568A"/>
            </w:tcBorders>
          </w:tcPr>
          <w:p>
            <w:pPr>
              <w:spacing w:after="0"/>
              <w:rPr>
                <w:sz w:val="15"/>
                <w:szCs w:val="15"/>
                <w:color w:val="auto"/>
              </w:rPr>
            </w:pPr>
          </w:p>
        </w:tc>
        <w:tc>
          <w:tcPr>
            <w:tcW w:w="120" w:type="dxa"/>
            <w:vAlign w:val="bottom"/>
            <w:tcBorders>
              <w:bottom w:val="single" w:sz="8" w:color="04568A"/>
            </w:tcBorders>
          </w:tcPr>
          <w:p>
            <w:pPr>
              <w:spacing w:after="0"/>
              <w:rPr>
                <w:sz w:val="15"/>
                <w:szCs w:val="15"/>
                <w:color w:val="auto"/>
              </w:rPr>
            </w:pPr>
          </w:p>
        </w:tc>
        <w:tc>
          <w:tcPr>
            <w:tcW w:w="1140" w:type="dxa"/>
            <w:vAlign w:val="bottom"/>
            <w:tcBorders>
              <w:bottom w:val="single" w:sz="8" w:color="04568A"/>
            </w:tcBorders>
          </w:tcPr>
          <w:p>
            <w:pPr>
              <w:jc w:val="right"/>
              <w:spacing w:after="0" w:line="183" w:lineRule="exact"/>
              <w:rPr>
                <w:sz w:val="20"/>
                <w:szCs w:val="20"/>
                <w:color w:val="auto"/>
              </w:rPr>
            </w:pPr>
            <w:r>
              <w:rPr>
                <w:rFonts w:ascii="Arial" w:cs="Arial" w:eastAsia="Arial" w:hAnsi="Arial"/>
                <w:sz w:val="16"/>
                <w:szCs w:val="16"/>
                <w:b w:val="1"/>
                <w:bCs w:val="1"/>
                <w:color w:val="04568A"/>
              </w:rPr>
              <w:t>54.99%</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72"/>
        </w:trPr>
        <w:tc>
          <w:tcPr>
            <w:tcW w:w="120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320" w:type="dxa"/>
            <w:vAlign w:val="bottom"/>
            <w:tcBorders>
              <w:bottom w:val="single" w:sz="8" w:color="04568A"/>
            </w:tcBorders>
          </w:tcPr>
          <w:p>
            <w:pPr>
              <w:spacing w:after="0"/>
              <w:rPr>
                <w:sz w:val="24"/>
                <w:szCs w:val="24"/>
                <w:color w:val="auto"/>
              </w:rPr>
            </w:pPr>
          </w:p>
        </w:tc>
        <w:tc>
          <w:tcPr>
            <w:tcW w:w="840" w:type="dxa"/>
            <w:vAlign w:val="bottom"/>
            <w:tcBorders>
              <w:bottom w:val="single" w:sz="8" w:color="04568A"/>
            </w:tcBorders>
          </w:tcPr>
          <w:p>
            <w:pPr>
              <w:spacing w:after="0"/>
              <w:rPr>
                <w:sz w:val="24"/>
                <w:szCs w:val="24"/>
                <w:color w:val="auto"/>
              </w:rPr>
            </w:pPr>
          </w:p>
        </w:tc>
        <w:tc>
          <w:tcPr>
            <w:tcW w:w="80" w:type="dxa"/>
            <w:vAlign w:val="bottom"/>
            <w:tcBorders>
              <w:bottom w:val="single" w:sz="8" w:color="04568A"/>
            </w:tcBorders>
          </w:tcPr>
          <w:p>
            <w:pPr>
              <w:spacing w:after="0"/>
              <w:rPr>
                <w:sz w:val="24"/>
                <w:szCs w:val="24"/>
                <w:color w:val="auto"/>
              </w:rPr>
            </w:pPr>
          </w:p>
        </w:tc>
        <w:tc>
          <w:tcPr>
            <w:tcW w:w="4020" w:type="dxa"/>
            <w:vAlign w:val="bottom"/>
            <w:tcBorders>
              <w:bottom w:val="single" w:sz="8" w:color="04568A"/>
            </w:tcBorders>
            <w:gridSpan w:val="9"/>
          </w:tcPr>
          <w:p>
            <w:pPr>
              <w:ind w:left="140"/>
              <w:spacing w:after="0"/>
              <w:rPr>
                <w:sz w:val="20"/>
                <w:szCs w:val="20"/>
                <w:color w:val="auto"/>
              </w:rPr>
            </w:pPr>
            <w:r>
              <w:rPr>
                <w:rFonts w:ascii="Arial" w:cs="Arial" w:eastAsia="Arial" w:hAnsi="Arial"/>
                <w:sz w:val="16"/>
                <w:szCs w:val="16"/>
                <w:b w:val="1"/>
                <w:bCs w:val="1"/>
                <w:color w:val="04568A"/>
              </w:rPr>
              <w:t>Certain Other Beneficial Owners</w:t>
            </w:r>
          </w:p>
        </w:tc>
        <w:tc>
          <w:tcPr>
            <w:tcW w:w="1140" w:type="dxa"/>
            <w:vAlign w:val="bottom"/>
            <w:tcBorders>
              <w:bottom w:val="single" w:sz="8" w:color="04568A"/>
            </w:tcBorders>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3"/>
        </w:trPr>
        <w:tc>
          <w:tcPr>
            <w:tcW w:w="3700" w:type="dxa"/>
            <w:vAlign w:val="bottom"/>
            <w:gridSpan w:val="2"/>
            <w:vMerge w:val="restart"/>
          </w:tcPr>
          <w:p>
            <w:pPr>
              <w:ind w:left="60"/>
              <w:spacing w:after="0"/>
              <w:rPr>
                <w:sz w:val="20"/>
                <w:szCs w:val="20"/>
                <w:color w:val="auto"/>
              </w:rPr>
            </w:pPr>
            <w:r>
              <w:rPr>
                <w:rFonts w:ascii="Arial" w:cs="Arial" w:eastAsia="Arial" w:hAnsi="Arial"/>
                <w:sz w:val="16"/>
                <w:szCs w:val="16"/>
                <w:b w:val="1"/>
                <w:bCs w:val="1"/>
                <w:color w:val="04568A"/>
              </w:rPr>
              <w:t>Name</w:t>
            </w:r>
          </w:p>
        </w:tc>
        <w:tc>
          <w:tcPr>
            <w:tcW w:w="140" w:type="dxa"/>
            <w:vAlign w:val="bottom"/>
          </w:tcPr>
          <w:p>
            <w:pPr>
              <w:spacing w:after="0"/>
              <w:rPr>
                <w:sz w:val="15"/>
                <w:szCs w:val="15"/>
                <w:color w:val="auto"/>
              </w:rPr>
            </w:pPr>
          </w:p>
        </w:tc>
        <w:tc>
          <w:tcPr>
            <w:tcW w:w="2480" w:type="dxa"/>
            <w:vAlign w:val="bottom"/>
            <w:gridSpan w:val="4"/>
          </w:tcPr>
          <w:p>
            <w:pPr>
              <w:jc w:val="right"/>
              <w:ind w:right="979"/>
              <w:spacing w:after="0" w:line="183" w:lineRule="exact"/>
              <w:rPr>
                <w:sz w:val="20"/>
                <w:szCs w:val="20"/>
                <w:color w:val="auto"/>
              </w:rPr>
            </w:pPr>
            <w:r>
              <w:rPr>
                <w:rFonts w:ascii="Arial" w:cs="Arial" w:eastAsia="Arial" w:hAnsi="Arial"/>
                <w:sz w:val="16"/>
                <w:szCs w:val="16"/>
                <w:b w:val="1"/>
                <w:bCs w:val="1"/>
                <w:color w:val="04568A"/>
              </w:rPr>
              <w:t>Class A</w:t>
            </w:r>
          </w:p>
        </w:tc>
        <w:tc>
          <w:tcPr>
            <w:tcW w:w="20" w:type="dxa"/>
            <w:vAlign w:val="bottom"/>
          </w:tcPr>
          <w:p>
            <w:pPr>
              <w:spacing w:after="0"/>
              <w:rPr>
                <w:sz w:val="15"/>
                <w:szCs w:val="15"/>
                <w:color w:val="auto"/>
              </w:rPr>
            </w:pPr>
          </w:p>
        </w:tc>
        <w:tc>
          <w:tcPr>
            <w:tcW w:w="3760" w:type="dxa"/>
            <w:vAlign w:val="bottom"/>
            <w:gridSpan w:val="7"/>
          </w:tcPr>
          <w:p>
            <w:pPr>
              <w:ind w:left="800"/>
              <w:spacing w:after="0" w:line="183" w:lineRule="exact"/>
              <w:rPr>
                <w:sz w:val="20"/>
                <w:szCs w:val="20"/>
                <w:color w:val="auto"/>
              </w:rPr>
            </w:pPr>
            <w:r>
              <w:rPr>
                <w:rFonts w:ascii="Arial" w:cs="Arial" w:eastAsia="Arial" w:hAnsi="Arial"/>
                <w:sz w:val="16"/>
                <w:szCs w:val="16"/>
                <w:b w:val="1"/>
                <w:bCs w:val="1"/>
                <w:color w:val="04568A"/>
              </w:rPr>
              <w:t>Class B</w:t>
            </w:r>
          </w:p>
        </w:tc>
        <w:tc>
          <w:tcPr>
            <w:tcW w:w="1140" w:type="dxa"/>
            <w:vAlign w:val="bottom"/>
          </w:tcPr>
          <w:p>
            <w:pPr>
              <w:jc w:val="right"/>
              <w:ind w:right="59"/>
              <w:spacing w:after="0" w:line="183" w:lineRule="exact"/>
              <w:rPr>
                <w:sz w:val="20"/>
                <w:szCs w:val="20"/>
                <w:color w:val="auto"/>
              </w:rPr>
            </w:pPr>
            <w:r>
              <w:rPr>
                <w:rFonts w:ascii="Arial" w:cs="Arial" w:eastAsia="Arial" w:hAnsi="Arial"/>
                <w:sz w:val="16"/>
                <w:szCs w:val="16"/>
                <w:b w:val="1"/>
                <w:bCs w:val="1"/>
                <w:color w:val="04568A"/>
              </w:rPr>
              <w:t>All Common</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3700" w:type="dxa"/>
            <w:vAlign w:val="bottom"/>
            <w:tcBorders>
              <w:bottom w:val="single" w:sz="8" w:color="04568A"/>
            </w:tcBorders>
            <w:gridSpan w:val="2"/>
            <w:vMerge w:val="continue"/>
          </w:tcPr>
          <w:p>
            <w:pPr>
              <w:spacing w:after="0"/>
              <w:rPr>
                <w:sz w:val="15"/>
                <w:szCs w:val="15"/>
                <w:color w:val="auto"/>
              </w:rPr>
            </w:pPr>
          </w:p>
        </w:tc>
        <w:tc>
          <w:tcPr>
            <w:tcW w:w="140" w:type="dxa"/>
            <w:vAlign w:val="bottom"/>
            <w:tcBorders>
              <w:bottom w:val="single" w:sz="8" w:color="04568A"/>
            </w:tcBorders>
          </w:tcPr>
          <w:p>
            <w:pPr>
              <w:spacing w:after="0"/>
              <w:rPr>
                <w:sz w:val="15"/>
                <w:szCs w:val="15"/>
                <w:color w:val="auto"/>
              </w:rPr>
            </w:pPr>
          </w:p>
        </w:tc>
        <w:tc>
          <w:tcPr>
            <w:tcW w:w="1320" w:type="dxa"/>
            <w:vAlign w:val="bottom"/>
            <w:tcBorders>
              <w:top w:val="single" w:sz="8" w:color="04568A"/>
              <w:bottom w:val="single" w:sz="8" w:color="04568A"/>
            </w:tcBorders>
          </w:tcPr>
          <w:p>
            <w:pPr>
              <w:jc w:val="right"/>
              <w:ind w:right="219"/>
              <w:spacing w:after="0" w:line="183" w:lineRule="exact"/>
              <w:rPr>
                <w:sz w:val="20"/>
                <w:szCs w:val="20"/>
                <w:color w:val="auto"/>
              </w:rPr>
            </w:pPr>
            <w:r>
              <w:rPr>
                <w:rFonts w:ascii="Arial" w:cs="Arial" w:eastAsia="Arial" w:hAnsi="Arial"/>
                <w:sz w:val="16"/>
                <w:szCs w:val="16"/>
                <w:b w:val="1"/>
                <w:bCs w:val="1"/>
                <w:color w:val="04568A"/>
              </w:rPr>
              <w:t>Shares</w:t>
            </w:r>
          </w:p>
        </w:tc>
        <w:tc>
          <w:tcPr>
            <w:tcW w:w="920" w:type="dxa"/>
            <w:vAlign w:val="bottom"/>
            <w:tcBorders>
              <w:top w:val="single" w:sz="8" w:color="04568A"/>
              <w:bottom w:val="single" w:sz="8" w:color="04568A"/>
            </w:tcBorders>
            <w:gridSpan w:val="2"/>
          </w:tcPr>
          <w:p>
            <w:pPr>
              <w:jc w:val="right"/>
              <w:spacing w:after="0" w:line="183" w:lineRule="exact"/>
              <w:rPr>
                <w:sz w:val="20"/>
                <w:szCs w:val="20"/>
                <w:color w:val="auto"/>
              </w:rPr>
            </w:pPr>
            <w:r>
              <w:rPr>
                <w:rFonts w:ascii="Arial" w:cs="Arial" w:eastAsia="Arial" w:hAnsi="Arial"/>
                <w:sz w:val="16"/>
                <w:szCs w:val="16"/>
                <w:b w:val="1"/>
                <w:bCs w:val="1"/>
                <w:color w:val="04568A"/>
              </w:rPr>
              <w:t>% of Class</w:t>
            </w:r>
          </w:p>
        </w:tc>
        <w:tc>
          <w:tcPr>
            <w:tcW w:w="240" w:type="dxa"/>
            <w:vAlign w:val="bottom"/>
            <w:tcBorders>
              <w:bottom w:val="single" w:sz="8" w:color="04568A"/>
            </w:tcBorders>
          </w:tcPr>
          <w:p>
            <w:pPr>
              <w:spacing w:after="0"/>
              <w:rPr>
                <w:sz w:val="15"/>
                <w:szCs w:val="15"/>
                <w:color w:val="auto"/>
              </w:rPr>
            </w:pPr>
          </w:p>
        </w:tc>
        <w:tc>
          <w:tcPr>
            <w:tcW w:w="20" w:type="dxa"/>
            <w:vAlign w:val="bottom"/>
            <w:tcBorders>
              <w:bottom w:val="single" w:sz="8" w:color="04568A"/>
            </w:tcBorders>
          </w:tcPr>
          <w:p>
            <w:pPr>
              <w:spacing w:after="0"/>
              <w:rPr>
                <w:sz w:val="15"/>
                <w:szCs w:val="15"/>
                <w:color w:val="auto"/>
              </w:rPr>
            </w:pPr>
          </w:p>
        </w:tc>
        <w:tc>
          <w:tcPr>
            <w:tcW w:w="1180" w:type="dxa"/>
            <w:vAlign w:val="bottom"/>
            <w:tcBorders>
              <w:top w:val="single" w:sz="8" w:color="04568A"/>
              <w:bottom w:val="single" w:sz="8" w:color="04568A"/>
            </w:tcBorders>
          </w:tcPr>
          <w:p>
            <w:pPr>
              <w:jc w:val="right"/>
              <w:ind w:right="99"/>
              <w:spacing w:after="0" w:line="183" w:lineRule="exact"/>
              <w:rPr>
                <w:sz w:val="20"/>
                <w:szCs w:val="20"/>
                <w:color w:val="auto"/>
              </w:rPr>
            </w:pPr>
            <w:r>
              <w:rPr>
                <w:rFonts w:ascii="Arial" w:cs="Arial" w:eastAsia="Arial" w:hAnsi="Arial"/>
                <w:sz w:val="16"/>
                <w:szCs w:val="16"/>
                <w:b w:val="1"/>
                <w:bCs w:val="1"/>
                <w:color w:val="04568A"/>
              </w:rPr>
              <w:t>Shares</w:t>
            </w:r>
          </w:p>
        </w:tc>
        <w:tc>
          <w:tcPr>
            <w:tcW w:w="1040" w:type="dxa"/>
            <w:vAlign w:val="bottom"/>
            <w:tcBorders>
              <w:top w:val="single" w:sz="8" w:color="04568A"/>
              <w:bottom w:val="single" w:sz="8" w:color="04568A"/>
            </w:tcBorders>
            <w:gridSpan w:val="2"/>
          </w:tcPr>
          <w:p>
            <w:pPr>
              <w:jc w:val="right"/>
              <w:spacing w:after="0" w:line="183" w:lineRule="exact"/>
              <w:rPr>
                <w:sz w:val="20"/>
                <w:szCs w:val="20"/>
                <w:color w:val="auto"/>
              </w:rPr>
            </w:pPr>
            <w:r>
              <w:rPr>
                <w:rFonts w:ascii="Arial" w:cs="Arial" w:eastAsia="Arial" w:hAnsi="Arial"/>
                <w:sz w:val="16"/>
                <w:szCs w:val="16"/>
                <w:b w:val="1"/>
                <w:bCs w:val="1"/>
                <w:color w:val="04568A"/>
              </w:rPr>
              <w:t>% of Class</w:t>
            </w:r>
          </w:p>
        </w:tc>
        <w:tc>
          <w:tcPr>
            <w:tcW w:w="200" w:type="dxa"/>
            <w:vAlign w:val="bottom"/>
            <w:tcBorders>
              <w:bottom w:val="single" w:sz="8" w:color="04568A"/>
            </w:tcBorders>
          </w:tcPr>
          <w:p>
            <w:pPr>
              <w:spacing w:after="0"/>
              <w:rPr>
                <w:sz w:val="15"/>
                <w:szCs w:val="15"/>
                <w:color w:val="auto"/>
              </w:rPr>
            </w:pPr>
          </w:p>
        </w:tc>
        <w:tc>
          <w:tcPr>
            <w:tcW w:w="1220" w:type="dxa"/>
            <w:vAlign w:val="bottom"/>
            <w:tcBorders>
              <w:top w:val="single" w:sz="8" w:color="04568A"/>
              <w:bottom w:val="single" w:sz="8" w:color="04568A"/>
            </w:tcBorders>
            <w:gridSpan w:val="2"/>
          </w:tcPr>
          <w:p>
            <w:pPr>
              <w:spacing w:after="0"/>
              <w:rPr>
                <w:sz w:val="15"/>
                <w:szCs w:val="15"/>
                <w:color w:val="auto"/>
              </w:rPr>
            </w:pPr>
          </w:p>
        </w:tc>
        <w:tc>
          <w:tcPr>
            <w:tcW w:w="120" w:type="dxa"/>
            <w:vAlign w:val="bottom"/>
            <w:tcBorders>
              <w:bottom w:val="single" w:sz="8" w:color="04568A"/>
            </w:tcBorders>
          </w:tcPr>
          <w:p>
            <w:pPr>
              <w:spacing w:after="0"/>
              <w:rPr>
                <w:sz w:val="15"/>
                <w:szCs w:val="15"/>
                <w:color w:val="auto"/>
              </w:rPr>
            </w:pPr>
          </w:p>
        </w:tc>
        <w:tc>
          <w:tcPr>
            <w:tcW w:w="1140" w:type="dxa"/>
            <w:vAlign w:val="bottom"/>
            <w:tcBorders>
              <w:top w:val="single" w:sz="8" w:color="04568A"/>
              <w:bottom w:val="single" w:sz="8" w:color="04568A"/>
            </w:tcBorders>
          </w:tcPr>
          <w:p>
            <w:pPr>
              <w:jc w:val="right"/>
              <w:ind w:right="59"/>
              <w:spacing w:after="0" w:line="183" w:lineRule="exact"/>
              <w:rPr>
                <w:sz w:val="20"/>
                <w:szCs w:val="20"/>
                <w:color w:val="auto"/>
              </w:rPr>
            </w:pPr>
            <w:r>
              <w:rPr>
                <w:rFonts w:ascii="Arial" w:cs="Arial" w:eastAsia="Arial" w:hAnsi="Arial"/>
                <w:sz w:val="16"/>
                <w:szCs w:val="16"/>
                <w:b w:val="1"/>
                <w:bCs w:val="1"/>
                <w:color w:val="04568A"/>
              </w:rPr>
              <w:t>% of Class</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3"/>
        </w:trPr>
        <w:tc>
          <w:tcPr>
            <w:tcW w:w="3700" w:type="dxa"/>
            <w:vAlign w:val="bottom"/>
            <w:gridSpan w:val="2"/>
          </w:tcPr>
          <w:p>
            <w:pPr>
              <w:ind w:left="60"/>
              <w:spacing w:after="0" w:line="223" w:lineRule="exact"/>
              <w:rPr>
                <w:sz w:val="20"/>
                <w:szCs w:val="20"/>
                <w:color w:val="auto"/>
              </w:rPr>
            </w:pPr>
            <w:r>
              <w:rPr>
                <w:rFonts w:ascii="Arial" w:cs="Arial" w:eastAsia="Arial" w:hAnsi="Arial"/>
                <w:sz w:val="16"/>
                <w:szCs w:val="16"/>
                <w:color w:val="auto"/>
              </w:rPr>
              <w:t>Funds affiliated with Fosun International Limited</w:t>
            </w:r>
            <w:r>
              <w:rPr>
                <w:rFonts w:ascii="Arial" w:cs="Arial" w:eastAsia="Arial" w:hAnsi="Arial"/>
                <w:sz w:val="25"/>
                <w:szCs w:val="25"/>
                <w:color w:val="auto"/>
                <w:vertAlign w:val="superscript"/>
              </w:rPr>
              <w:t>(9)</w:t>
            </w:r>
          </w:p>
        </w:tc>
        <w:tc>
          <w:tcPr>
            <w:tcW w:w="1460" w:type="dxa"/>
            <w:vAlign w:val="bottom"/>
            <w:gridSpan w:val="2"/>
          </w:tcPr>
          <w:p>
            <w:pPr>
              <w:jc w:val="right"/>
              <w:ind w:right="219"/>
              <w:spacing w:after="0"/>
              <w:rPr>
                <w:sz w:val="20"/>
                <w:szCs w:val="20"/>
                <w:color w:val="auto"/>
              </w:rPr>
            </w:pPr>
            <w:r>
              <w:rPr>
                <w:rFonts w:ascii="Arial" w:cs="Arial" w:eastAsia="Arial" w:hAnsi="Arial"/>
                <w:sz w:val="16"/>
                <w:szCs w:val="16"/>
                <w:color w:val="auto"/>
              </w:rPr>
              <w:t>16,438,356</w:t>
            </w:r>
          </w:p>
        </w:tc>
        <w:tc>
          <w:tcPr>
            <w:tcW w:w="1160" w:type="dxa"/>
            <w:vAlign w:val="bottom"/>
            <w:gridSpan w:val="3"/>
          </w:tcPr>
          <w:p>
            <w:pPr>
              <w:jc w:val="right"/>
              <w:spacing w:after="0"/>
              <w:rPr>
                <w:sz w:val="20"/>
                <w:szCs w:val="20"/>
                <w:color w:val="auto"/>
              </w:rPr>
            </w:pPr>
            <w:r>
              <w:rPr>
                <w:rFonts w:ascii="Arial" w:cs="Arial" w:eastAsia="Arial" w:hAnsi="Arial"/>
                <w:sz w:val="16"/>
                <w:szCs w:val="16"/>
                <w:color w:val="auto"/>
              </w:rPr>
              <w:t>10.91%</w:t>
            </w:r>
          </w:p>
        </w:tc>
        <w:tc>
          <w:tcPr>
            <w:tcW w:w="20" w:type="dxa"/>
            <w:vAlign w:val="bottom"/>
          </w:tcPr>
          <w:p>
            <w:pPr>
              <w:spacing w:after="0"/>
              <w:rPr>
                <w:sz w:val="19"/>
                <w:szCs w:val="19"/>
                <w:color w:val="auto"/>
              </w:rPr>
            </w:pPr>
          </w:p>
        </w:tc>
        <w:tc>
          <w:tcPr>
            <w:tcW w:w="1180" w:type="dxa"/>
            <w:vAlign w:val="bottom"/>
          </w:tcPr>
          <w:p>
            <w:pPr>
              <w:jc w:val="right"/>
              <w:ind w:right="99"/>
              <w:spacing w:after="0"/>
              <w:rPr>
                <w:sz w:val="20"/>
                <w:szCs w:val="20"/>
                <w:color w:val="auto"/>
              </w:rPr>
            </w:pPr>
            <w:r>
              <w:rPr>
                <w:rFonts w:ascii="Arial" w:cs="Arial" w:eastAsia="Arial" w:hAnsi="Arial"/>
                <w:sz w:val="16"/>
                <w:szCs w:val="16"/>
                <w:color w:val="auto"/>
              </w:rPr>
              <w:t>—</w:t>
            </w:r>
          </w:p>
        </w:tc>
        <w:tc>
          <w:tcPr>
            <w:tcW w:w="2580" w:type="dxa"/>
            <w:vAlign w:val="bottom"/>
            <w:gridSpan w:val="6"/>
          </w:tcPr>
          <w:p>
            <w:pPr>
              <w:jc w:val="right"/>
              <w:ind w:right="1540"/>
              <w:spacing w:after="0"/>
              <w:rPr>
                <w:sz w:val="20"/>
                <w:szCs w:val="20"/>
                <w:color w:val="auto"/>
              </w:rPr>
            </w:pPr>
            <w:r>
              <w:rPr>
                <w:rFonts w:ascii="Arial" w:cs="Arial" w:eastAsia="Arial" w:hAnsi="Arial"/>
                <w:sz w:val="16"/>
                <w:szCs w:val="16"/>
                <w:color w:val="auto"/>
              </w:rPr>
              <w:t>—</w:t>
            </w:r>
          </w:p>
        </w:tc>
        <w:tc>
          <w:tcPr>
            <w:tcW w:w="1160" w:type="dxa"/>
            <w:vAlign w:val="bottom"/>
            <w:gridSpan w:val="2"/>
          </w:tcPr>
          <w:p>
            <w:pPr>
              <w:jc w:val="right"/>
              <w:ind w:right="20"/>
              <w:spacing w:after="0"/>
              <w:rPr>
                <w:sz w:val="20"/>
                <w:szCs w:val="20"/>
                <w:color w:val="auto"/>
              </w:rPr>
            </w:pPr>
            <w:r>
              <w:rPr>
                <w:rFonts w:ascii="Arial" w:cs="Arial" w:eastAsia="Arial" w:hAnsi="Arial"/>
                <w:sz w:val="16"/>
                <w:szCs w:val="16"/>
                <w:color w:val="auto"/>
              </w:rPr>
              <w:t>5.43%</w:t>
            </w:r>
          </w:p>
        </w:tc>
        <w:tc>
          <w:tcPr>
            <w:tcW w:w="0" w:type="dxa"/>
            <w:vAlign w:val="bottom"/>
          </w:tcPr>
          <w:p>
            <w:pPr>
              <w:spacing w:after="0"/>
              <w:rPr>
                <w:sz w:val="1"/>
                <w:szCs w:val="1"/>
                <w:color w:val="auto"/>
              </w:rPr>
            </w:pPr>
          </w:p>
        </w:tc>
      </w:tr>
      <w:tr>
        <w:trPr>
          <w:trHeight w:val="229"/>
        </w:trPr>
        <w:tc>
          <w:tcPr>
            <w:tcW w:w="3700" w:type="dxa"/>
            <w:vAlign w:val="bottom"/>
            <w:gridSpan w:val="2"/>
            <w:shd w:val="clear" w:color="auto" w:fill="E4E9F2"/>
          </w:tcPr>
          <w:p>
            <w:pPr>
              <w:ind w:left="60"/>
              <w:spacing w:after="0" w:line="230" w:lineRule="exact"/>
              <w:rPr>
                <w:sz w:val="20"/>
                <w:szCs w:val="20"/>
                <w:color w:val="auto"/>
              </w:rPr>
            </w:pPr>
            <w:r>
              <w:rPr>
                <w:rFonts w:ascii="Arial" w:cs="Arial" w:eastAsia="Arial" w:hAnsi="Arial"/>
                <w:sz w:val="16"/>
                <w:szCs w:val="16"/>
                <w:color w:val="auto"/>
              </w:rPr>
              <w:t>Funds affiliated with TPG Inc.</w:t>
            </w:r>
            <w:r>
              <w:rPr>
                <w:rFonts w:ascii="Arial" w:cs="Arial" w:eastAsia="Arial" w:hAnsi="Arial"/>
                <w:sz w:val="26"/>
                <w:szCs w:val="26"/>
                <w:color w:val="auto"/>
                <w:vertAlign w:val="superscript"/>
              </w:rPr>
              <w:t>(10)</w:t>
            </w:r>
          </w:p>
        </w:tc>
        <w:tc>
          <w:tcPr>
            <w:tcW w:w="1460" w:type="dxa"/>
            <w:vAlign w:val="bottom"/>
            <w:gridSpan w:val="2"/>
            <w:shd w:val="clear" w:color="auto" w:fill="E4E9F2"/>
          </w:tcPr>
          <w:p>
            <w:pPr>
              <w:jc w:val="right"/>
              <w:ind w:right="219"/>
              <w:spacing w:after="0"/>
              <w:rPr>
                <w:sz w:val="20"/>
                <w:szCs w:val="20"/>
                <w:color w:val="auto"/>
              </w:rPr>
            </w:pPr>
            <w:r>
              <w:rPr>
                <w:rFonts w:ascii="Arial" w:cs="Arial" w:eastAsia="Arial" w:hAnsi="Arial"/>
                <w:sz w:val="16"/>
                <w:szCs w:val="16"/>
                <w:color w:val="auto"/>
              </w:rPr>
              <w:t>16,213,367</w:t>
            </w:r>
          </w:p>
        </w:tc>
        <w:tc>
          <w:tcPr>
            <w:tcW w:w="1160" w:type="dxa"/>
            <w:vAlign w:val="bottom"/>
            <w:gridSpan w:val="3"/>
            <w:shd w:val="clear" w:color="auto" w:fill="E4E9F2"/>
          </w:tcPr>
          <w:p>
            <w:pPr>
              <w:jc w:val="right"/>
              <w:spacing w:after="0"/>
              <w:rPr>
                <w:sz w:val="20"/>
                <w:szCs w:val="20"/>
                <w:color w:val="auto"/>
              </w:rPr>
            </w:pPr>
            <w:r>
              <w:rPr>
                <w:rFonts w:ascii="Arial" w:cs="Arial" w:eastAsia="Arial" w:hAnsi="Arial"/>
                <w:sz w:val="16"/>
                <w:szCs w:val="16"/>
                <w:color w:val="auto"/>
              </w:rPr>
              <w:t>10.66%</w:t>
            </w:r>
          </w:p>
        </w:tc>
        <w:tc>
          <w:tcPr>
            <w:tcW w:w="20" w:type="dxa"/>
            <w:vAlign w:val="bottom"/>
            <w:shd w:val="clear" w:color="auto" w:fill="E4E9F2"/>
          </w:tcPr>
          <w:p>
            <w:pPr>
              <w:spacing w:after="0"/>
              <w:rPr>
                <w:sz w:val="19"/>
                <w:szCs w:val="19"/>
                <w:color w:val="auto"/>
              </w:rPr>
            </w:pPr>
          </w:p>
        </w:tc>
        <w:tc>
          <w:tcPr>
            <w:tcW w:w="1180" w:type="dxa"/>
            <w:vAlign w:val="bottom"/>
            <w:shd w:val="clear" w:color="auto" w:fill="E4E9F2"/>
          </w:tcPr>
          <w:p>
            <w:pPr>
              <w:jc w:val="right"/>
              <w:ind w:right="99"/>
              <w:spacing w:after="0"/>
              <w:rPr>
                <w:sz w:val="20"/>
                <w:szCs w:val="20"/>
                <w:color w:val="auto"/>
              </w:rPr>
            </w:pPr>
            <w:r>
              <w:rPr>
                <w:rFonts w:ascii="Arial" w:cs="Arial" w:eastAsia="Arial" w:hAnsi="Arial"/>
                <w:sz w:val="16"/>
                <w:szCs w:val="16"/>
                <w:color w:val="auto"/>
              </w:rPr>
              <w:t>—</w:t>
            </w:r>
          </w:p>
        </w:tc>
        <w:tc>
          <w:tcPr>
            <w:tcW w:w="2580" w:type="dxa"/>
            <w:vAlign w:val="bottom"/>
            <w:gridSpan w:val="6"/>
            <w:shd w:val="clear" w:color="auto" w:fill="E4E9F2"/>
          </w:tcPr>
          <w:p>
            <w:pPr>
              <w:jc w:val="right"/>
              <w:ind w:right="1540"/>
              <w:spacing w:after="0"/>
              <w:rPr>
                <w:sz w:val="20"/>
                <w:szCs w:val="20"/>
                <w:color w:val="auto"/>
              </w:rPr>
            </w:pPr>
            <w:r>
              <w:rPr>
                <w:rFonts w:ascii="Arial" w:cs="Arial" w:eastAsia="Arial" w:hAnsi="Arial"/>
                <w:sz w:val="16"/>
                <w:szCs w:val="16"/>
                <w:color w:val="auto"/>
              </w:rPr>
              <w:t>—</w:t>
            </w:r>
          </w:p>
        </w:tc>
        <w:tc>
          <w:tcPr>
            <w:tcW w:w="1140" w:type="dxa"/>
            <w:vAlign w:val="bottom"/>
            <w:shd w:val="clear" w:color="auto" w:fill="E4E9F2"/>
          </w:tcPr>
          <w:p>
            <w:pPr>
              <w:jc w:val="right"/>
              <w:spacing w:after="0"/>
              <w:rPr>
                <w:sz w:val="20"/>
                <w:szCs w:val="20"/>
                <w:color w:val="auto"/>
              </w:rPr>
            </w:pPr>
            <w:r>
              <w:rPr>
                <w:rFonts w:ascii="Arial" w:cs="Arial" w:eastAsia="Arial" w:hAnsi="Arial"/>
                <w:sz w:val="16"/>
                <w:szCs w:val="16"/>
                <w:color w:val="auto"/>
              </w:rPr>
              <w:t>5.36%</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8"/>
        </w:trPr>
        <w:tc>
          <w:tcPr>
            <w:tcW w:w="3700" w:type="dxa"/>
            <w:vAlign w:val="bottom"/>
            <w:gridSpan w:val="2"/>
          </w:tcPr>
          <w:p>
            <w:pPr>
              <w:ind w:left="60"/>
              <w:spacing w:after="0"/>
              <w:rPr>
                <w:sz w:val="20"/>
                <w:szCs w:val="20"/>
                <w:color w:val="auto"/>
              </w:rPr>
            </w:pPr>
            <w:r>
              <w:rPr>
                <w:rFonts w:ascii="Arial" w:cs="Arial" w:eastAsia="Arial" w:hAnsi="Arial"/>
                <w:sz w:val="16"/>
                <w:szCs w:val="16"/>
                <w:color w:val="auto"/>
              </w:rPr>
              <w:t>The Vanguard Group, Inc. and affiliated or advised</w:t>
            </w:r>
          </w:p>
        </w:tc>
        <w:tc>
          <w:tcPr>
            <w:tcW w:w="1460" w:type="dxa"/>
            <w:vAlign w:val="bottom"/>
            <w:gridSpan w:val="2"/>
          </w:tcPr>
          <w:p>
            <w:pPr>
              <w:jc w:val="right"/>
              <w:ind w:right="219"/>
              <w:spacing w:after="0"/>
              <w:rPr>
                <w:sz w:val="20"/>
                <w:szCs w:val="20"/>
                <w:color w:val="auto"/>
              </w:rPr>
            </w:pPr>
            <w:r>
              <w:rPr>
                <w:rFonts w:ascii="Arial" w:cs="Arial" w:eastAsia="Arial" w:hAnsi="Arial"/>
                <w:sz w:val="16"/>
                <w:szCs w:val="16"/>
                <w:color w:val="auto"/>
              </w:rPr>
              <w:t>11,574,895</w:t>
            </w:r>
          </w:p>
        </w:tc>
        <w:tc>
          <w:tcPr>
            <w:tcW w:w="1160" w:type="dxa"/>
            <w:vAlign w:val="bottom"/>
            <w:gridSpan w:val="3"/>
          </w:tcPr>
          <w:p>
            <w:pPr>
              <w:jc w:val="right"/>
              <w:spacing w:after="0"/>
              <w:rPr>
                <w:sz w:val="20"/>
                <w:szCs w:val="20"/>
                <w:color w:val="auto"/>
              </w:rPr>
            </w:pPr>
            <w:r>
              <w:rPr>
                <w:rFonts w:ascii="Arial" w:cs="Arial" w:eastAsia="Arial" w:hAnsi="Arial"/>
                <w:sz w:val="16"/>
                <w:szCs w:val="16"/>
                <w:color w:val="auto"/>
              </w:rPr>
              <w:t>7.68%</w:t>
            </w:r>
          </w:p>
        </w:tc>
        <w:tc>
          <w:tcPr>
            <w:tcW w:w="20" w:type="dxa"/>
            <w:vAlign w:val="bottom"/>
          </w:tcPr>
          <w:p>
            <w:pPr>
              <w:spacing w:after="0"/>
              <w:rPr>
                <w:sz w:val="16"/>
                <w:szCs w:val="16"/>
                <w:color w:val="auto"/>
              </w:rPr>
            </w:pPr>
          </w:p>
        </w:tc>
        <w:tc>
          <w:tcPr>
            <w:tcW w:w="1180" w:type="dxa"/>
            <w:vAlign w:val="bottom"/>
          </w:tcPr>
          <w:p>
            <w:pPr>
              <w:jc w:val="right"/>
              <w:ind w:right="99"/>
              <w:spacing w:after="0"/>
              <w:rPr>
                <w:sz w:val="20"/>
                <w:szCs w:val="20"/>
                <w:color w:val="auto"/>
              </w:rPr>
            </w:pPr>
            <w:r>
              <w:rPr>
                <w:rFonts w:ascii="Arial" w:cs="Arial" w:eastAsia="Arial" w:hAnsi="Arial"/>
                <w:sz w:val="16"/>
                <w:szCs w:val="16"/>
                <w:color w:val="auto"/>
              </w:rPr>
              <w:t>—</w:t>
            </w:r>
          </w:p>
        </w:tc>
        <w:tc>
          <w:tcPr>
            <w:tcW w:w="2580" w:type="dxa"/>
            <w:vAlign w:val="bottom"/>
            <w:gridSpan w:val="6"/>
          </w:tcPr>
          <w:p>
            <w:pPr>
              <w:jc w:val="right"/>
              <w:ind w:right="1540"/>
              <w:spacing w:after="0"/>
              <w:rPr>
                <w:sz w:val="20"/>
                <w:szCs w:val="20"/>
                <w:color w:val="auto"/>
              </w:rPr>
            </w:pPr>
            <w:r>
              <w:rPr>
                <w:rFonts w:ascii="Arial" w:cs="Arial" w:eastAsia="Arial" w:hAnsi="Arial"/>
                <w:sz w:val="16"/>
                <w:szCs w:val="16"/>
                <w:color w:val="auto"/>
              </w:rPr>
              <w:t>—</w:t>
            </w:r>
          </w:p>
        </w:tc>
        <w:tc>
          <w:tcPr>
            <w:tcW w:w="1160" w:type="dxa"/>
            <w:vAlign w:val="bottom"/>
            <w:gridSpan w:val="2"/>
          </w:tcPr>
          <w:p>
            <w:pPr>
              <w:jc w:val="right"/>
              <w:ind w:right="20"/>
              <w:spacing w:after="0"/>
              <w:rPr>
                <w:sz w:val="20"/>
                <w:szCs w:val="20"/>
                <w:color w:val="auto"/>
              </w:rPr>
            </w:pPr>
            <w:r>
              <w:rPr>
                <w:rFonts w:ascii="Arial" w:cs="Arial" w:eastAsia="Arial" w:hAnsi="Arial"/>
                <w:sz w:val="16"/>
                <w:szCs w:val="16"/>
                <w:color w:val="auto"/>
              </w:rPr>
              <w:t>3.82%</w:t>
            </w:r>
          </w:p>
        </w:tc>
        <w:tc>
          <w:tcPr>
            <w:tcW w:w="0" w:type="dxa"/>
            <w:vAlign w:val="bottom"/>
          </w:tcPr>
          <w:p>
            <w:pPr>
              <w:spacing w:after="0"/>
              <w:rPr>
                <w:sz w:val="1"/>
                <w:szCs w:val="1"/>
                <w:color w:val="auto"/>
              </w:rPr>
            </w:pPr>
          </w:p>
        </w:tc>
      </w:tr>
      <w:tr>
        <w:trPr>
          <w:trHeight w:val="230"/>
        </w:trPr>
        <w:tc>
          <w:tcPr>
            <w:tcW w:w="3700" w:type="dxa"/>
            <w:vAlign w:val="bottom"/>
            <w:tcBorders>
              <w:bottom w:val="single" w:sz="8" w:color="04568A"/>
            </w:tcBorders>
            <w:gridSpan w:val="2"/>
          </w:tcPr>
          <w:p>
            <w:pPr>
              <w:ind w:left="60"/>
              <w:spacing w:after="0" w:line="230" w:lineRule="exact"/>
              <w:rPr>
                <w:sz w:val="20"/>
                <w:szCs w:val="20"/>
                <w:color w:val="auto"/>
              </w:rPr>
            </w:pPr>
            <w:r>
              <w:rPr>
                <w:rFonts w:ascii="Arial" w:cs="Arial" w:eastAsia="Arial" w:hAnsi="Arial"/>
                <w:sz w:val="16"/>
                <w:szCs w:val="16"/>
                <w:color w:val="auto"/>
              </w:rPr>
              <w:t>entities</w:t>
            </w:r>
            <w:r>
              <w:rPr>
                <w:rFonts w:ascii="Arial" w:cs="Arial" w:eastAsia="Arial" w:hAnsi="Arial"/>
                <w:sz w:val="26"/>
                <w:szCs w:val="26"/>
                <w:color w:val="auto"/>
                <w:vertAlign w:val="superscript"/>
              </w:rPr>
              <w:t>(11)</w:t>
            </w:r>
          </w:p>
        </w:tc>
        <w:tc>
          <w:tcPr>
            <w:tcW w:w="140" w:type="dxa"/>
            <w:vAlign w:val="bottom"/>
            <w:tcBorders>
              <w:bottom w:val="single" w:sz="8" w:color="04568A"/>
            </w:tcBorders>
          </w:tcPr>
          <w:p>
            <w:pPr>
              <w:spacing w:after="0"/>
              <w:rPr>
                <w:sz w:val="20"/>
                <w:szCs w:val="20"/>
                <w:color w:val="auto"/>
              </w:rPr>
            </w:pPr>
          </w:p>
        </w:tc>
        <w:tc>
          <w:tcPr>
            <w:tcW w:w="1320" w:type="dxa"/>
            <w:vAlign w:val="bottom"/>
            <w:tcBorders>
              <w:bottom w:val="single" w:sz="8" w:color="04568A"/>
            </w:tcBorders>
          </w:tcPr>
          <w:p>
            <w:pPr>
              <w:spacing w:after="0"/>
              <w:rPr>
                <w:sz w:val="20"/>
                <w:szCs w:val="20"/>
                <w:color w:val="auto"/>
              </w:rPr>
            </w:pPr>
          </w:p>
        </w:tc>
        <w:tc>
          <w:tcPr>
            <w:tcW w:w="840" w:type="dxa"/>
            <w:vAlign w:val="bottom"/>
            <w:tcBorders>
              <w:bottom w:val="single" w:sz="8" w:color="04568A"/>
            </w:tcBorders>
          </w:tcPr>
          <w:p>
            <w:pPr>
              <w:spacing w:after="0"/>
              <w:rPr>
                <w:sz w:val="20"/>
                <w:szCs w:val="20"/>
                <w:color w:val="auto"/>
              </w:rPr>
            </w:pPr>
          </w:p>
        </w:tc>
        <w:tc>
          <w:tcPr>
            <w:tcW w:w="80" w:type="dxa"/>
            <w:vAlign w:val="bottom"/>
            <w:tcBorders>
              <w:bottom w:val="single" w:sz="8" w:color="04568A"/>
            </w:tcBorders>
          </w:tcPr>
          <w:p>
            <w:pPr>
              <w:spacing w:after="0"/>
              <w:rPr>
                <w:sz w:val="20"/>
                <w:szCs w:val="20"/>
                <w:color w:val="auto"/>
              </w:rPr>
            </w:pPr>
          </w:p>
        </w:tc>
        <w:tc>
          <w:tcPr>
            <w:tcW w:w="240" w:type="dxa"/>
            <w:vAlign w:val="bottom"/>
            <w:tcBorders>
              <w:bottom w:val="single" w:sz="8" w:color="04568A"/>
            </w:tcBorders>
          </w:tcPr>
          <w:p>
            <w:pPr>
              <w:spacing w:after="0"/>
              <w:rPr>
                <w:sz w:val="20"/>
                <w:szCs w:val="20"/>
                <w:color w:val="auto"/>
              </w:rPr>
            </w:pPr>
          </w:p>
        </w:tc>
        <w:tc>
          <w:tcPr>
            <w:tcW w:w="20" w:type="dxa"/>
            <w:vAlign w:val="bottom"/>
            <w:tcBorders>
              <w:bottom w:val="single" w:sz="8" w:color="04568A"/>
            </w:tcBorders>
          </w:tcPr>
          <w:p>
            <w:pPr>
              <w:spacing w:after="0"/>
              <w:rPr>
                <w:sz w:val="20"/>
                <w:szCs w:val="20"/>
                <w:color w:val="auto"/>
              </w:rPr>
            </w:pPr>
          </w:p>
        </w:tc>
        <w:tc>
          <w:tcPr>
            <w:tcW w:w="1180" w:type="dxa"/>
            <w:vAlign w:val="bottom"/>
            <w:tcBorders>
              <w:bottom w:val="single" w:sz="8" w:color="04568A"/>
            </w:tcBorders>
          </w:tcPr>
          <w:p>
            <w:pPr>
              <w:spacing w:after="0"/>
              <w:rPr>
                <w:sz w:val="20"/>
                <w:szCs w:val="20"/>
                <w:color w:val="auto"/>
              </w:rPr>
            </w:pPr>
          </w:p>
        </w:tc>
        <w:tc>
          <w:tcPr>
            <w:tcW w:w="1020" w:type="dxa"/>
            <w:vAlign w:val="bottom"/>
            <w:tcBorders>
              <w:bottom w:val="single" w:sz="8" w:color="04568A"/>
            </w:tcBorders>
          </w:tcPr>
          <w:p>
            <w:pPr>
              <w:spacing w:after="0"/>
              <w:rPr>
                <w:sz w:val="20"/>
                <w:szCs w:val="20"/>
                <w:color w:val="auto"/>
              </w:rPr>
            </w:pPr>
          </w:p>
        </w:tc>
        <w:tc>
          <w:tcPr>
            <w:tcW w:w="20" w:type="dxa"/>
            <w:vAlign w:val="bottom"/>
            <w:tcBorders>
              <w:bottom w:val="single" w:sz="8" w:color="04568A"/>
            </w:tcBorders>
          </w:tcPr>
          <w:p>
            <w:pPr>
              <w:spacing w:after="0"/>
              <w:rPr>
                <w:sz w:val="20"/>
                <w:szCs w:val="20"/>
                <w:color w:val="auto"/>
              </w:rPr>
            </w:pPr>
          </w:p>
        </w:tc>
        <w:tc>
          <w:tcPr>
            <w:tcW w:w="200" w:type="dxa"/>
            <w:vAlign w:val="bottom"/>
            <w:tcBorders>
              <w:bottom w:val="single" w:sz="8" w:color="04568A"/>
            </w:tcBorders>
          </w:tcPr>
          <w:p>
            <w:pPr>
              <w:spacing w:after="0"/>
              <w:rPr>
                <w:sz w:val="20"/>
                <w:szCs w:val="20"/>
                <w:color w:val="auto"/>
              </w:rPr>
            </w:pPr>
          </w:p>
        </w:tc>
        <w:tc>
          <w:tcPr>
            <w:tcW w:w="40" w:type="dxa"/>
            <w:vAlign w:val="bottom"/>
            <w:tcBorders>
              <w:bottom w:val="single" w:sz="8" w:color="04568A"/>
            </w:tcBorders>
          </w:tcPr>
          <w:p>
            <w:pPr>
              <w:spacing w:after="0"/>
              <w:rPr>
                <w:sz w:val="20"/>
                <w:szCs w:val="20"/>
                <w:color w:val="auto"/>
              </w:rPr>
            </w:pPr>
          </w:p>
        </w:tc>
        <w:tc>
          <w:tcPr>
            <w:tcW w:w="1180" w:type="dxa"/>
            <w:vAlign w:val="bottom"/>
            <w:tcBorders>
              <w:bottom w:val="single" w:sz="8" w:color="04568A"/>
            </w:tcBorders>
          </w:tcPr>
          <w:p>
            <w:pPr>
              <w:spacing w:after="0"/>
              <w:rPr>
                <w:sz w:val="20"/>
                <w:szCs w:val="20"/>
                <w:color w:val="auto"/>
              </w:rPr>
            </w:pPr>
          </w:p>
        </w:tc>
        <w:tc>
          <w:tcPr>
            <w:tcW w:w="120" w:type="dxa"/>
            <w:vAlign w:val="bottom"/>
            <w:tcBorders>
              <w:bottom w:val="single" w:sz="8" w:color="04568A"/>
            </w:tcBorders>
          </w:tcPr>
          <w:p>
            <w:pPr>
              <w:spacing w:after="0"/>
              <w:rPr>
                <w:sz w:val="20"/>
                <w:szCs w:val="20"/>
                <w:color w:val="auto"/>
              </w:rPr>
            </w:pPr>
          </w:p>
        </w:tc>
        <w:tc>
          <w:tcPr>
            <w:tcW w:w="1140" w:type="dxa"/>
            <w:vAlign w:val="bottom"/>
            <w:tcBorders>
              <w:bottom w:val="single" w:sz="8" w:color="04568A"/>
            </w:tcBorders>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58" w:lineRule="exact"/>
        <w:rPr>
          <w:sz w:val="20"/>
          <w:szCs w:val="20"/>
          <w:color w:val="auto"/>
        </w:rPr>
      </w:pPr>
    </w:p>
    <w:p>
      <w:pPr>
        <w:ind w:left="340" w:hanging="332"/>
        <w:spacing w:after="0"/>
        <w:tabs>
          <w:tab w:leader="none" w:pos="340" w:val="left"/>
        </w:tabs>
        <w:numPr>
          <w:ilvl w:val="0"/>
          <w:numId w:val="42"/>
        </w:numPr>
        <w:rPr>
          <w:rFonts w:ascii="Arial" w:cs="Arial" w:eastAsia="Arial" w:hAnsi="Arial"/>
          <w:sz w:val="14"/>
          <w:szCs w:val="14"/>
          <w:i w:val="1"/>
          <w:iCs w:val="1"/>
          <w:color w:val="auto"/>
        </w:rPr>
      </w:pPr>
      <w:r>
        <w:rPr>
          <w:rFonts w:ascii="Arial" w:cs="Arial" w:eastAsia="Arial" w:hAnsi="Arial"/>
          <w:sz w:val="14"/>
          <w:szCs w:val="14"/>
          <w:i w:val="1"/>
          <w:iCs w:val="1"/>
          <w:color w:val="auto"/>
        </w:rPr>
        <w:t>Less than 1%</w:t>
      </w:r>
    </w:p>
    <w:p>
      <w:pPr>
        <w:spacing w:after="0" w:line="55" w:lineRule="exact"/>
        <w:rPr>
          <w:sz w:val="20"/>
          <w:szCs w:val="20"/>
          <w:color w:val="auto"/>
        </w:rPr>
      </w:pPr>
    </w:p>
    <w:p>
      <w:pPr>
        <w:ind w:left="340" w:hanging="332"/>
        <w:spacing w:after="0"/>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Unless otherwise noted, the address for each beneficial owner listed on the table is Amneal Pharmaceuticals, Inc., 400 Crossing Boulevard, Bridgewater, NJ 08807.</w:t>
      </w:r>
    </w:p>
    <w:p>
      <w:pPr>
        <w:spacing w:after="0" w:line="55" w:lineRule="exact"/>
        <w:rPr>
          <w:rFonts w:ascii="Arial" w:cs="Arial" w:eastAsia="Arial" w:hAnsi="Arial"/>
          <w:sz w:val="14"/>
          <w:szCs w:val="14"/>
          <w:i w:val="1"/>
          <w:iCs w:val="1"/>
          <w:color w:val="auto"/>
        </w:rPr>
      </w:pPr>
    </w:p>
    <w:p>
      <w:pPr>
        <w:ind w:left="340" w:hanging="332"/>
        <w:spacing w:after="0"/>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Column includes shares underlying exercisable stock options and stock options and restricted stock unit awards that will vest within 60 days of March 11, 2022.</w:t>
      </w:r>
    </w:p>
    <w:p>
      <w:pPr>
        <w:spacing w:after="0" w:line="55" w:lineRule="exact"/>
        <w:rPr>
          <w:rFonts w:ascii="Arial" w:cs="Arial" w:eastAsia="Arial" w:hAnsi="Arial"/>
          <w:sz w:val="14"/>
          <w:szCs w:val="14"/>
          <w:i w:val="1"/>
          <w:iCs w:val="1"/>
          <w:color w:val="auto"/>
        </w:rPr>
      </w:pPr>
    </w:p>
    <w:p>
      <w:pPr>
        <w:ind w:left="340" w:hanging="332"/>
        <w:spacing w:after="0" w:line="279"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c/o Tarsadia Investments, LLC, 520 Newport Center Drive, Twenty-First Floor, Newport Beach, CA 92660. Tushar Patel may be deemed to beneficially own 53,578,209 shares of Class B common stock held of record by Tushar Patel Family Trust.</w:t>
      </w:r>
    </w:p>
    <w:p>
      <w:pPr>
        <w:spacing w:after="0" w:line="3" w:lineRule="exact"/>
        <w:rPr>
          <w:rFonts w:ascii="Arial" w:cs="Arial" w:eastAsia="Arial" w:hAnsi="Arial"/>
          <w:sz w:val="14"/>
          <w:szCs w:val="14"/>
          <w:i w:val="1"/>
          <w:iCs w:val="1"/>
          <w:color w:val="auto"/>
        </w:rPr>
      </w:pPr>
    </w:p>
    <w:p>
      <w:pPr>
        <w:jc w:val="both"/>
        <w:ind w:left="340" w:hanging="332"/>
        <w:spacing w:after="0" w:line="250"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Gautam Patel may be deemed to beneficially own 12,887,433 shares of Class A common stock held of record by T-Twelve Legacy Trust and 17,497,336 shares of Class B common stock held of record by Falcon Trust, Puja Patel Trust, Ishani Patel Trust, Niam Patel Trust and Mayur Patel Legacy Trust. Mr. Patel does not have a pecuniary interest in these shares of Class A Common Stock, Common Units or Class B common stock. The Falcon Trust pledged to Credit Suisse AG 14,821,537 common units (including the shares of Class A common stock issued upon any redemption thereof) and the 14,821,537 shares of Class B common stock associated therewith to secure the Falcon Trust’s obligations under that certain Promissory Note and Collateral Agreement dated September 15, 2021.</w:t>
      </w:r>
    </w:p>
    <w:p>
      <w:pPr>
        <w:spacing w:after="0" w:line="25" w:lineRule="exact"/>
        <w:rPr>
          <w:rFonts w:ascii="Arial" w:cs="Arial" w:eastAsia="Arial" w:hAnsi="Arial"/>
          <w:sz w:val="14"/>
          <w:szCs w:val="14"/>
          <w:i w:val="1"/>
          <w:iCs w:val="1"/>
          <w:color w:val="auto"/>
        </w:rPr>
      </w:pPr>
    </w:p>
    <w:p>
      <w:pPr>
        <w:ind w:left="340" w:hanging="332"/>
        <w:spacing w:after="0" w:line="279"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c/o Buckhead America Hospitality, 2855 Springhill Parkway, Smyrna, GA 30080. Dipan Patel may be deemed to beneficially own 26,905,073 shares of Class B common stock held of record by Dipan Patel Living Trust, AP-1 Trust, AP-2 Trust, AP-3 Trust, AP-5 Trust, AP-7 Trust, and AP-9 Trust.</w:t>
      </w:r>
    </w:p>
    <w:p>
      <w:pPr>
        <w:spacing w:after="0" w:line="3" w:lineRule="exact"/>
        <w:rPr>
          <w:rFonts w:ascii="Arial" w:cs="Arial" w:eastAsia="Arial" w:hAnsi="Arial"/>
          <w:sz w:val="14"/>
          <w:szCs w:val="14"/>
          <w:i w:val="1"/>
          <w:iCs w:val="1"/>
          <w:color w:val="auto"/>
        </w:rPr>
      </w:pPr>
    </w:p>
    <w:p>
      <w:pPr>
        <w:ind w:left="340" w:hanging="332"/>
        <w:spacing w:after="0" w:line="279"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Chintu Patel may be deemed to beneficially own 24,753,252 shares of Class B common stock held of record by The Chintu Patel Revocable Trust and The Falguni Patel Revocable Trust.</w:t>
      </w:r>
    </w:p>
    <w:p>
      <w:pPr>
        <w:spacing w:after="0" w:line="3" w:lineRule="exact"/>
        <w:rPr>
          <w:rFonts w:ascii="Arial" w:cs="Arial" w:eastAsia="Arial" w:hAnsi="Arial"/>
          <w:sz w:val="14"/>
          <w:szCs w:val="14"/>
          <w:i w:val="1"/>
          <w:iCs w:val="1"/>
          <w:color w:val="auto"/>
        </w:rPr>
      </w:pPr>
    </w:p>
    <w:p>
      <w:pPr>
        <w:jc w:val="both"/>
        <w:ind w:left="340" w:hanging="332"/>
        <w:spacing w:after="0" w:line="254"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Chirag Patel may be deemed to beneficially own 21,269,420 shares of Class B common stock held of record by The Chirag Patel Revocable Trust and The Priti Patel Revocable Trust. Mr. Patel has pledged to Credit Suisse AG 15,024,197 common units (including the shares of Class A common stock issued upon any redemption thereof) and 15,024,197 shares of Class B common stock associated therewith to secure the obligations of those certain borrowers to the Promissory Note and Collateral Agreement dated December 10, 2021.</w:t>
      </w:r>
    </w:p>
    <w:p>
      <w:pPr>
        <w:spacing w:after="0" w:line="20" w:lineRule="exact"/>
        <w:rPr>
          <w:rFonts w:ascii="Arial" w:cs="Arial" w:eastAsia="Arial" w:hAnsi="Arial"/>
          <w:sz w:val="14"/>
          <w:szCs w:val="14"/>
          <w:i w:val="1"/>
          <w:iCs w:val="1"/>
          <w:color w:val="auto"/>
        </w:rPr>
      </w:pPr>
    </w:p>
    <w:p>
      <w:pPr>
        <w:jc w:val="both"/>
        <w:ind w:left="340" w:hanging="332"/>
        <w:spacing w:after="0" w:line="251"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See “Corporate Governance – Corporate Structure” above for a discussion of the relationship between the Amneal Group and the Company. The Amneal Group holds 100% of our outstanding Class B shares. Certain members of the Amneal Group may also hold Class A shares. Messrs. Chintu Patel, Chirag Patel and Gautam Patel are members of the Amneal Group and also members of our Board, and their shares are reported in the “Executive Officers and Directors” table above. Shares of Class A common stock held by members of the Amneal Group other than Messrs. Chintu Patel, Chirag Patel, Gautam Patel, Dipan Patel and Tushar Patel are not reported in this table.</w:t>
      </w:r>
    </w:p>
    <w:p>
      <w:pPr>
        <w:spacing w:after="0" w:line="190" w:lineRule="exact"/>
        <w:rPr>
          <w:rFonts w:ascii="Arial" w:cs="Arial" w:eastAsia="Arial" w:hAnsi="Arial"/>
          <w:sz w:val="14"/>
          <w:szCs w:val="14"/>
          <w:i w:val="1"/>
          <w:iCs w:val="1"/>
          <w:color w:val="auto"/>
        </w:rPr>
      </w:pPr>
    </w:p>
    <w:p>
      <w:pPr>
        <w:ind w:left="340" w:hanging="332"/>
        <w:spacing w:after="0" w:line="279"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Fosun International Limited, Room 808, ICBC Tower, 3 Garden Road, Central, Hong Kong. As reported in the Form 13G/A filed on February 14, 2020 with respect to its holdings as of December 31, 2019, Fosun has the shared power to vote or direct the vote and the shared power to dispose or direct the disposition of 16,438,356 shares.</w:t>
      </w:r>
    </w:p>
    <w:p>
      <w:pPr>
        <w:spacing w:after="0" w:line="3" w:lineRule="exact"/>
        <w:rPr>
          <w:rFonts w:ascii="Arial" w:cs="Arial" w:eastAsia="Arial" w:hAnsi="Arial"/>
          <w:sz w:val="14"/>
          <w:szCs w:val="14"/>
          <w:i w:val="1"/>
          <w:iCs w:val="1"/>
          <w:color w:val="auto"/>
        </w:rPr>
      </w:pPr>
    </w:p>
    <w:p>
      <w:pPr>
        <w:jc w:val="both"/>
        <w:ind w:left="340" w:hanging="332"/>
        <w:spacing w:after="0" w:line="267"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TPG Inc., 301 Commerce Street, Suite 3300, Fort Worth, TX 76102. As reported in the Form 13D/A filed by TPG GP A, LLC on January 19, 2022 with respect to its holdings as of December 31, 2021, the reporting persons have the shared power to vote or direct the vote and the shared power to dispose or direct the disposition of 16,213,367 shares.</w:t>
      </w:r>
    </w:p>
    <w:p>
      <w:pPr>
        <w:spacing w:after="0" w:line="181" w:lineRule="exact"/>
        <w:rPr>
          <w:rFonts w:ascii="Arial" w:cs="Arial" w:eastAsia="Arial" w:hAnsi="Arial"/>
          <w:sz w:val="14"/>
          <w:szCs w:val="14"/>
          <w:i w:val="1"/>
          <w:iCs w:val="1"/>
          <w:color w:val="auto"/>
        </w:rPr>
      </w:pPr>
    </w:p>
    <w:p>
      <w:pPr>
        <w:jc w:val="both"/>
        <w:ind w:left="340" w:hanging="332"/>
        <w:spacing w:after="0" w:line="260" w:lineRule="auto"/>
        <w:tabs>
          <w:tab w:leader="none" w:pos="340" w:val="left"/>
        </w:tabs>
        <w:numPr>
          <w:ilvl w:val="0"/>
          <w:numId w:val="43"/>
        </w:numPr>
        <w:rPr>
          <w:rFonts w:ascii="Arial" w:cs="Arial" w:eastAsia="Arial" w:hAnsi="Arial"/>
          <w:sz w:val="14"/>
          <w:szCs w:val="14"/>
          <w:i w:val="1"/>
          <w:iCs w:val="1"/>
          <w:color w:val="auto"/>
        </w:rPr>
      </w:pPr>
      <w:r>
        <w:rPr>
          <w:rFonts w:ascii="Arial" w:cs="Arial" w:eastAsia="Arial" w:hAnsi="Arial"/>
          <w:sz w:val="14"/>
          <w:szCs w:val="14"/>
          <w:i w:val="1"/>
          <w:iCs w:val="1"/>
          <w:color w:val="auto"/>
        </w:rPr>
        <w:t>The Vanguard Group, 100 Vanguard Boulevard, Malvern, PA 19355. As reported in the Schedule 13G/A filed by The Vanguard Group on February 9, 2022, The Vanguard Group has the sole power to vote or direct the vote of 0 shares, the shared power to vote or direct the vote of 206,683 shares, the sole power to dispose or direct the disposition of 11,291,322 shares and the shared power to dispose or direct the disposition of 283,573 shares.</w:t>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49</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50" w:name="page51"/>
    <w:bookmarkEnd w:id="50"/>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spacing w:after="0"/>
        <w:rPr>
          <w:sz w:val="20"/>
          <w:szCs w:val="20"/>
          <w:color w:val="auto"/>
        </w:rPr>
      </w:pPr>
      <w:r>
        <w:rPr>
          <w:rFonts w:ascii="Arial" w:cs="Arial" w:eastAsia="Arial" w:hAnsi="Arial"/>
          <w:sz w:val="16"/>
          <w:szCs w:val="16"/>
          <w:color w:val="auto"/>
        </w:rPr>
        <w:t>To our knowledge, except as noted above, no person or entity is the beneficial owner of more than five percent of the voting power of the Company’s stock.</w:t>
      </w:r>
    </w:p>
    <w:p>
      <w:pPr>
        <w:spacing w:after="0" w:line="345"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Delinquent Section 16(a) Reports</w:t>
      </w:r>
    </w:p>
    <w:p>
      <w:pPr>
        <w:spacing w:after="0" w:line="237"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Section 16(a) of the Securities Exchange Act of 1934, as amended (the “Exchange Act”), requires our directors and executive officers and any persons who own more than ten percent of our common stock to file with the SEC various reports as to ownership of and changes of ownership in any class of equity securities of our Company. As a practical matter, the Company assists its directors and officers by monitoring transactions and completing and filing Section 16 reports on their behalf. Based solely on a review of the reports filed for fiscal 2021 and related written representations, we believe that all of our directors and executive officers and any persons who own more than ten percent of our common stock filed the required reports on a timely basis during fiscal 2021.</w:t>
      </w:r>
    </w:p>
    <w:p>
      <w:pPr>
        <w:spacing w:after="0" w:line="156"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51" w:name="page52"/>
    <w:bookmarkEnd w:id="51"/>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Certain </w:t>
      </w:r>
      <w:r>
        <w:rPr>
          <w:rFonts w:ascii="Arial" w:cs="Arial" w:eastAsia="Arial" w:hAnsi="Arial"/>
          <w:sz w:val="47"/>
          <w:szCs w:val="47"/>
          <w:b w:val="1"/>
          <w:bCs w:val="1"/>
          <w:color w:val="000000"/>
        </w:rPr>
        <w:t>Related Parties and Related Party</w:t>
      </w:r>
    </w:p>
    <w:p>
      <w:pPr>
        <w:spacing w:after="0" w:line="44" w:lineRule="exact"/>
        <w:rPr>
          <w:sz w:val="20"/>
          <w:szCs w:val="20"/>
          <w:color w:val="auto"/>
        </w:rPr>
      </w:pPr>
    </w:p>
    <w:p>
      <w:pPr>
        <w:spacing w:after="0"/>
        <w:rPr>
          <w:sz w:val="20"/>
          <w:szCs w:val="20"/>
          <w:color w:val="auto"/>
        </w:rPr>
      </w:pPr>
      <w:r>
        <w:rPr>
          <w:rFonts w:ascii="Arial" w:cs="Arial" w:eastAsia="Arial" w:hAnsi="Arial"/>
          <w:sz w:val="47"/>
          <w:szCs w:val="47"/>
          <w:b w:val="1"/>
          <w:bCs w:val="1"/>
          <w:color w:val="auto"/>
        </w:rPr>
        <w:t>Transactions</w:t>
      </w:r>
    </w:p>
    <w:p>
      <w:pPr>
        <w:spacing w:after="0" w:line="200" w:lineRule="exact"/>
        <w:rPr>
          <w:sz w:val="20"/>
          <w:szCs w:val="20"/>
          <w:color w:val="auto"/>
        </w:rPr>
      </w:pPr>
    </w:p>
    <w:p>
      <w:pPr>
        <w:spacing w:after="0" w:line="281"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Review and Approval of Related Party Transactions</w:t>
      </w:r>
    </w:p>
    <w:p>
      <w:pPr>
        <w:spacing w:after="0" w:line="237" w:lineRule="exact"/>
        <w:rPr>
          <w:sz w:val="20"/>
          <w:szCs w:val="20"/>
          <w:color w:val="auto"/>
        </w:rPr>
      </w:pPr>
    </w:p>
    <w:p>
      <w:pPr>
        <w:jc w:val="both"/>
        <w:spacing w:after="0" w:line="247" w:lineRule="auto"/>
        <w:rPr>
          <w:sz w:val="20"/>
          <w:szCs w:val="20"/>
          <w:color w:val="auto"/>
        </w:rPr>
      </w:pPr>
      <w:r>
        <w:rPr>
          <w:rFonts w:ascii="Arial" w:cs="Arial" w:eastAsia="Arial" w:hAnsi="Arial"/>
          <w:sz w:val="16"/>
          <w:szCs w:val="16"/>
          <w:color w:val="auto"/>
        </w:rPr>
        <w:t>Our Board of Directors recognizes that transactions involving our Company and related parties present heightened risk of potential or actual conflicts of interest that may interfere—or even appear to interfere—with the interests of our Company. Therefore, it is the policy of our Company (as set forth in our written Related Person Transaction Policy and Procedures and Conflicts Committee Charter) that the Conflicts Committee of the Board of Directors shall review, approve or ratify any transaction with related parties required to be reported by our Company under the applicable rules and regulations governing related party transactions promulgated by the SEC. As discussed more fully in our Related Person Transaction Policy, in determining whether to approve a transaction, the Conflicts Committee considers all relevant facts and circumstances, including, among other factors, the material terms of the transaction, the approximate dollar value of the amount involved in the transaction, the nature of the related person’s interest in the transaction, the approximate dollar value of the amount of the related person’s direct or indirect interest in the transaction, whether the transaction is on terms comparable to those that could be obtained in arm’s length dealings with an unrelated third party, the importance of the transaction both to the Company and to the Related Person and whether the transaction would likely impair the judgment of a director or executive officer to act in the best interest of the Company. Copies of our Related Person Transaction Policy and Procedures and Conflicts Committee Charter are available on our website.</w:t>
      </w:r>
    </w:p>
    <w:p>
      <w:pPr>
        <w:spacing w:after="0" w:line="336"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Related Party Transactions</w:t>
      </w:r>
    </w:p>
    <w:p>
      <w:pPr>
        <w:spacing w:after="0" w:line="237"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See the footnotes to the tables in the section entitled “Security Ownership of Certain Beneficial Owners and Management” for a discussion of related party transactions between the Company and trusts controlled by Gautam Patel and Chirag Patel relating to pledging arrangements.</w:t>
      </w:r>
    </w:p>
    <w:p>
      <w:pPr>
        <w:spacing w:after="0" w:line="257"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Fosun International Limited</w:t>
      </w:r>
    </w:p>
    <w:p>
      <w:pPr>
        <w:spacing w:after="0" w:line="231"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Fosun is a Chinese international conglomerate and investment company that is a stockholder of the Company. On June 6, 2019, the Company entered into a license and supply agreement with a subsidiary of Fosun, which is a Chinese pharmaceutical company. Under the terms of the agreement, the Company will hold the import drug license required for pharmaceutical products manufactured outside of China and will supply Fosun with finished, packaged products for Fosun to then sell in the China market. Fosun will be responsible for obtaining regulatory approval in China and for shipping the product from Amneal’s facility to Fosun’s customers in China. In consideration for access to the Company’s U.S. regulatory filings to support its China regulatory filings and for the supply of product, Fosun paid the Company a $1 million non-refundable fee, net of tax, in July 2019 and will be required to pay the Company $0.3 million for each of eight products upon the first commercial sale of each in China in addition to a supply price and a profit share. For the year ended December 31, 2021, the Company did not earn any revenue from this agreement.</w:t>
      </w:r>
    </w:p>
    <w:p>
      <w:pPr>
        <w:spacing w:after="0" w:line="180"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On August 12, 2021, the Company entered into a license and development agreement with a subsidiary of Fosun, pursuant to which the Company granted Fosun an exclusive license to two active pharmaceutical ingredients (“APIs”) for manufacture and commercialization outside of the U.S. Fosun will be responsible for obtaining regulatory approvals outside of the U.S. Fosun paid the Company a $0.2 million non-refundable fee, which was recognized in 2021 as revenue and will be required to pay the Company $0.1 million for each of the two products upon the first commercial sale of each in China in addition to a profit share.</w:t>
      </w:r>
    </w:p>
    <w:p>
      <w:pPr>
        <w:spacing w:after="0" w:line="265"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TPG Operations LLC</w:t>
      </w:r>
    </w:p>
    <w:p>
      <w:pPr>
        <w:spacing w:after="0" w:line="23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TPG Operations LLC (“TPG”) is a private investment firm that provides financial services and is a significant stockholder of the Company. Jeff Schilling, an observer of our Board, is a managing director of TPG. TPG offers capital and strategic support for companies with substantial growth potential primarily in the healthcare, financial services, real estate, and clean technology sectors. In March 2020, the Company entered into an agreement in which TPG provided financial consulting services for a period of 7 months. The agreement was subsequently extended until March 2022. Services provided totaled $0.25 million for the year ended December 31, 2021. The services are not expected to have a material impact to the Company’s financial statements.</w:t>
      </w:r>
    </w:p>
    <w:p>
      <w:pPr>
        <w:spacing w:after="0" w:line="156"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51</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52" w:name="page53"/>
    <w:bookmarkEnd w:id="52"/>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Transactions Involving Our Co-CEOs (Mr. Chirag Patel and Mr. Chintu Patel)</w:t>
      </w:r>
    </w:p>
    <w:p>
      <w:pPr>
        <w:spacing w:after="0" w:line="201"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Kanan, LLC</w:t>
      </w:r>
    </w:p>
    <w:p>
      <w:pPr>
        <w:spacing w:after="0" w:line="205"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Kanan, LLC (“Kanan”) is an independent real estate company and the landlord of Amneal’s leased manufacturing facilities located at 65 Readington Road, Branchburg, New Jersey, 131 Chambers Brook Road, Branchburg, New Jersey and 1 New England Avenue, Piscataway, New Jersey, pursuant to certain lease agreements entered into by Amneal and Kanan (the “New Jersey Lease Agreements”). Pursuant to the New Jersey Lease Agreements, rent expense paid to Kanan for the year ended December 31, 2021 was approximately $2 million.</w:t>
      </w:r>
    </w:p>
    <w:p>
      <w:pPr>
        <w:spacing w:after="0" w:line="175"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Chirag Patel and Chintu Patel beneficially own, through certain revocable trusts, 28.0% in the aggregate of the equity securities of Kanan. In addition, each of Chintu Patel and Chirag Patel serves on the Board of Managers of Kanan.</w:t>
      </w:r>
    </w:p>
    <w:p>
      <w:pPr>
        <w:spacing w:after="0" w:line="139"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Kashiv Biosciences, LLC</w:t>
      </w:r>
    </w:p>
    <w:p>
      <w:pPr>
        <w:spacing w:after="0" w:line="205"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Kashiv Biosciences, LLC (“Kashiv”) is an independent contract development organization that has historically been focused primarily on the development of 505(b)(2) NDA products utilizing its own proprietary technology platforms, particularly in the areas of abuse deterrence and bioavailability enhancement. Kashiv possesses deep knowledge and patented novel technologies for developing complex generic and specialty products, and Amneal has collaborated with Kashiv to develop a number of those products.</w:t>
      </w:r>
    </w:p>
    <w:p>
      <w:pPr>
        <w:spacing w:after="0" w:line="175"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On January 11, 2021, Amneal entered into a Membership Interest Purchase Agreement (the “Purchase Agreement”) with Kashiv, pursuant to which, among other matters and on the terms and subject to the conditions of the Purchase Agreement, Amneal purchased from Kashiv 98% of the outstanding membership interests of Kashiv Specialty, a direct subsidiary of Kashiv (the “Acquisition”). Pursuant to the Purchase Agreement, Amneal is required to pay Kashiv an upfront purchase price comprised of (i) a cash payment of $70 million at the closing of the Acquisition, which is subject to certain customary purchase price adjustments, and (ii) a cash payment of $30 million at the one-year anniversary of the execution of the purchase agreement. Kashiv is also eligible to receive up to an additional $8 million in contingent payments upon the achievement of certain regulatory milestones. In addition to the foregoing contingent payments, the Company has agreed to pay Kashiv certain royalty payments equal to an escalating percentage (from high single-digits to mid double-digits, depending on the net sales amount) of aggregate annual net sales for certain pharmaceutical products. The Purchase Agreement contains customary representations, warranties and covenants. The Acquisition closed on April 2, 2021, and the initial upfront payment was financed with cash on hand. The second cash payment of $30 million was paid to Kashiv on January 11, 2022 as per the terms of the Purchase Agreement.</w:t>
      </w:r>
    </w:p>
    <w:p>
      <w:pPr>
        <w:spacing w:after="0" w:line="178"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 connection with the Acquisition, the Company and Kashiv entered into a Transition Services Agreement, pursuant to which Kashiv agreed to provide certain transition services to the Company in the areas of information technology, financial and operational accounting and R&amp;D services for a period of up to six months post-Acquisition unless otherwise agreed. Total payments to Kashiv for the year ended December 31, 2021 was $0.2 million.</w:t>
      </w:r>
    </w:p>
    <w:p>
      <w:pPr>
        <w:spacing w:after="0" w:line="174" w:lineRule="exact"/>
        <w:rPr>
          <w:sz w:val="20"/>
          <w:szCs w:val="20"/>
          <w:color w:val="auto"/>
        </w:rPr>
      </w:pPr>
    </w:p>
    <w:p>
      <w:pPr>
        <w:jc w:val="both"/>
        <w:spacing w:after="0" w:line="257" w:lineRule="auto"/>
        <w:rPr>
          <w:sz w:val="20"/>
          <w:szCs w:val="20"/>
          <w:color w:val="auto"/>
        </w:rPr>
      </w:pPr>
      <w:r>
        <w:rPr>
          <w:rFonts w:ascii="Arial" w:cs="Arial" w:eastAsia="Arial" w:hAnsi="Arial"/>
          <w:sz w:val="16"/>
          <w:szCs w:val="16"/>
          <w:color w:val="auto"/>
        </w:rPr>
        <w:t>In connection with the Acquisition, the Company and Kashiv entered into a Storage Agreement pursuant to which the Company agreed to provide storage and inventory transfer services at the KSP-acquired facility for a period of one year post-Acquisition, which has been extended for an additional one year period.</w:t>
      </w:r>
    </w:p>
    <w:p>
      <w:pPr>
        <w:spacing w:after="0" w:line="362"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Amneal and Kashiv were party to a multi-product development agreement, dated as of August 1, 2011, that was amended and restated in February 2020, pursuant to which Amneal and Kashiv have agreed to collaborate on the development and commercialization of a number of generic pharmaceutical products. This agreement was terminated in connection with the Acquisition as these products comprised part of the assets purchased by the Company.</w:t>
      </w:r>
    </w:p>
    <w:p>
      <w:pPr>
        <w:spacing w:after="0" w:line="17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Company and Kashiv were party to a binding term sheet, dated November 5, 2019, for the development and commercialization of Kashiv’s orphan drug K127 (pyridostigmine) for the treatment of Myasthenia Gravis. This agreement was terminated in connection with the Acquisition as K127 comprised one of the assets purchased by the Company.</w:t>
      </w:r>
    </w:p>
    <w:p>
      <w:pPr>
        <w:spacing w:after="0" w:line="174"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In May 2020, Amneal and Kashiv entered into a product development agreement for the development and commercialization of Posaconazole. This agreement was terminated in connection with the Acquisition as these assets comprised part of the assets purchased by the Company.</w:t>
      </w:r>
    </w:p>
    <w:p>
      <w:pPr>
        <w:spacing w:after="0" w:line="168" w:lineRule="exact"/>
        <w:rPr>
          <w:sz w:val="20"/>
          <w:szCs w:val="20"/>
          <w:color w:val="auto"/>
        </w:rPr>
      </w:pPr>
    </w:p>
    <w:p>
      <w:pPr>
        <w:jc w:val="both"/>
        <w:ind w:right="20"/>
        <w:spacing w:after="0" w:line="253" w:lineRule="auto"/>
        <w:rPr>
          <w:sz w:val="20"/>
          <w:szCs w:val="20"/>
          <w:color w:val="auto"/>
        </w:rPr>
      </w:pPr>
      <w:r>
        <w:rPr>
          <w:rFonts w:ascii="Arial" w:cs="Arial" w:eastAsia="Arial" w:hAnsi="Arial"/>
          <w:sz w:val="16"/>
          <w:szCs w:val="16"/>
          <w:color w:val="auto"/>
        </w:rPr>
        <w:t>The Company and Kashiv are party to a master services agreement, dated February 20, 2020, covering certain services that Kashiv provides the Company for commercial product support, with such services charged at an hourly rate of $100 per hour for actual time spent plus third party costs. Total payments to Kashiv for the year ended December 31, 2021 was $1.02 million.</w:t>
      </w:r>
    </w:p>
    <w:p>
      <w:pPr>
        <w:spacing w:after="0" w:line="174"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Company and Kashiv are also negotiating a consulting arrangement whereby Kashiv will provide advice relating to its Specialty programs, with such services to be charged at an hourly rate of $200 per hour for clinical consulting and $240 per hour for non-clinical consulting.</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In late 2018, Adello Biologics, LLC (“Adello”) contributed substantially all of its assets to Kashiv as of January 1, 2019, and transferred all agreements to Kashiv, including agreements between Amneal and Adello. The following agreements are now between Kashiv and Amneal.</w:t>
      </w:r>
    </w:p>
    <w:p>
      <w:pPr>
        <w:spacing w:after="0" w:line="148"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53" w:name="page54"/>
    <w:bookmarkEnd w:id="53"/>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Amneal and Kashiv are party to a license and commercialization agreement (the “Kashiv License Agreement”) pursuant to which Kashiv and Amneal have agreed to cooperate with respect to certain development activities in connection with two biologic pharmaceutical products (the “Kashiv Products”). In addition, under the Kashiv License Agreement, Kashiv has appointed Amneal as its exclusive marketing partner for the Kashiv Products in the United States. In connection with the Kashiv License Agreement, Kashiv received an upfront payment of $1.5 million from Amneal in October 2017 and is entitled to share in Amneal’s net profits on the products if and when commercialized. In addition, Kashiv is eligible to receive from Amneal payments of (i) up to $21 million in milestones relating to obtaining regulatory approval for the Kashiv Products, (ii) up to $43 million in milestones for the successful manufacture and delivery of the Kashiv Products, (iii) between $20 million and $50 million in milestones depending on the number of competitors for one of the Kashiv Products at launch and (iv) between $15 million and $67.5 million for the achievement of cumulative combined net sales levels for the Kashiv Products, subject to certain conditions and the achievement of specific development and commercial objectives.</w:t>
      </w:r>
    </w:p>
    <w:p>
      <w:pPr>
        <w:spacing w:after="0" w:line="179"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 August 2020, Amneal and Kashiv entered into a product development agreement for the development and commercialization of two generic peptide products, Ganirelix Acetate and Cetrorelix Acetate. Under the agreement, the intellectual property and ANDA for these products are owned by Amneal, and Kashiv is to receive a profit share for all sales of the products made by Amneal.</w:t>
      </w:r>
    </w:p>
    <w:p>
      <w:pPr>
        <w:spacing w:after="0" w:line="174"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Pursuant to the agreements described above, the total profit share paid to Kashiv for the year ended December 31, 2021 was $2.7 million, and total payments for milestones, services and reimbursement of expenses paid to Kashiv for the year ended December 31, 2021 was $6.6 million.</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Company and Kashiv are also party to an arrangement whereby the Company leases parking spaces from Kashiv, pursuant to which the Company pays to Kashiv approximately $99,000 per year.</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Chirag Patel and Chintu Patel beneficially own, directly and through certain revocable or irrevocable trusts for the benefit of their immediate families, 50% in the aggregate of the outstanding equity securities of Kashiv. In addition, each of Chintu Patel and Chirag Patel serve on the Board of Managers of Kashiv.</w:t>
      </w:r>
    </w:p>
    <w:p>
      <w:pPr>
        <w:spacing w:after="0" w:line="139"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Nava Pharma, LLC and PharmaSophia, LLC</w:t>
      </w:r>
    </w:p>
    <w:p>
      <w:pPr>
        <w:spacing w:after="0" w:line="205"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PharmaSophia, LLC (“PharmaSophia”) is a joint venture formed by Nava Pharma, LLC (“Nava”) and Oakwood Laboratories, LLC for the purpose of developing certain products. PharmaSophia is currently actively developing one injectable product. PharmaSophia and Nava are parties to a research and development agreement pursuant to which Nava provides research and development services to PharmaSophia. Nava subcontracted this obligation to Amneal. Amneal, PharmaSophia and Oakwood also entered into a manufacturing agreement whereby Amneal agreed to manufacture exhibit and commercial batches of products under development. The total amount of income earned from these agreements by Amneal for the year ended December 31, 2021 was $0.3 million. As of December 31, 2021, a receivable of $1.1 million was due to Amneal from PharmaSophia.</w:t>
      </w:r>
    </w:p>
    <w:p>
      <w:pPr>
        <w:spacing w:after="0" w:line="178"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PharmaSophia and Amneal are currently negotiating an agreement for Amneal to obtain worldwide commercial rights to the injectable product under development. Amneal would incur development costs up to an agreed cap and PharmaSophia would receive a 50% net profit share upon commercial sale of the product.</w:t>
      </w:r>
    </w:p>
    <w:p>
      <w:pPr>
        <w:spacing w:after="0" w:line="174"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Chirag Patel and Chintu Patel beneficially own, directly and through certain revocable trusts, equity securities in Nava. Nava beneficially owns 50% of the outstanding equity securities of PharmaSophia. In addition, each of Chintu Patel and Chirag Patel serve on Nava and PharmaSophia’s Board of Managers.</w:t>
      </w:r>
    </w:p>
    <w:p>
      <w:pPr>
        <w:spacing w:after="0" w:line="139"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Avtar Investments, LLC and Avtar Enterprise, LLC</w:t>
      </w:r>
    </w:p>
    <w:p>
      <w:pPr>
        <w:spacing w:after="0" w:line="205"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Avtar Investments, LLC is a private investment firm and Avtar Enterprise, LLC is a private portfolio company (collectively, “Avtar”). Chirag Patel and Chintu Patel beneficially own, directly and through certain revocable trusts, outstanding equity securities of Avtar. In April 2020, the Company entered into an agreement with Avtar Investments under which Avtar provided certain financial consulting services. The agreement expired in April 2021 and was not renewed. In July 2020, the Company entered into an agreement with Avtar Enterprise under which Avtar agreed to provide consulting services relating to certain clinical studies and regulatory advice for generic pharmaceutical products in development by the Company. The agreement was expanded in February 2022 to include several inhalation products and other programs. Avtar and Amneal are currently in negotiations to expand this consulting arrangement to include clinical consulting advice for certain of Amneal’s specialty programs. As of December 31, 2021, less than $0.1 million was due to Avtar.</w:t>
      </w:r>
    </w:p>
    <w:p>
      <w:pPr>
        <w:spacing w:after="0" w:line="341"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Employment and Stockholder Arrangements with Immediate Family Members</w:t>
      </w:r>
    </w:p>
    <w:p>
      <w:pPr>
        <w:spacing w:after="0" w:line="205"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Kanubhai Patel, the father of Chirag and Chintu Patel, is employed by us as the Chairman of Amneal Pharmaceuticals India Private Limited. During the fiscal year ended December 31, 2021, Mr. Kanubhai Patel had total compensation of approximately $454,642. In addition, he received an equity grant in 2021 with a grant date fair value of $150,000.</w:t>
      </w:r>
    </w:p>
    <w:p>
      <w:pPr>
        <w:spacing w:after="0" w:line="174"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Bindu Patel, a sister of Chirag and Chintu Patel, is employed by us as a manager in the information technology department. During the fiscal year ended December 31, 2021, Ms. Bindu Patel had total compensation of approximately $125,143.</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53</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54" w:name="page55"/>
    <w:bookmarkEnd w:id="54"/>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9"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Agreements Entered into in Connection with the Combination and the PIPE Investment</w:t>
      </w:r>
    </w:p>
    <w:p>
      <w:pPr>
        <w:spacing w:after="0" w:line="23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 2018, Amneal entered into an important strategic transaction that we refer to as the Combination. The Combination was a transformative event that established Amneal as an industry leader with high-value generic product pipelines and a growing specialty business. The following summarizes the agreements we entered in connection with the Combination.</w:t>
      </w:r>
    </w:p>
    <w:p>
      <w:pPr>
        <w:spacing w:after="0" w:line="145"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Stockholders Agreement</w:t>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See the “Corporate Governance” section of this proxy statement for a summary of the material terms of the Stockholders Agreement.</w:t>
      </w:r>
    </w:p>
    <w:p>
      <w:pPr>
        <w:spacing w:after="0" w:line="165"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PIPE Investment</w:t>
      </w:r>
    </w:p>
    <w:p>
      <w:pPr>
        <w:spacing w:after="0" w:line="205" w:lineRule="exact"/>
        <w:rPr>
          <w:sz w:val="20"/>
          <w:szCs w:val="20"/>
          <w:color w:val="auto"/>
        </w:rPr>
      </w:pPr>
    </w:p>
    <w:p>
      <w:pPr>
        <w:jc w:val="both"/>
        <w:spacing w:after="0" w:line="247" w:lineRule="auto"/>
        <w:rPr>
          <w:sz w:val="20"/>
          <w:szCs w:val="20"/>
          <w:color w:val="auto"/>
        </w:rPr>
      </w:pPr>
      <w:r>
        <w:rPr>
          <w:rFonts w:ascii="Arial" w:cs="Arial" w:eastAsia="Arial" w:hAnsi="Arial"/>
          <w:sz w:val="16"/>
          <w:szCs w:val="16"/>
          <w:color w:val="auto"/>
        </w:rPr>
        <w:t>In connection with the Combination, on May 4, 2018, members of the Amneal Group entered into definitive purchase agreements (the “PIPE Purchase Agreement”) that provided for a private placement of certain shares of Class A common stock and Class B-1 common stock (the “PIPE Investment”) with select institutional investors (the “PIPE Investors”). Pursuant to the PIPE Purchase Agreement, upon the closing of the Combination (the “Closing”), members of the Amneal Group exercised their right to cause Amneal LLC to redeem units held by such members pursuant to the LLC Agreement (defined herein). In connection with such redemption, such members of the Amneal Group received shares of Class A common stock or shares of Class B-1 common stock in exchange for such redeemed units, in each case pursuant to the LLC Agreement (such redemption and issuance of Class A common stock and Class B-1 common stock to the members of the Amneal Group, the “Redemption”). Following the Redemption, the members of the Amneal Group sold such shares of Class A common stock and Class B-1 common stock to the PIPE Investors at a per share purchase price of $18.25 for gross proceeds of approximately $855,000,000. Following the PIPE Investment, the PIPE Investors owned collectively approximately 15% of the Company’s shares on a fully diluted and as converted basis, with TPG owning all outstanding shares of Class B-1 common stock. As a result of the Conversion in 2019, there are no longer any shares of Class B-1 common stock outstanding.</w:t>
      </w:r>
    </w:p>
    <w:p>
      <w:pPr>
        <w:spacing w:after="0" w:line="185"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In connection with the Combination and in furtherance of the PIPE Investment, TPG, the Amneal Group and the Company entered into the PIPE Side Letter providing for certain rights and obligations of each in connection with the PIPE Investment. Pursuant to the PIPE Side Letter, TPG has customary registration rights with respect to the Company’s shares owned by TPG. The PIPE Side Letter also provides TPG the right to designate a Board observer with respect to the Company’s Board of Directors, as well as the right, subject to certain ownership thresholds discussed herein, to designate a director for appointment to the Company’s Board of Directors.</w:t>
      </w:r>
    </w:p>
    <w:p>
      <w:pPr>
        <w:spacing w:after="0" w:line="146"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Registration Rights Agreement</w:t>
      </w:r>
    </w:p>
    <w:p>
      <w:pPr>
        <w:spacing w:after="0" w:line="205"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We entered into a Registration Rights Agreement with the PIPE Investors in connection with the Closing. The Registration Rights Agreement provides the PIPE Investors certain registration rights whereby the Company and Impax were required to jointly prepare and file with the SEC a shelf registration statement on Form S-1 with respect to resales of all shares of Class A common stock beneficially owned by the Amneal Group. We agreed to use our reasonable best efforts to become eligible to use Form S-3 and, upon becoming eligible, we agreed to promptly file a shelf registration statement on Form S-3.</w:t>
      </w:r>
    </w:p>
    <w:p>
      <w:pPr>
        <w:spacing w:after="0" w:line="338"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Tax Receivable Agreement</w:t>
      </w:r>
    </w:p>
    <w:p>
      <w:pPr>
        <w:spacing w:after="0" w:line="205"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Pursuant to the LLC Agreement, the Amneal Group and its permitted transferees have the right to redeem all or a portion of their Amneal Common Units (defined herein) for Class A common stock. In connection with such redemption, the Company will receive a “step-up” in its share of the tax basis in the Amneal LLC assets and possibly certain other tax benefits, and the Company will pay the Members (as defined below) for the value of such benefits.</w:t>
      </w:r>
    </w:p>
    <w:p>
      <w:pPr>
        <w:spacing w:after="0" w:line="174"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following summary of the terms of the Tax Receivable Agreement is not a complete description thereof and is qualified in its entirety by the full text thereof.</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At the Closing, the Company, Amneal LLC and the Amneal Group entered into the Tax Receivable Agreement. The Tax Receivable Agreement governs the administration and allocation between the parties of tax liabilities and benefits arising prior to, as a result of, and subsequent to the Combination, and the respective rights, responsibilities and obligations of the Members and the Company with respect to various other tax matters. The term “Members” includes the then existing members of Amneal LLC at Closing (other than the Company) and any persons who have executed and delivered a joinder in accordance with the Tax Receivable Agreement. Chirag Patel, Chintu Patel and Gautam Patel are Members.</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Determination of Realized Tax Benefit</w:t>
      </w:r>
    </w:p>
    <w:p>
      <w:pPr>
        <w:spacing w:after="0" w:line="209"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Under the Tax Receivable Agreement, the Company will ensure that Amneal LLC and its subsidiaries that are treated as a partnership for U.S. federal income tax purposes will have in effect an election under Section 754 of the Code.</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Basis Schedules</w:t>
      </w:r>
    </w:p>
    <w:p>
      <w:pPr>
        <w:spacing w:after="0" w:line="209"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Within 90 days after the filing of the U.S. federal income tax return of the Company for each relevant taxable year, the Company will at its own expense deliver to the Members a schedule that shows (a) the basis adjustments with respect to the reference assets as a result of the relevant exchanges effected in such taxable year, calculated (i) in the aggregate and (ii) solely with respect to exchanges by the applicable Member; (b) the period (or periods) over which the reference assets are amortizable and/ or depreciable; and (c) the period (or periods) over which each basis adjustment is amortizable and/or depreciable.</w:t>
      </w:r>
    </w:p>
    <w:p>
      <w:pPr>
        <w:spacing w:after="0" w:line="347"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55" w:name="page56"/>
    <w:bookmarkEnd w:id="55"/>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Tax Benefit Schedules</w:t>
      </w:r>
    </w:p>
    <w:p>
      <w:pPr>
        <w:spacing w:after="0" w:line="209"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Within 90 days after the filing of the U.S. federal income tax return of the Company for any taxable year in which there is a realized tax benefit or realized tax detriment, the Company shall, at its own expense, deliver to the Members a schedule showing the calculation of the realized tax benefit or realized tax detriment for such taxable year.</w:t>
      </w:r>
    </w:p>
    <w:p>
      <w:pPr>
        <w:spacing w:after="0" w:line="14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Tax Benefit Payments</w:t>
      </w:r>
    </w:p>
    <w:p>
      <w:pPr>
        <w:spacing w:after="0" w:line="209"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Each Member is entitled to receive an amount equal to the sum of (1) 85% of the cumulative net realized tax benefit attributable to such Member as of the end of such taxable year over the aggregate amount of all tax benefit payments previously made to such Member, and (2) the interest calculated at the agreed rate from the due date for filing the U.S. federal income tax return of the Company for such taxable year until the date on which the Company makes a timely tax benefit payment to the Member.</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Approvals by the Amneal Group</w:t>
      </w:r>
    </w:p>
    <w:p>
      <w:pPr>
        <w:spacing w:after="0" w:line="209"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The Company and its subsidiaries must obtain prior written consent from the Amneal Group before (i) making a disposition of any assets held by Amneal LLC or its subsidiaries prior to the Closing if the cumulative “amount realized” (as such term is defined for U.S. federal income tax purposes) for all such dispositions in any 12-month period would be in excess of $40,000,000 unless the Company agrees to use its best efforts to ensure that each Member receives tax distributions equal to its assumed tax liability, (ii) making certain acquisitions that would reasonably be expected to materially adversely affect any member’s rights or obligations under the Tax Receivable Agreement, or (iii) entering into certain additional agreements with other persons that are similar to the Tax Receivable Agreement.</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Termination</w:t>
      </w:r>
    </w:p>
    <w:p>
      <w:pPr>
        <w:spacing w:after="0" w:line="209"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Company may terminate the Tax Receivable Agreement with the written approval of a majority of the independent directors of the Company’s Board of Directors by making a payment to the Members, equal to the present value of the tax benefit payments to be paid to each such Member, discounted at the lesser of ICE LIBOR plus 100 basis points or 6.50% per annum, compounded annually (an “Early Termination Payment”). The Tax Receivable Agreement will also be deemed to be terminated by the Company and an Early Termination Payment by the Company will be required in the event of either (a) a Change of Control (as defined below) or (b) a material breach by the Company of any of its material obligations under the Tax Receivable Agreement.</w:t>
      </w:r>
    </w:p>
    <w:p>
      <w:pPr>
        <w:spacing w:after="0" w:line="176"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A “Change of Control” includes (a) any person other than the Amneal Group and their permitted transferees beneficially owning more than 50% of the combined voting power of the Company; (b) the liquidation or dissolution of the Company, or the sale of all or substantially all of the assets of the Company, unless the sale is to an entity of which at least 50% of the combined voting power is owned by the Company’s Stockholders who owned the Company immediately prior to such sale in substantially the same proportions; (c) a business combination of the Company or any of its subsidiaries with any other entity, after which the Company’s Board of Directors immediately prior to such combination does not constitute at least a majority of the Board of Directors of the surviving company or its parent, or all of the beneficial owners of the voting securities of the Company prior to such combination do not beneficially own more than 50% of the combined voting power of the surviving entity; and (d) the following individuals ceasing to constitute a majority of the Company’s Board of Directors: (i) the directors of the Company as of the Closing (“Initial Directors”) and (ii) any new director whose appointment or nomination was approved by at least two-thirds of the directors who were (x) Initial Directors or (y) whose appointment or nomination was approved by at least two-thirds of the Initial Directors.</w:t>
      </w:r>
    </w:p>
    <w:p>
      <w:pPr>
        <w:spacing w:after="0" w:line="148"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LLC Agreement</w:t>
      </w:r>
    </w:p>
    <w:p>
      <w:pPr>
        <w:spacing w:after="0" w:line="205"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In connection with the Combination, Amneal LLC, the Company and the Existing Amneal Members (and the Amneal Group following the assignment and transfer by the Existing Amneal Members (as defined in the LLC Agreement) of Amneal Common Units to the Amneal Group) entered into and are governed by the LLC Agreement, which sets forth, among other things, certain transfer restrictions on Amneal Common Units, and rights to redeem Amneal Common Units in certain circumstances. The following summary of the terms of the LLC Agreement is not a complete description thereof and is qualified in its entirety by the full text thereof. Undefined capitalized terms in this section have the meaning ascribed to them in the LLC Agreement.</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Appointment of the Company as Manager</w:t>
      </w:r>
    </w:p>
    <w:p>
      <w:pPr>
        <w:spacing w:after="0" w:line="209"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Under the LLC Agreement, the Company is admitted as the sole managing member of Amneal LLC. As the managing member, the Company will conduct, direct and exercise full control over all activities of Amneal LLC, including day-to-day business affairs and decision-making of Amneal LLC, without the approval of any other member. As such, the Company, through Amneal’s LLC officers, will be responsible for all operational and administrative decisions of Amneal LLC and the day-to-day management of Amneal’s LLC business.</w:t>
      </w:r>
    </w:p>
    <w:p>
      <w:pPr>
        <w:spacing w:after="0" w:line="175"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Pursuant to the terms of the LLC Agreement, the Company will not be permitted, under any circumstances, to be removed as managing member by the members of Amneal LLC. The Company will not resign or cease to be the managing member unless proper provision is made for the obligations of the Company to remain in full force and effect.</w:t>
      </w:r>
    </w:p>
    <w:p>
      <w:pPr>
        <w:spacing w:after="0" w:line="17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managing member may cause Amneal LLC to contract with the managing member or any affiliate of the managing member as long as the contracts are on terms comparable to those available to others dealing at arm’s length or are approved by the members (other than the managing member and its controlled affiliates) holding a majority of the Amneal Common Units.</w:t>
      </w:r>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55</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56" w:name="page57"/>
    <w:bookmarkEnd w:id="56"/>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Officers</w:t>
      </w:r>
    </w:p>
    <w:p>
      <w:pPr>
        <w:spacing w:after="0" w:line="209"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The managing member will appoint the officers of Amneal LLC to implement the day-to-day business and operations of Amneal LLC. In the event of a vacancy, the managing member has the right to appoint a new officer to fill the vacancy.</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w:t>
      </w:r>
    </w:p>
    <w:p>
      <w:pPr>
        <w:spacing w:after="0" w:line="209"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Company will not be entitled to compensation for its services as managing member. It will be entitled to reimbursement by Amneal LLC for reasonable fees and expenses incurred on behalf of Amneal LLC, except for payment obligations of the Company under the Tax Receivable Agreement.</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Units</w:t>
      </w:r>
    </w:p>
    <w:p>
      <w:pPr>
        <w:spacing w:after="0" w:line="209"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LLC Agreement provides that at the Closing there will be one class of Amneal Common Units. In accordance with the Business Combination Agreement, all Amneal Common Units held by the Existing Amneal Members prior to the execution of the LLC Agreement were converted into Amneal Common Units. The managing member may establish additional securities of Amneal in its discretion in accordance with the terms, and subject to the restrictions of, the LLC Agreement. The managing member may create one or more classes or series of Amneal Common Units or preferred units solely to the extent they are in the aggregate substantially equivalent to a class of common stock of Amneal LLC or class or series of preferred stock of Amneal LLC.</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Allocations and Distributions</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color w:val="04568A"/>
        </w:rPr>
        <w:t>Allocations</w:t>
      </w:r>
    </w:p>
    <w:p>
      <w:pPr>
        <w:spacing w:after="0" w:line="209"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Pursuant to the LLC Agreement, items of income, gain, loss or deduction of Amneal LLC generally will be allocated among the members for capital accounts on a pro rata basis in accordance with each member’s percentage interest, except that partner nonrecourse deductions attributable to partner nonrecourse debt will be allocated in the manner required by the Treasury Regulations Section 1.704-2(i). Nonrecourse deductions for any taxable year will be allocated pro rata among the members in accordance with their percentage interests.</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b w:val="1"/>
          <w:bCs w:val="1"/>
          <w:color w:val="04568A"/>
        </w:rPr>
        <w:t>Distributions</w:t>
      </w:r>
    </w:p>
    <w:p>
      <w:pPr>
        <w:spacing w:after="0" w:line="209"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Amneal LLC may make distributions out of distributable cash and other funds or property to its members from time to time at the discretion of the Company. Such distributions generally will be made to the members on a pro rata basis in proportion to the number of Amneal Common Units held by each member on the record date for the distribution. Amneal LLC will not be required to make distributions to the extent that such distributions would render Amneal LLC insolvent or if such distribution would violate any applicable law or the terms of the any credit agreement in existence at Closing.</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b w:val="1"/>
          <w:bCs w:val="1"/>
          <w:color w:val="04568A"/>
        </w:rPr>
        <w:t>Tax Distributions</w:t>
      </w:r>
    </w:p>
    <w:p>
      <w:pPr>
        <w:spacing w:after="0" w:line="209"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In connection with any tax period, Amneal LLC is required to make distributions to its members, on a pro rata basis in proportion to the number of Amneal Common Units held by each member, of cash until each member (other than the Company) has received an amount at least equal to its assumed tax liability and the Company has received an amount sufficient to enable it to timely satisfy all of its U.S. federal, state and local and non-U.S. tax liabilities, and meet its obligations pursuant to the Tax Receivable Agreement. To the extent that any member does not receive its percent interest of the aggregate tax distribution, the tax distribution for such member will be increased to ensure that all distributions are made pro rata in accordance with such member’s percentage interest.</w:t>
      </w:r>
    </w:p>
    <w:p>
      <w:pPr>
        <w:spacing w:after="0" w:line="3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Redemption of Amneal Common Units</w:t>
      </w:r>
    </w:p>
    <w:p>
      <w:pPr>
        <w:spacing w:after="0" w:line="209"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Upon written notice to Amneal LLC and the Company, each member of Amneal LLC is entitled to effectuate a redemption (a “Redemption”) of all or any portion of its Amneal Common Units in exchange for the number of shares of Class A common stock equal to the number of redeemed Amneal Common Units (the “Share Settlement”) or, at the Company’s sole election, in cash, which shall be equal to the per share purchase price received by the Company pursuant to a sale of Class A common stock. If the Amneal Group, at the time of such cash election, owns greater than 50% of the voting power of the Common Stock, then the per share purchase price shall be net of any underwriter discounts or commissions and brokers fees or commissions.</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Restrictions</w:t>
      </w:r>
    </w:p>
    <w:p>
      <w:pPr>
        <w:spacing w:after="0" w:line="209" w:lineRule="exact"/>
        <w:rPr>
          <w:sz w:val="20"/>
          <w:szCs w:val="20"/>
          <w:color w:val="auto"/>
        </w:rPr>
      </w:pPr>
    </w:p>
    <w:p>
      <w:pPr>
        <w:spacing w:after="0"/>
        <w:rPr>
          <w:sz w:val="20"/>
          <w:szCs w:val="20"/>
          <w:color w:val="auto"/>
        </w:rPr>
      </w:pPr>
      <w:r>
        <w:rPr>
          <w:rFonts w:ascii="Arial" w:cs="Arial" w:eastAsia="Arial" w:hAnsi="Arial"/>
          <w:sz w:val="16"/>
          <w:szCs w:val="16"/>
          <w:color w:val="auto"/>
        </w:rPr>
        <w:t>No interest in Amneal LLC may be transferred except as permitted under the LLC Agreement. The LLC Agreement permits transfers:</w:t>
      </w:r>
    </w:p>
    <w:p>
      <w:pPr>
        <w:spacing w:after="0" w:line="194" w:lineRule="exact"/>
        <w:rPr>
          <w:sz w:val="20"/>
          <w:szCs w:val="20"/>
          <w:color w:val="auto"/>
        </w:rPr>
      </w:pPr>
    </w:p>
    <w:p>
      <w:pPr>
        <w:ind w:left="180" w:hanging="172"/>
        <w:spacing w:after="0"/>
        <w:tabs>
          <w:tab w:leader="none" w:pos="180" w:val="left"/>
        </w:tabs>
        <w:numPr>
          <w:ilvl w:val="0"/>
          <w:numId w:val="44"/>
        </w:numPr>
        <w:rPr>
          <w:rFonts w:ascii="Arial" w:cs="Arial" w:eastAsia="Arial" w:hAnsi="Arial"/>
          <w:sz w:val="16"/>
          <w:szCs w:val="16"/>
          <w:color w:val="04568A"/>
        </w:rPr>
      </w:pPr>
      <w:r>
        <w:rPr>
          <w:rFonts w:ascii="Arial" w:cs="Arial" w:eastAsia="Arial" w:hAnsi="Arial"/>
          <w:sz w:val="16"/>
          <w:szCs w:val="16"/>
          <w:color w:val="auto"/>
        </w:rPr>
        <w:t>by a member to an affiliate of such member;</w:t>
      </w:r>
    </w:p>
    <w:p>
      <w:pPr>
        <w:spacing w:after="0" w:line="86" w:lineRule="exact"/>
        <w:rPr>
          <w:rFonts w:ascii="Arial" w:cs="Arial" w:eastAsia="Arial" w:hAnsi="Arial"/>
          <w:sz w:val="16"/>
          <w:szCs w:val="16"/>
          <w:color w:val="04568A"/>
        </w:rPr>
      </w:pPr>
    </w:p>
    <w:p>
      <w:pPr>
        <w:ind w:left="180" w:hanging="172"/>
        <w:spacing w:after="0"/>
        <w:tabs>
          <w:tab w:leader="none" w:pos="180" w:val="left"/>
        </w:tabs>
        <w:numPr>
          <w:ilvl w:val="0"/>
          <w:numId w:val="44"/>
        </w:numPr>
        <w:rPr>
          <w:rFonts w:ascii="Arial" w:cs="Arial" w:eastAsia="Arial" w:hAnsi="Arial"/>
          <w:sz w:val="16"/>
          <w:szCs w:val="16"/>
          <w:color w:val="04568A"/>
        </w:rPr>
      </w:pPr>
      <w:r>
        <w:rPr>
          <w:rFonts w:ascii="Arial" w:cs="Arial" w:eastAsia="Arial" w:hAnsi="Arial"/>
          <w:sz w:val="16"/>
          <w:szCs w:val="16"/>
          <w:color w:val="auto"/>
        </w:rPr>
        <w:t>by the Existing Amneal Members or any direct or indirect transferee of such members (including the Amneal Group):</w:t>
      </w:r>
    </w:p>
    <w:p>
      <w:pPr>
        <w:spacing w:after="0" w:line="86" w:lineRule="exact"/>
        <w:rPr>
          <w:rFonts w:ascii="Arial" w:cs="Arial" w:eastAsia="Arial" w:hAnsi="Arial"/>
          <w:sz w:val="16"/>
          <w:szCs w:val="16"/>
          <w:color w:val="04568A"/>
        </w:rPr>
      </w:pPr>
    </w:p>
    <w:p>
      <w:pPr>
        <w:ind w:left="360" w:hanging="177"/>
        <w:spacing w:after="0"/>
        <w:tabs>
          <w:tab w:leader="none" w:pos="360" w:val="left"/>
        </w:tabs>
        <w:numPr>
          <w:ilvl w:val="1"/>
          <w:numId w:val="44"/>
        </w:numPr>
        <w:rPr>
          <w:rFonts w:ascii="Arial" w:cs="Arial" w:eastAsia="Arial" w:hAnsi="Arial"/>
          <w:sz w:val="16"/>
          <w:szCs w:val="16"/>
          <w:color w:val="auto"/>
        </w:rPr>
      </w:pPr>
      <w:r>
        <w:rPr>
          <w:rFonts w:ascii="Arial" w:cs="Arial" w:eastAsia="Arial" w:hAnsi="Arial"/>
          <w:sz w:val="16"/>
          <w:szCs w:val="16"/>
          <w:color w:val="auto"/>
        </w:rPr>
        <w:t>with the prior written consent of the Conflicts Committee,</w:t>
      </w:r>
    </w:p>
    <w:p>
      <w:pPr>
        <w:spacing w:after="0" w:line="86" w:lineRule="exact"/>
        <w:rPr>
          <w:rFonts w:ascii="Arial" w:cs="Arial" w:eastAsia="Arial" w:hAnsi="Arial"/>
          <w:sz w:val="16"/>
          <w:szCs w:val="16"/>
          <w:color w:val="auto"/>
        </w:rPr>
      </w:pPr>
    </w:p>
    <w:p>
      <w:pPr>
        <w:ind w:left="360" w:hanging="177"/>
        <w:spacing w:after="0"/>
        <w:tabs>
          <w:tab w:leader="none" w:pos="360" w:val="left"/>
        </w:tabs>
        <w:numPr>
          <w:ilvl w:val="1"/>
          <w:numId w:val="44"/>
        </w:numPr>
        <w:rPr>
          <w:rFonts w:ascii="Arial" w:cs="Arial" w:eastAsia="Arial" w:hAnsi="Arial"/>
          <w:sz w:val="16"/>
          <w:szCs w:val="16"/>
          <w:color w:val="auto"/>
        </w:rPr>
      </w:pPr>
      <w:r>
        <w:rPr>
          <w:rFonts w:ascii="Arial" w:cs="Arial" w:eastAsia="Arial" w:hAnsi="Arial"/>
          <w:sz w:val="16"/>
          <w:szCs w:val="16"/>
          <w:color w:val="auto"/>
        </w:rPr>
        <w:t>in response to a tender or exchange offer that has been approved or recommended by the Company Board;</w:t>
      </w:r>
    </w:p>
    <w:p>
      <w:pPr>
        <w:spacing w:after="0" w:line="86" w:lineRule="exact"/>
        <w:rPr>
          <w:rFonts w:ascii="Arial" w:cs="Arial" w:eastAsia="Arial" w:hAnsi="Arial"/>
          <w:sz w:val="16"/>
          <w:szCs w:val="16"/>
          <w:color w:val="auto"/>
        </w:rPr>
      </w:pPr>
    </w:p>
    <w:p>
      <w:pPr>
        <w:ind w:left="360" w:hanging="177"/>
        <w:spacing w:after="0"/>
        <w:tabs>
          <w:tab w:leader="none" w:pos="360" w:val="left"/>
        </w:tabs>
        <w:numPr>
          <w:ilvl w:val="1"/>
          <w:numId w:val="44"/>
        </w:numPr>
        <w:rPr>
          <w:rFonts w:ascii="Arial" w:cs="Arial" w:eastAsia="Arial" w:hAnsi="Arial"/>
          <w:sz w:val="16"/>
          <w:szCs w:val="16"/>
          <w:color w:val="auto"/>
        </w:rPr>
      </w:pPr>
      <w:r>
        <w:rPr>
          <w:rFonts w:ascii="Arial" w:cs="Arial" w:eastAsia="Arial" w:hAnsi="Arial"/>
          <w:sz w:val="16"/>
          <w:szCs w:val="16"/>
          <w:color w:val="auto"/>
        </w:rPr>
        <w:t>in connection with any Company Sale;</w:t>
      </w:r>
    </w:p>
    <w:p>
      <w:pPr>
        <w:spacing w:after="0" w:line="86" w:lineRule="exact"/>
        <w:rPr>
          <w:rFonts w:ascii="Arial" w:cs="Arial" w:eastAsia="Arial" w:hAnsi="Arial"/>
          <w:sz w:val="16"/>
          <w:szCs w:val="16"/>
          <w:color w:val="auto"/>
        </w:rPr>
      </w:pPr>
    </w:p>
    <w:p>
      <w:pPr>
        <w:jc w:val="both"/>
        <w:ind w:left="360" w:hanging="177"/>
        <w:spacing w:after="0" w:line="246" w:lineRule="auto"/>
        <w:tabs>
          <w:tab w:leader="none" w:pos="360" w:val="left"/>
        </w:tabs>
        <w:numPr>
          <w:ilvl w:val="1"/>
          <w:numId w:val="44"/>
        </w:numPr>
        <w:rPr>
          <w:rFonts w:ascii="Arial" w:cs="Arial" w:eastAsia="Arial" w:hAnsi="Arial"/>
          <w:sz w:val="16"/>
          <w:szCs w:val="16"/>
          <w:color w:val="auto"/>
        </w:rPr>
      </w:pPr>
      <w:r>
        <w:rPr>
          <w:rFonts w:ascii="Arial" w:cs="Arial" w:eastAsia="Arial" w:hAnsi="Arial"/>
          <w:sz w:val="16"/>
          <w:szCs w:val="16"/>
          <w:color w:val="auto"/>
        </w:rPr>
        <w:t>that is an individual, (1) to such Existing Amneal Member’s (or such transferee’s) spouse, (2) to such Existing Amneal Member’s (or such transferee’s) lineal ancestors, lineal descendants, siblings, cousins or the spouses thereof, (3) to trusts for the benefit of such Existing Amneal Member (or such transferee) or such persons, (4) to foundations established by such Existing Amneal Member (or such transferee) or such persons or affiliates thereof or</w:t>
      </w:r>
    </w:p>
    <w:p>
      <w:pPr>
        <w:spacing w:after="0" w:line="1" w:lineRule="exact"/>
        <w:rPr>
          <w:rFonts w:ascii="Arial" w:cs="Arial" w:eastAsia="Arial" w:hAnsi="Arial"/>
          <w:sz w:val="16"/>
          <w:szCs w:val="16"/>
          <w:color w:val="auto"/>
        </w:rPr>
      </w:pPr>
    </w:p>
    <w:p>
      <w:pPr>
        <w:ind w:left="360"/>
        <w:spacing w:after="0"/>
        <w:rPr>
          <w:rFonts w:ascii="Arial" w:cs="Arial" w:eastAsia="Arial" w:hAnsi="Arial"/>
          <w:sz w:val="16"/>
          <w:szCs w:val="16"/>
          <w:color w:val="auto"/>
        </w:rPr>
      </w:pPr>
      <w:r>
        <w:rPr>
          <w:rFonts w:ascii="Arial" w:cs="Arial" w:eastAsia="Arial" w:hAnsi="Arial"/>
          <w:sz w:val="16"/>
          <w:szCs w:val="16"/>
          <w:color w:val="auto"/>
        </w:rPr>
        <w:t>(5) by way of bequest or inheritance upon death;</w:t>
      </w:r>
    </w:p>
    <w:p>
      <w:pPr>
        <w:spacing w:after="0" w:line="86" w:lineRule="exact"/>
        <w:rPr>
          <w:rFonts w:ascii="Arial" w:cs="Arial" w:eastAsia="Arial" w:hAnsi="Arial"/>
          <w:sz w:val="16"/>
          <w:szCs w:val="16"/>
          <w:color w:val="auto"/>
        </w:rPr>
      </w:pPr>
    </w:p>
    <w:p>
      <w:pPr>
        <w:ind w:left="360" w:hanging="177"/>
        <w:spacing w:after="0"/>
        <w:tabs>
          <w:tab w:leader="none" w:pos="360" w:val="left"/>
        </w:tabs>
        <w:numPr>
          <w:ilvl w:val="1"/>
          <w:numId w:val="44"/>
        </w:numPr>
        <w:rPr>
          <w:rFonts w:ascii="Arial" w:cs="Arial" w:eastAsia="Arial" w:hAnsi="Arial"/>
          <w:sz w:val="16"/>
          <w:szCs w:val="16"/>
          <w:color w:val="auto"/>
        </w:rPr>
      </w:pPr>
      <w:r>
        <w:rPr>
          <w:rFonts w:ascii="Arial" w:cs="Arial" w:eastAsia="Arial" w:hAnsi="Arial"/>
          <w:sz w:val="16"/>
          <w:szCs w:val="16"/>
          <w:color w:val="auto"/>
        </w:rPr>
        <w:t>that is an entity, to such Existing Amneal Member’s (or such transferee’s) members, partners or other equity holders; or</w:t>
      </w:r>
    </w:p>
    <w:p>
      <w:pPr>
        <w:spacing w:after="0" w:line="86" w:lineRule="exact"/>
        <w:rPr>
          <w:rFonts w:ascii="Arial" w:cs="Arial" w:eastAsia="Arial" w:hAnsi="Arial"/>
          <w:sz w:val="16"/>
          <w:szCs w:val="16"/>
          <w:color w:val="auto"/>
        </w:rPr>
      </w:pPr>
    </w:p>
    <w:p>
      <w:pPr>
        <w:ind w:left="360" w:hanging="177"/>
        <w:spacing w:after="0"/>
        <w:tabs>
          <w:tab w:leader="none" w:pos="360" w:val="left"/>
        </w:tabs>
        <w:numPr>
          <w:ilvl w:val="1"/>
          <w:numId w:val="44"/>
        </w:numPr>
        <w:rPr>
          <w:rFonts w:ascii="Arial" w:cs="Arial" w:eastAsia="Arial" w:hAnsi="Arial"/>
          <w:sz w:val="16"/>
          <w:szCs w:val="16"/>
          <w:color w:val="auto"/>
        </w:rPr>
      </w:pPr>
      <w:r>
        <w:rPr>
          <w:rFonts w:ascii="Arial" w:cs="Arial" w:eastAsia="Arial" w:hAnsi="Arial"/>
          <w:sz w:val="16"/>
          <w:szCs w:val="16"/>
          <w:color w:val="auto"/>
        </w:rPr>
        <w:t>of up to a total of 60,000,000 Amneal Common Units; or</w:t>
      </w:r>
    </w:p>
    <w:p>
      <w:pPr>
        <w:spacing w:after="0" w:line="86" w:lineRule="exact"/>
        <w:rPr>
          <w:rFonts w:ascii="Arial" w:cs="Arial" w:eastAsia="Arial" w:hAnsi="Arial"/>
          <w:sz w:val="16"/>
          <w:szCs w:val="16"/>
          <w:color w:val="auto"/>
        </w:rPr>
      </w:pPr>
    </w:p>
    <w:p>
      <w:pPr>
        <w:ind w:left="180" w:hanging="172"/>
        <w:spacing w:after="0"/>
        <w:tabs>
          <w:tab w:leader="none" w:pos="180" w:val="left"/>
        </w:tabs>
        <w:numPr>
          <w:ilvl w:val="0"/>
          <w:numId w:val="44"/>
        </w:numPr>
        <w:rPr>
          <w:rFonts w:ascii="Arial" w:cs="Arial" w:eastAsia="Arial" w:hAnsi="Arial"/>
          <w:sz w:val="16"/>
          <w:szCs w:val="16"/>
          <w:color w:val="04568A"/>
        </w:rPr>
      </w:pPr>
      <w:r>
        <w:rPr>
          <w:rFonts w:ascii="Arial" w:cs="Arial" w:eastAsia="Arial" w:hAnsi="Arial"/>
          <w:sz w:val="16"/>
          <w:szCs w:val="16"/>
          <w:color w:val="auto"/>
        </w:rPr>
        <w:t>pursuant to a Redemption or direct exchange as described above.</w:t>
      </w:r>
    </w:p>
    <w:p>
      <w:pPr>
        <w:spacing w:after="0" w:line="174"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57" w:name="page58"/>
    <w:bookmarkEnd w:id="57"/>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Dissolution</w:t>
      </w:r>
    </w:p>
    <w:p>
      <w:pPr>
        <w:spacing w:after="0" w:line="209"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LLC Agreement provides that the unanimous consent of at least 75% of all members holding Amneal Common Units will be required to voluntarily dissolve Amneal LLC. In addition to a voluntary dissolution, Amneal LLC may be dissolved upon the entry of a decree of judicial dissolution or upon other circumstances in accordance with Delaware law. Upon a dissolution event, the proceeds of liquidation will be distributed in the following order: (i) to pay the expenses of winding up Amneal LLC; (ii) to pay debts and liabilities owed to creditors of Amneal LLC; and (iii) to the members pro rata in accordance with their respective percentage ownership interests in Amneal.</w:t>
      </w:r>
    </w:p>
    <w:p>
      <w:pPr>
        <w:spacing w:after="0" w:line="1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Opportunities and Waiver of Fiduciary Duty</w:t>
      </w:r>
    </w:p>
    <w:p>
      <w:pPr>
        <w:spacing w:after="0" w:line="209"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The LLC Agreement provides that, notwithstanding any duty, including fiduciary duty, otherwise applicable at law or in equity, the doctrine of corporate opportunity, or any analogous doctrine, will not apply to any member or related person of such member, and no member or related person of such member who acquires knowledge of a potential transaction, agreement, arrangement or other matter that may be an opportunity for Amneal LLC or the members will have any duty to communicate or offer such opportunity to Amneal LLC or the members, or to develop any particular investment, and such person will not be liable to Amneal LLC or the members for breach of any fiduciary or other duty (other than fiduciary duties owed to the Company) by reason of the fact that such person pursues or acquires for, or directs such opportunity to, another person or does not communicate such investment opportunity to the members.</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and D&amp;O Insurance</w:t>
      </w:r>
    </w:p>
    <w:p>
      <w:pPr>
        <w:spacing w:after="0" w:line="209"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Amneal LLC will indemnify any member or affiliate, the managing member or any of its affiliates, any officer, or individual serving at the request of Amneal LLC as an officer, director, principal, member, employee or agent of another corporation, partnership, joint venture, limited liability company, trust or other enterprise. Such persons will be entitled to payment in advance of expenses, including attorneys’ fees, that they incur in defending a proceeding, but they will be required to repay any such advance if it is ultimately determined that they were not entitled to indemnification by Amneal LLC. Indemnification will not be available for any expenses, liabilities, damages and losses suffered that are attributable to any such person’s or its affiliates’ gross negligence, willful misconduct or knowing violation of the law or for any present or future breaches of any representations, warranties or covenants contained in the LLC Agreement or in other agreements with Amneal LLC.</w:t>
      </w:r>
    </w:p>
    <w:p>
      <w:pPr>
        <w:spacing w:after="0" w:line="1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Tax Classification</w:t>
      </w:r>
    </w:p>
    <w:p>
      <w:pPr>
        <w:spacing w:after="0" w:line="209"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members intend that Amneal LLC be treated as a partnership for U.S. federal and, if applicable, state or local income tax purposes. Each member and Amneal LLC will file all tax returns and will take all tax and financial reporting positions in a manner consistent with such tax treatment.</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Amendments</w:t>
      </w:r>
    </w:p>
    <w:p>
      <w:pPr>
        <w:spacing w:after="0" w:line="209"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LLC Agreement may only be amended in writing by the manager with the written consent of the holders of at least 75% of the Amneal Common Units then outstanding.</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57</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58" w:name="page59"/>
    <w:bookmarkEnd w:id="58"/>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Report </w:t>
      </w:r>
      <w:r>
        <w:rPr>
          <w:rFonts w:ascii="Arial" w:cs="Arial" w:eastAsia="Arial" w:hAnsi="Arial"/>
          <w:sz w:val="47"/>
          <w:szCs w:val="47"/>
          <w:b w:val="1"/>
          <w:bCs w:val="1"/>
          <w:color w:val="000000"/>
        </w:rPr>
        <w:t>of the Audit Committee</w:t>
      </w:r>
    </w:p>
    <w:p>
      <w:pPr>
        <w:spacing w:after="0" w:line="361"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Under the guidance of a written charter adopted by our Board of Directors, the Audit Committee oversees our management’s conduct of the financial reporting process on behalf of the Board of Directors. A copy of the charter is available at the investor relations section of our company’s website, http://investors.amneal.com. The Audit Committee also appoints the independent registered public accounting firm to be retained to audit our company’s consolidated financial statements and internal control over financial reporting, and once retained, the independent registered public accounting firm reports directly to the Audit Committee. The Audit Committee is responsible for pre-approving both audit and non-audit services to be provided by the independent registered public accounting firm. The Audit Committee’s charter reflects the above-mentioned responsibilities, and the Audit Committee and the Board of Directors periodically review and revise the charter.</w:t>
      </w:r>
    </w:p>
    <w:p>
      <w:pPr>
        <w:spacing w:after="0" w:line="181"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Management is responsible for our company’s financial reporting process, including the system of internal controls, and for the preparation of consolidated financial statements in accordance with accounting principles generally accepted in the United States of America. Our company’s independent registered public accounting firm is responsible for auditing those consolidated financial statements and expressing an opinion on the conformity of the consolidated financial statements with accounting principles generally accepted in the United States of America. In addition, our company’s independent registered public accounting firm will express its own opinion on the effectiveness of the company’s internal control over financial reporting. The Audit Committee’s responsibility is to monitor and review these processes. It is not the Audit Committee’s duty or responsibility to conduct auditing or accounting reviews.</w:t>
      </w:r>
    </w:p>
    <w:p>
      <w:pPr>
        <w:spacing w:after="0" w:line="178"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The Audit Committee meets at least four times annually, or more frequently as circumstances dictate. During fiscal 2021, the Audit Committee met six times. The Audit Committee also met with management periodically to consider the adequacy of our company’s internal controls, and discussed these matters and the overall scope and plans for the audit of our company with our independent registered public accounting firm, Ernst &amp; Young LLP. The Audit Committee met with the independent registered public accounting firm, with and without management present, to discuss the results of its examination, its evaluation of the effectiveness of our internal control over financial reporting, and the overall quality of our financial reporting. The Audit Committee also discussed with senior management our company’s disclosure controls and procedures and the certifications by our co-chief executive officers and chief financial officer, which are required by the SEC under the Sarbanes-Oxley Act of 2002 for certain of our company’s filings with the SEC. The Audit Committee also met separately from time to time with our chief financial officer and, at least quarterly, the Audit Committee met in executive session.</w:t>
      </w:r>
    </w:p>
    <w:p>
      <w:pPr>
        <w:spacing w:after="0" w:line="180" w:lineRule="exact"/>
        <w:rPr>
          <w:sz w:val="20"/>
          <w:szCs w:val="20"/>
          <w:color w:val="auto"/>
        </w:rPr>
      </w:pPr>
    </w:p>
    <w:p>
      <w:pPr>
        <w:jc w:val="both"/>
        <w:spacing w:after="0" w:line="247" w:lineRule="auto"/>
        <w:rPr>
          <w:sz w:val="20"/>
          <w:szCs w:val="20"/>
          <w:color w:val="auto"/>
        </w:rPr>
      </w:pPr>
      <w:r>
        <w:rPr>
          <w:rFonts w:ascii="Arial" w:cs="Arial" w:eastAsia="Arial" w:hAnsi="Arial"/>
          <w:sz w:val="16"/>
          <w:szCs w:val="16"/>
          <w:color w:val="auto"/>
        </w:rPr>
        <w:t>In fulfilling its oversight responsibilities, the Audit Committee reviewed and discussed with management and the independent registered public accounting firm the audited consolidated financial statements in the Annual Report on Form 10-K for the fiscal year ended December 31, 2021, management’s assessment of the effectiveness of our company’s internal control over financial reporting and the independent registered public accounting firm’s evaluation of the effectiveness of our company’s internal control over financial reporting as of December 31, 2021. The Audit Committee reviewed with the independent registered public accounting firm, who is responsible for expressing an opinion on the conformity of the consolidated financial statements with accounting principles generally accepted in the United States of America, its judgments as to the quality, not just the acceptability, of our company’s accounting principles, the reasonableness of significant judgments and the clarity of disclosures in the financial statements and such other matters as are required to be discussed with the Audit Committee under auditing standards of the Public Company Accounting Oversight Board (PCAOB). In addition, the Audit Committee has discussed with the independent registered public accounting firm its independence from our company and our management, including the matters in the written disclosures and letter which were received by the Audit Committee from the independent registered public accounting firm as required by the applicable requirements of the PCAOB, and considered the compatibility of non-audit services with Ernst &amp; Young LLP’s independence. In reliance on the reviews and discussions referred to above, the Audit Committee recommended to the Board of Directors (and the board approved) that the audited consolidated financial statements be included in the Annual Report on Form 10-K for the fiscal year ended December 31, 2021 for filing with the SEC.</w:t>
      </w:r>
    </w:p>
    <w:p>
      <w:pPr>
        <w:spacing w:after="0" w:line="184" w:lineRule="exact"/>
        <w:rPr>
          <w:sz w:val="20"/>
          <w:szCs w:val="20"/>
          <w:color w:val="auto"/>
        </w:rPr>
      </w:pPr>
    </w:p>
    <w:p>
      <w:pPr>
        <w:spacing w:after="0"/>
        <w:rPr>
          <w:sz w:val="20"/>
          <w:szCs w:val="20"/>
          <w:color w:val="auto"/>
        </w:rPr>
      </w:pPr>
      <w:r>
        <w:rPr>
          <w:rFonts w:ascii="Arial" w:cs="Arial" w:eastAsia="Arial" w:hAnsi="Arial"/>
          <w:sz w:val="16"/>
          <w:szCs w:val="16"/>
          <w:color w:val="auto"/>
        </w:rPr>
        <w:t>Audit Committee:</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John Kiely (Chair)</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J. Kevin Buchi</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Jeff George</w:t>
      </w:r>
    </w:p>
    <w:p>
      <w:pPr>
        <w:spacing w:after="0" w:line="174"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59" w:name="page60"/>
    <w:bookmarkEnd w:id="59"/>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Proposal 3 </w:t>
      </w:r>
      <w:r>
        <w:rPr>
          <w:rFonts w:ascii="Arial" w:cs="Arial" w:eastAsia="Arial" w:hAnsi="Arial"/>
          <w:sz w:val="47"/>
          <w:szCs w:val="47"/>
          <w:b w:val="1"/>
          <w:bCs w:val="1"/>
          <w:color w:val="000000"/>
        </w:rPr>
        <w:t>Appointment of Independent</w:t>
      </w:r>
    </w:p>
    <w:p>
      <w:pPr>
        <w:spacing w:after="0" w:line="44" w:lineRule="exact"/>
        <w:rPr>
          <w:sz w:val="20"/>
          <w:szCs w:val="20"/>
          <w:color w:val="auto"/>
        </w:rPr>
      </w:pPr>
    </w:p>
    <w:p>
      <w:pPr>
        <w:spacing w:after="0"/>
        <w:rPr>
          <w:sz w:val="20"/>
          <w:szCs w:val="20"/>
          <w:color w:val="auto"/>
        </w:rPr>
      </w:pPr>
      <w:r>
        <w:rPr>
          <w:rFonts w:ascii="Arial" w:cs="Arial" w:eastAsia="Arial" w:hAnsi="Arial"/>
          <w:sz w:val="47"/>
          <w:szCs w:val="47"/>
          <w:b w:val="1"/>
          <w:bCs w:val="1"/>
          <w:color w:val="auto"/>
        </w:rPr>
        <w:t>Registered Public Accounting Firm</w:t>
      </w: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Introduction</w:t>
      </w:r>
    </w:p>
    <w:p>
      <w:pPr>
        <w:spacing w:after="0" w:line="359"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The Audit Committee has appointed Ernst &amp; Young LLP as the independent registered public accounting firm to audit our consolidated financial statements and the effectiveness of our internal control over financial reporting for the fiscal year ending December 31, 2022.</w:t>
      </w:r>
    </w:p>
    <w:p>
      <w:pPr>
        <w:spacing w:after="0" w:line="168"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We are asking our stockholders to ratify the selection of Ernst &amp; Young as our independent registered public accounting firm. Although ratification is not required by our Bylaws or otherwise, our Board of Directors is submitting the selection of Ernst &amp; Young to our stockholders for ratification as a matter of good corporate practice. If the selection is not ratified, the Audit Committee will consider whether it is appropriate to select another registered public accounting firm. Even if the selection is ratified, the Audit Committee in its discretion may select a different registered public accounting firm at any time during the year if it determines that such a change would be in the best interests of the Company and our stockholders.</w:t>
      </w:r>
    </w:p>
    <w:p>
      <w:pPr>
        <w:spacing w:after="0" w:line="176"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One or more representatives of Ernst &amp; Young are expected to be present at the annual meeting. They will have an opportunity to make a statement if they desire to do so and are expected to be available to respond to appropriate stockholder questions.</w:t>
      </w:r>
    </w:p>
    <w:p>
      <w:pPr>
        <w:spacing w:after="0" w:line="31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Independent Registered Public Accounting Firm Fees</w:t>
      </w:r>
    </w:p>
    <w:p>
      <w:pPr>
        <w:spacing w:after="0" w:line="237" w:lineRule="exact"/>
        <w:rPr>
          <w:sz w:val="20"/>
          <w:szCs w:val="20"/>
          <w:color w:val="auto"/>
        </w:rPr>
      </w:pPr>
    </w:p>
    <w:p>
      <w:pPr>
        <w:spacing w:after="0"/>
        <w:rPr>
          <w:sz w:val="20"/>
          <w:szCs w:val="20"/>
          <w:color w:val="auto"/>
        </w:rPr>
      </w:pPr>
      <w:r>
        <w:rPr>
          <w:rFonts w:ascii="Arial" w:cs="Arial" w:eastAsia="Arial" w:hAnsi="Arial"/>
          <w:sz w:val="16"/>
          <w:szCs w:val="16"/>
          <w:color w:val="auto"/>
        </w:rPr>
        <w:t>In addition to performing the audit of our consolidated financial statements, Ernst &amp; Young has provided various other services during fiscal 2021 and 2020.</w:t>
      </w:r>
    </w:p>
    <w:p>
      <w:pPr>
        <w:spacing w:after="0" w:line="5" w:lineRule="exact"/>
        <w:rPr>
          <w:sz w:val="20"/>
          <w:szCs w:val="20"/>
          <w:color w:val="auto"/>
        </w:rPr>
      </w:pPr>
    </w:p>
    <w:p>
      <w:pPr>
        <w:spacing w:after="0"/>
        <w:rPr>
          <w:sz w:val="20"/>
          <w:szCs w:val="20"/>
          <w:color w:val="auto"/>
        </w:rPr>
      </w:pPr>
      <w:r>
        <w:rPr>
          <w:rFonts w:ascii="Arial" w:cs="Arial" w:eastAsia="Arial" w:hAnsi="Arial"/>
          <w:sz w:val="16"/>
          <w:szCs w:val="16"/>
          <w:color w:val="auto"/>
        </w:rPr>
        <w:t>The aggregate fees billed or expected to be billed for fiscal 2021 and 2020 for each of the following categories of services are as follows:</w:t>
      </w:r>
    </w:p>
    <w:p>
      <w:pPr>
        <w:spacing w:after="0" w:line="192"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842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Type of Fees</w:t>
            </w:r>
          </w:p>
        </w:tc>
        <w:tc>
          <w:tcPr>
            <w:tcW w:w="220" w:type="dxa"/>
            <w:vAlign w:val="bottom"/>
            <w:tcBorders>
              <w:bottom w:val="single" w:sz="8" w:color="04568A"/>
            </w:tcBorders>
            <w:shd w:val="clear" w:color="auto" w:fill="04568A"/>
          </w:tcPr>
          <w:p>
            <w:pPr>
              <w:spacing w:after="0"/>
              <w:rPr>
                <w:sz w:val="16"/>
                <w:szCs w:val="16"/>
                <w:color w:val="auto"/>
              </w:rPr>
            </w:pPr>
          </w:p>
        </w:tc>
        <w:tc>
          <w:tcPr>
            <w:tcW w:w="1160" w:type="dxa"/>
            <w:vAlign w:val="bottom"/>
            <w:tcBorders>
              <w:bottom w:val="single" w:sz="8" w:color="04568A"/>
            </w:tcBorders>
            <w:shd w:val="clear" w:color="auto" w:fill="04568A"/>
          </w:tcPr>
          <w:p>
            <w:pPr>
              <w:jc w:val="right"/>
              <w:spacing w:after="0"/>
              <w:rPr>
                <w:sz w:val="20"/>
                <w:szCs w:val="20"/>
                <w:color w:val="auto"/>
              </w:rPr>
            </w:pPr>
            <w:r>
              <w:rPr>
                <w:rFonts w:ascii="Arial" w:cs="Arial" w:eastAsia="Arial" w:hAnsi="Arial"/>
                <w:sz w:val="16"/>
                <w:szCs w:val="16"/>
                <w:b w:val="1"/>
                <w:bCs w:val="1"/>
                <w:color w:val="FFFFFF"/>
              </w:rPr>
              <w:t>Fiscal 2021</w:t>
            </w:r>
          </w:p>
        </w:tc>
        <w:tc>
          <w:tcPr>
            <w:tcW w:w="360" w:type="dxa"/>
            <w:vAlign w:val="bottom"/>
            <w:tcBorders>
              <w:bottom w:val="single" w:sz="8" w:color="04568A"/>
            </w:tcBorders>
          </w:tcPr>
          <w:p>
            <w:pPr>
              <w:spacing w:after="0"/>
              <w:rPr>
                <w:sz w:val="16"/>
                <w:szCs w:val="16"/>
                <w:color w:val="auto"/>
              </w:rPr>
            </w:pPr>
          </w:p>
        </w:tc>
        <w:tc>
          <w:tcPr>
            <w:tcW w:w="1080" w:type="dxa"/>
            <w:vAlign w:val="bottom"/>
            <w:tcBorders>
              <w:bottom w:val="single" w:sz="8" w:color="04568A"/>
            </w:tcBorders>
          </w:tcPr>
          <w:p>
            <w:pPr>
              <w:jc w:val="right"/>
              <w:spacing w:after="0"/>
              <w:rPr>
                <w:sz w:val="20"/>
                <w:szCs w:val="20"/>
                <w:color w:val="auto"/>
              </w:rPr>
            </w:pPr>
            <w:r>
              <w:rPr>
                <w:rFonts w:ascii="Arial" w:cs="Arial" w:eastAsia="Arial" w:hAnsi="Arial"/>
                <w:sz w:val="16"/>
                <w:szCs w:val="16"/>
                <w:b w:val="1"/>
                <w:bCs w:val="1"/>
                <w:color w:val="04568A"/>
              </w:rPr>
              <w:t>Fiscal 2020</w:t>
            </w:r>
          </w:p>
        </w:tc>
      </w:tr>
      <w:tr>
        <w:trPr>
          <w:trHeight w:val="183"/>
        </w:trPr>
        <w:tc>
          <w:tcPr>
            <w:tcW w:w="8420" w:type="dxa"/>
            <w:vAlign w:val="bottom"/>
          </w:tcPr>
          <w:p>
            <w:pPr>
              <w:ind w:left="60"/>
              <w:spacing w:after="0" w:line="183" w:lineRule="exact"/>
              <w:rPr>
                <w:sz w:val="20"/>
                <w:szCs w:val="20"/>
                <w:color w:val="auto"/>
              </w:rPr>
            </w:pPr>
            <w:r>
              <w:rPr>
                <w:rFonts w:ascii="Arial" w:cs="Arial" w:eastAsia="Arial" w:hAnsi="Arial"/>
                <w:sz w:val="16"/>
                <w:szCs w:val="16"/>
                <w:color w:val="auto"/>
              </w:rPr>
              <w:t>Audit Fees</w:t>
            </w:r>
          </w:p>
        </w:tc>
        <w:tc>
          <w:tcPr>
            <w:tcW w:w="220" w:type="dxa"/>
            <w:vAlign w:val="bottom"/>
            <w:shd w:val="clear" w:color="auto" w:fill="E4E9F2"/>
          </w:tcPr>
          <w:p>
            <w:pPr>
              <w:jc w:val="right"/>
              <w:spacing w:after="0" w:line="183" w:lineRule="exact"/>
              <w:rPr>
                <w:sz w:val="20"/>
                <w:szCs w:val="20"/>
                <w:color w:val="auto"/>
              </w:rPr>
            </w:pPr>
            <w:r>
              <w:rPr>
                <w:rFonts w:ascii="Arial" w:cs="Arial" w:eastAsia="Arial" w:hAnsi="Arial"/>
                <w:sz w:val="16"/>
                <w:szCs w:val="16"/>
                <w:color w:val="auto"/>
              </w:rPr>
              <w:t>$</w:t>
            </w:r>
          </w:p>
        </w:tc>
        <w:tc>
          <w:tcPr>
            <w:tcW w:w="1160" w:type="dxa"/>
            <w:vAlign w:val="bottom"/>
            <w:shd w:val="clear" w:color="auto" w:fill="E4E9F2"/>
          </w:tcPr>
          <w:p>
            <w:pPr>
              <w:jc w:val="right"/>
              <w:spacing w:after="0" w:line="183" w:lineRule="exact"/>
              <w:rPr>
                <w:sz w:val="20"/>
                <w:szCs w:val="20"/>
                <w:color w:val="auto"/>
              </w:rPr>
            </w:pPr>
            <w:r>
              <w:rPr>
                <w:rFonts w:ascii="Arial" w:cs="Arial" w:eastAsia="Arial" w:hAnsi="Arial"/>
                <w:sz w:val="16"/>
                <w:szCs w:val="16"/>
                <w:color w:val="auto"/>
              </w:rPr>
              <w:t>4,918,200</w:t>
            </w:r>
          </w:p>
        </w:tc>
        <w:tc>
          <w:tcPr>
            <w:tcW w:w="360" w:type="dxa"/>
            <w:vAlign w:val="bottom"/>
          </w:tcPr>
          <w:p>
            <w:pPr>
              <w:jc w:val="right"/>
              <w:ind w:right="59"/>
              <w:spacing w:after="0" w:line="183" w:lineRule="exact"/>
              <w:rPr>
                <w:sz w:val="20"/>
                <w:szCs w:val="20"/>
                <w:color w:val="auto"/>
              </w:rPr>
            </w:pPr>
            <w:r>
              <w:rPr>
                <w:rFonts w:ascii="Arial" w:cs="Arial" w:eastAsia="Arial" w:hAnsi="Arial"/>
                <w:sz w:val="16"/>
                <w:szCs w:val="16"/>
                <w:color w:val="auto"/>
              </w:rPr>
              <w:t>$</w:t>
            </w:r>
          </w:p>
        </w:tc>
        <w:tc>
          <w:tcPr>
            <w:tcW w:w="1080" w:type="dxa"/>
            <w:vAlign w:val="bottom"/>
          </w:tcPr>
          <w:p>
            <w:pPr>
              <w:jc w:val="right"/>
              <w:spacing w:after="0" w:line="183" w:lineRule="exact"/>
              <w:rPr>
                <w:sz w:val="20"/>
                <w:szCs w:val="20"/>
                <w:color w:val="auto"/>
              </w:rPr>
            </w:pPr>
            <w:r>
              <w:rPr>
                <w:rFonts w:ascii="Arial" w:cs="Arial" w:eastAsia="Arial" w:hAnsi="Arial"/>
                <w:sz w:val="16"/>
                <w:szCs w:val="16"/>
                <w:color w:val="auto"/>
              </w:rPr>
              <w:t>4,725,800</w:t>
            </w:r>
          </w:p>
        </w:tc>
      </w:tr>
      <w:tr>
        <w:trPr>
          <w:trHeight w:val="203"/>
        </w:trPr>
        <w:tc>
          <w:tcPr>
            <w:tcW w:w="8420" w:type="dxa"/>
            <w:vAlign w:val="bottom"/>
            <w:shd w:val="clear" w:color="auto" w:fill="E4E9F2"/>
          </w:tcPr>
          <w:p>
            <w:pPr>
              <w:ind w:left="60"/>
              <w:spacing w:after="0"/>
              <w:rPr>
                <w:sz w:val="20"/>
                <w:szCs w:val="20"/>
                <w:color w:val="auto"/>
              </w:rPr>
            </w:pPr>
            <w:r>
              <w:rPr>
                <w:rFonts w:ascii="Arial" w:cs="Arial" w:eastAsia="Arial" w:hAnsi="Arial"/>
                <w:sz w:val="16"/>
                <w:szCs w:val="16"/>
                <w:color w:val="auto"/>
              </w:rPr>
              <w:t>Audit-Related Fees</w:t>
            </w:r>
          </w:p>
        </w:tc>
        <w:tc>
          <w:tcPr>
            <w:tcW w:w="220" w:type="dxa"/>
            <w:vAlign w:val="bottom"/>
            <w:shd w:val="clear" w:color="auto" w:fill="E4E9F2"/>
          </w:tcPr>
          <w:p>
            <w:pPr>
              <w:spacing w:after="0"/>
              <w:rPr>
                <w:sz w:val="17"/>
                <w:szCs w:val="17"/>
                <w:color w:val="auto"/>
              </w:rPr>
            </w:pPr>
          </w:p>
        </w:tc>
        <w:tc>
          <w:tcPr>
            <w:tcW w:w="11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375,000</w:t>
            </w:r>
          </w:p>
        </w:tc>
        <w:tc>
          <w:tcPr>
            <w:tcW w:w="360" w:type="dxa"/>
            <w:vAlign w:val="bottom"/>
            <w:shd w:val="clear" w:color="auto" w:fill="E4E9F2"/>
          </w:tcPr>
          <w:p>
            <w:pPr>
              <w:spacing w:after="0"/>
              <w:rPr>
                <w:sz w:val="17"/>
                <w:szCs w:val="17"/>
                <w:color w:val="auto"/>
              </w:rPr>
            </w:pPr>
          </w:p>
        </w:tc>
        <w:tc>
          <w:tcPr>
            <w:tcW w:w="108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r>
      <w:tr>
        <w:trPr>
          <w:trHeight w:val="203"/>
        </w:trPr>
        <w:tc>
          <w:tcPr>
            <w:tcW w:w="8420" w:type="dxa"/>
            <w:vAlign w:val="bottom"/>
          </w:tcPr>
          <w:p>
            <w:pPr>
              <w:ind w:left="60"/>
              <w:spacing w:after="0"/>
              <w:rPr>
                <w:sz w:val="20"/>
                <w:szCs w:val="20"/>
                <w:color w:val="auto"/>
              </w:rPr>
            </w:pPr>
            <w:r>
              <w:rPr>
                <w:rFonts w:ascii="Arial" w:cs="Arial" w:eastAsia="Arial" w:hAnsi="Arial"/>
                <w:sz w:val="16"/>
                <w:szCs w:val="16"/>
                <w:color w:val="auto"/>
              </w:rPr>
              <w:t>Tax Fees</w:t>
            </w:r>
          </w:p>
        </w:tc>
        <w:tc>
          <w:tcPr>
            <w:tcW w:w="220" w:type="dxa"/>
            <w:vAlign w:val="bottom"/>
            <w:shd w:val="clear" w:color="auto" w:fill="E4E9F2"/>
          </w:tcPr>
          <w:p>
            <w:pPr>
              <w:spacing w:after="0"/>
              <w:rPr>
                <w:sz w:val="17"/>
                <w:szCs w:val="17"/>
                <w:color w:val="auto"/>
              </w:rPr>
            </w:pPr>
          </w:p>
        </w:tc>
        <w:tc>
          <w:tcPr>
            <w:tcW w:w="1160" w:type="dxa"/>
            <w:vAlign w:val="bottom"/>
            <w:shd w:val="clear" w:color="auto" w:fill="E4E9F2"/>
          </w:tcPr>
          <w:p>
            <w:pPr>
              <w:jc w:val="right"/>
              <w:spacing w:after="0"/>
              <w:rPr>
                <w:sz w:val="20"/>
                <w:szCs w:val="20"/>
                <w:color w:val="auto"/>
              </w:rPr>
            </w:pPr>
            <w:r>
              <w:rPr>
                <w:rFonts w:ascii="Arial" w:cs="Arial" w:eastAsia="Arial" w:hAnsi="Arial"/>
                <w:sz w:val="16"/>
                <w:szCs w:val="16"/>
                <w:color w:val="auto"/>
              </w:rPr>
              <w:t>334,000</w:t>
            </w:r>
          </w:p>
        </w:tc>
        <w:tc>
          <w:tcPr>
            <w:tcW w:w="360" w:type="dxa"/>
            <w:vAlign w:val="bottom"/>
          </w:tcPr>
          <w:p>
            <w:pPr>
              <w:spacing w:after="0"/>
              <w:rPr>
                <w:sz w:val="17"/>
                <w:szCs w:val="17"/>
                <w:color w:val="auto"/>
              </w:rPr>
            </w:pPr>
          </w:p>
        </w:tc>
        <w:tc>
          <w:tcPr>
            <w:tcW w:w="1080" w:type="dxa"/>
            <w:vAlign w:val="bottom"/>
          </w:tcPr>
          <w:p>
            <w:pPr>
              <w:jc w:val="right"/>
              <w:spacing w:after="0"/>
              <w:rPr>
                <w:sz w:val="20"/>
                <w:szCs w:val="20"/>
                <w:color w:val="auto"/>
              </w:rPr>
            </w:pPr>
            <w:r>
              <w:rPr>
                <w:rFonts w:ascii="Arial" w:cs="Arial" w:eastAsia="Arial" w:hAnsi="Arial"/>
                <w:sz w:val="16"/>
                <w:szCs w:val="16"/>
                <w:color w:val="auto"/>
              </w:rPr>
              <w:t>296,100</w:t>
            </w:r>
          </w:p>
        </w:tc>
      </w:tr>
      <w:tr>
        <w:trPr>
          <w:trHeight w:val="203"/>
        </w:trPr>
        <w:tc>
          <w:tcPr>
            <w:tcW w:w="8420" w:type="dxa"/>
            <w:vAlign w:val="bottom"/>
            <w:tcBorders>
              <w:bottom w:val="single" w:sz="8" w:color="04568A"/>
            </w:tcBorders>
            <w:shd w:val="clear" w:color="auto" w:fill="E4E9F2"/>
          </w:tcPr>
          <w:p>
            <w:pPr>
              <w:ind w:left="60"/>
              <w:spacing w:after="0"/>
              <w:rPr>
                <w:sz w:val="20"/>
                <w:szCs w:val="20"/>
                <w:color w:val="auto"/>
              </w:rPr>
            </w:pPr>
            <w:r>
              <w:rPr>
                <w:rFonts w:ascii="Arial" w:cs="Arial" w:eastAsia="Arial" w:hAnsi="Arial"/>
                <w:sz w:val="16"/>
                <w:szCs w:val="16"/>
                <w:color w:val="auto"/>
              </w:rPr>
              <w:t>All Other Fees</w:t>
            </w:r>
          </w:p>
        </w:tc>
        <w:tc>
          <w:tcPr>
            <w:tcW w:w="220" w:type="dxa"/>
            <w:vAlign w:val="bottom"/>
            <w:tcBorders>
              <w:bottom w:val="single" w:sz="8" w:color="04568A"/>
            </w:tcBorders>
            <w:shd w:val="clear" w:color="auto" w:fill="E4E9F2"/>
          </w:tcPr>
          <w:p>
            <w:pPr>
              <w:spacing w:after="0"/>
              <w:rPr>
                <w:sz w:val="17"/>
                <w:szCs w:val="17"/>
                <w:color w:val="auto"/>
              </w:rPr>
            </w:pPr>
          </w:p>
        </w:tc>
        <w:tc>
          <w:tcPr>
            <w:tcW w:w="116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2,585</w:t>
            </w:r>
          </w:p>
        </w:tc>
        <w:tc>
          <w:tcPr>
            <w:tcW w:w="360" w:type="dxa"/>
            <w:vAlign w:val="bottom"/>
            <w:tcBorders>
              <w:bottom w:val="single" w:sz="8" w:color="04568A"/>
            </w:tcBorders>
            <w:shd w:val="clear" w:color="auto" w:fill="E4E9F2"/>
          </w:tcPr>
          <w:p>
            <w:pPr>
              <w:spacing w:after="0"/>
              <w:rPr>
                <w:sz w:val="17"/>
                <w:szCs w:val="17"/>
                <w:color w:val="auto"/>
              </w:rPr>
            </w:pPr>
          </w:p>
        </w:tc>
        <w:tc>
          <w:tcPr>
            <w:tcW w:w="1080" w:type="dxa"/>
            <w:vAlign w:val="bottom"/>
            <w:tcBorders>
              <w:bottom w:val="single" w:sz="8" w:color="04568A"/>
            </w:tcBorders>
            <w:shd w:val="clear" w:color="auto" w:fill="E4E9F2"/>
          </w:tcPr>
          <w:p>
            <w:pPr>
              <w:jc w:val="right"/>
              <w:spacing w:after="0"/>
              <w:rPr>
                <w:sz w:val="20"/>
                <w:szCs w:val="20"/>
                <w:color w:val="auto"/>
              </w:rPr>
            </w:pPr>
            <w:r>
              <w:rPr>
                <w:rFonts w:ascii="Arial" w:cs="Arial" w:eastAsia="Arial" w:hAnsi="Arial"/>
                <w:sz w:val="16"/>
                <w:szCs w:val="16"/>
                <w:color w:val="auto"/>
              </w:rPr>
              <w:t>3,600</w:t>
            </w:r>
          </w:p>
        </w:tc>
      </w:tr>
      <w:tr>
        <w:trPr>
          <w:trHeight w:val="183"/>
        </w:trPr>
        <w:tc>
          <w:tcPr>
            <w:tcW w:w="8420" w:type="dxa"/>
            <w:vAlign w:val="bottom"/>
            <w:tcBorders>
              <w:bottom w:val="single" w:sz="8" w:color="04568A"/>
            </w:tcBorders>
          </w:tcPr>
          <w:p>
            <w:pPr>
              <w:ind w:left="60"/>
              <w:spacing w:after="0" w:line="183" w:lineRule="exact"/>
              <w:rPr>
                <w:sz w:val="20"/>
                <w:szCs w:val="20"/>
                <w:color w:val="auto"/>
              </w:rPr>
            </w:pPr>
            <w:r>
              <w:rPr>
                <w:rFonts w:ascii="Arial" w:cs="Arial" w:eastAsia="Arial" w:hAnsi="Arial"/>
                <w:sz w:val="16"/>
                <w:szCs w:val="16"/>
                <w:b w:val="1"/>
                <w:bCs w:val="1"/>
                <w:color w:val="04568A"/>
              </w:rPr>
              <w:t>TOTAL</w:t>
            </w:r>
          </w:p>
        </w:tc>
        <w:tc>
          <w:tcPr>
            <w:tcW w:w="22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04568A"/>
              </w:rPr>
              <w:t>$</w:t>
            </w:r>
          </w:p>
        </w:tc>
        <w:tc>
          <w:tcPr>
            <w:tcW w:w="116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04568A"/>
              </w:rPr>
              <w:t>5,629,785</w:t>
            </w:r>
          </w:p>
        </w:tc>
        <w:tc>
          <w:tcPr>
            <w:tcW w:w="360" w:type="dxa"/>
            <w:vAlign w:val="bottom"/>
            <w:tcBorders>
              <w:bottom w:val="single" w:sz="8" w:color="04568A"/>
            </w:tcBorders>
          </w:tcPr>
          <w:p>
            <w:pPr>
              <w:jc w:val="right"/>
              <w:ind w:right="59"/>
              <w:spacing w:after="0" w:line="183" w:lineRule="exact"/>
              <w:rPr>
                <w:sz w:val="20"/>
                <w:szCs w:val="20"/>
                <w:color w:val="auto"/>
              </w:rPr>
            </w:pPr>
            <w:r>
              <w:rPr>
                <w:rFonts w:ascii="Arial" w:cs="Arial" w:eastAsia="Arial" w:hAnsi="Arial"/>
                <w:sz w:val="16"/>
                <w:szCs w:val="16"/>
                <w:b w:val="1"/>
                <w:bCs w:val="1"/>
                <w:color w:val="04568A"/>
              </w:rPr>
              <w:t>$</w:t>
            </w:r>
          </w:p>
        </w:tc>
        <w:tc>
          <w:tcPr>
            <w:tcW w:w="1080" w:type="dxa"/>
            <w:vAlign w:val="bottom"/>
            <w:tcBorders>
              <w:bottom w:val="single" w:sz="8" w:color="04568A"/>
            </w:tcBorders>
          </w:tcPr>
          <w:p>
            <w:pPr>
              <w:jc w:val="right"/>
              <w:spacing w:after="0" w:line="183" w:lineRule="exact"/>
              <w:rPr>
                <w:sz w:val="20"/>
                <w:szCs w:val="20"/>
                <w:color w:val="auto"/>
              </w:rPr>
            </w:pPr>
            <w:r>
              <w:rPr>
                <w:rFonts w:ascii="Arial" w:cs="Arial" w:eastAsia="Arial" w:hAnsi="Arial"/>
                <w:sz w:val="16"/>
                <w:szCs w:val="16"/>
                <w:b w:val="1"/>
                <w:bCs w:val="1"/>
                <w:color w:val="04568A"/>
              </w:rPr>
              <w:t>5,025,500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5345430</wp:posOffset>
            </wp:positionH>
            <wp:positionV relativeFrom="paragraph">
              <wp:posOffset>-265430</wp:posOffset>
            </wp:positionV>
            <wp:extent cx="874395"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874395" cy="8890"/>
                    </a:xfrm>
                    <a:prstGeom prst="rect">
                      <a:avLst/>
                    </a:prstGeom>
                    <a:noFill/>
                  </pic:spPr>
                </pic:pic>
              </a:graphicData>
            </a:graphic>
          </wp:anchor>
        </w:drawing>
        <w:drawing>
          <wp:anchor simplePos="0" relativeHeight="251657728" behindDoc="1" locked="0" layoutInCell="0" allowOverlap="1">
            <wp:simplePos x="0" y="0"/>
            <wp:positionH relativeFrom="column">
              <wp:posOffset>5345430</wp:posOffset>
            </wp:positionH>
            <wp:positionV relativeFrom="paragraph">
              <wp:posOffset>-393700</wp:posOffset>
            </wp:positionV>
            <wp:extent cx="874395"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874395" cy="8890"/>
                    </a:xfrm>
                    <a:prstGeom prst="rect">
                      <a:avLst/>
                    </a:prstGeom>
                    <a:noFill/>
                  </pic:spPr>
                </pic:pic>
              </a:graphicData>
            </a:graphic>
          </wp:anchor>
        </w:drawing>
        <w:drawing>
          <wp:anchor simplePos="0" relativeHeight="251657728" behindDoc="1" locked="0" layoutInCell="0" allowOverlap="1">
            <wp:simplePos x="0" y="0"/>
            <wp:positionH relativeFrom="column">
              <wp:posOffset>5345430</wp:posOffset>
            </wp:positionH>
            <wp:positionV relativeFrom="paragraph">
              <wp:posOffset>-522605</wp:posOffset>
            </wp:positionV>
            <wp:extent cx="874395"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874395" cy="8890"/>
                    </a:xfrm>
                    <a:prstGeom prst="rect">
                      <a:avLst/>
                    </a:prstGeom>
                    <a:noFill/>
                  </pic:spPr>
                </pic:pic>
              </a:graphicData>
            </a:graphic>
          </wp:anchor>
        </w:drawing>
      </w:r>
    </w:p>
    <w:p>
      <w:pPr>
        <w:spacing w:after="0" w:line="171" w:lineRule="exact"/>
        <w:rPr>
          <w:sz w:val="20"/>
          <w:szCs w:val="20"/>
          <w:color w:val="auto"/>
        </w:rPr>
      </w:pPr>
    </w:p>
    <w:p>
      <w:pPr>
        <w:spacing w:after="0"/>
        <w:rPr>
          <w:sz w:val="20"/>
          <w:szCs w:val="20"/>
          <w:color w:val="auto"/>
        </w:rPr>
      </w:pPr>
      <w:r>
        <w:rPr>
          <w:rFonts w:ascii="Arial" w:cs="Arial" w:eastAsia="Arial" w:hAnsi="Arial"/>
          <w:sz w:val="16"/>
          <w:szCs w:val="16"/>
          <w:color w:val="auto"/>
        </w:rPr>
        <w:t>In accordance with the SEC’s definitions and rules, the terms in the above table have the following meanings:</w:t>
      </w:r>
    </w:p>
    <w:p>
      <w:pPr>
        <w:spacing w:after="0" w:line="194"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“Audit Fees” are the aggregate fees billed or expected to be billed for each of fiscal 2021 and 2020 for professional services rendered by Ernst &amp; Young for the audit of our consolidated financial statements included in our annual reports on Form 10-K and review of the unaudited consolidated financial statements included in our quarterly reports on Form 10-Q; SEC registration statements, including consents and review of documents filed with the SEC, consultation on accounting standards or transactions, and for services in connection with statutory or regulatory filings or engagements; and for services that are normally provided by Ernst &amp; Young in connection with statutory and regulatory filings or engagements for fiscal 2021 and 2020.</w:t>
      </w:r>
    </w:p>
    <w:p>
      <w:pPr>
        <w:spacing w:after="0" w:line="176"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“Audit-Related Fees” are the aggregate fees billed in fiscal 2020 for assurance and related services by Ernst &amp; Young that are reasonably related to the performance of the audit or review of our consolidated financial statements. There were no audit-related fees in 2020.</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“Tax Fees” are the aggregate fees billed in each of fiscal 2021 and 2020 for professional services rendered by Ernst &amp; Young for tax compliance, tax advice and tax planning.</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“All Other Fees” are the aggregate fees billed in each of fiscal 2021 and 2020 for products and services provided by Ernst &amp; Young not included in the first three categories.</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59</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60" w:name="page61"/>
    <w:bookmarkEnd w:id="60"/>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92"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Audit Committee has reviewed summaries of the services provided by Ernst &amp; Young and the related fees, and the Audit Committee has determined that the provision of the non-audit services described above is compatible in maintaining the independence of Ernst &amp; Young.</w:t>
      </w:r>
    </w:p>
    <w:p>
      <w:pPr>
        <w:spacing w:after="0" w:line="168"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All of the services described above that required pre-approval were pre-approved by the Audit Committee in accordance with its pre-approval policy. The Audit Committee pre-approval policy provides that all auditing services and all non-audit services to be provided by Ernst &amp; Young be pre-approved by the Audit Committee, provided that the Audit Committee shall not approve any non-audit services prohibited by Section 10A(g) of the Exchange Act.</w:t>
      </w:r>
    </w:p>
    <w:p>
      <w:pPr>
        <w:spacing w:after="0" w:line="325"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Required Vote</w:t>
      </w:r>
    </w:p>
    <w:p>
      <w:pPr>
        <w:spacing w:after="0" w:line="237"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Ratification of the appointment of our independent registered public accounting firm requires the affirmative vote of a majority of the shares of voting common stock present by remote communication or by proxy at the annual meeting and entitled to vote on the proposal.</w:t>
      </w:r>
    </w:p>
    <w:p>
      <w:pPr>
        <w:spacing w:after="0" w:line="319"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Recommendation of the Board of Directors</w:t>
      </w:r>
    </w:p>
    <w:p>
      <w:pPr>
        <w:spacing w:after="0" w:line="339" w:lineRule="exact"/>
        <w:rPr>
          <w:sz w:val="20"/>
          <w:szCs w:val="20"/>
          <w:color w:val="auto"/>
        </w:rPr>
      </w:pPr>
    </w:p>
    <w:p>
      <w:pPr>
        <w:ind w:left="360" w:right="280"/>
        <w:spacing w:after="0" w:line="266" w:lineRule="auto"/>
        <w:rPr>
          <w:sz w:val="20"/>
          <w:szCs w:val="20"/>
          <w:color w:val="auto"/>
        </w:rPr>
      </w:pPr>
      <w:r>
        <w:rPr>
          <w:rFonts w:ascii="Arial" w:cs="Arial" w:eastAsia="Arial" w:hAnsi="Arial"/>
          <w:sz w:val="16"/>
          <w:szCs w:val="16"/>
          <w:color w:val="auto"/>
        </w:rPr>
        <w:t>THE BOARD OF DIRECTORS RECOMMENDS THAT THE STOCKHOLDERS VOTE “</w:t>
      </w:r>
      <w:r>
        <w:rPr>
          <w:rFonts w:ascii="Arial" w:cs="Arial" w:eastAsia="Arial" w:hAnsi="Arial"/>
          <w:sz w:val="16"/>
          <w:szCs w:val="16"/>
          <w:b w:val="1"/>
          <w:bCs w:val="1"/>
          <w:color w:val="04568A"/>
        </w:rPr>
        <w:t>FOR</w:t>
      </w:r>
      <w:r>
        <w:rPr>
          <w:rFonts w:ascii="Arial" w:cs="Arial" w:eastAsia="Arial" w:hAnsi="Arial"/>
          <w:sz w:val="16"/>
          <w:szCs w:val="16"/>
          <w:color w:val="auto"/>
        </w:rPr>
        <w:t>” THE RATIFICATION OF THE APPOINTMENT OF ERNST &amp; YOUNG LLP AS OUR INDEPENDENT REGISTERED PUBLIC ACCOUNTING FIRM FOR THE FISCAL YEAR ENDING DECEMBER 31,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-376555</wp:posOffset>
            </wp:positionV>
            <wp:extent cx="171450" cy="1714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171450" cy="171450"/>
                    </a:xfrm>
                    <a:prstGeom prst="rect">
                      <a:avLst/>
                    </a:prstGeom>
                    <a:noFill/>
                  </pic:spPr>
                </pic:pic>
              </a:graphicData>
            </a:graphic>
          </wp:anchor>
        </w:drawing>
      </w:r>
    </w:p>
    <w:p>
      <w:pPr>
        <w:spacing w:after="0" w:line="124"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61" w:name="page62"/>
    <w:bookmarkEnd w:id="61"/>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Other </w:t>
      </w:r>
      <w:r>
        <w:rPr>
          <w:rFonts w:ascii="Arial" w:cs="Arial" w:eastAsia="Arial" w:hAnsi="Arial"/>
          <w:sz w:val="47"/>
          <w:szCs w:val="47"/>
          <w:b w:val="1"/>
          <w:bCs w:val="1"/>
          <w:color w:val="000000"/>
        </w:rPr>
        <w:t>Matters</w:t>
      </w:r>
    </w:p>
    <w:p>
      <w:pPr>
        <w:spacing w:after="0" w:line="361" w:lineRule="exact"/>
        <w:rPr>
          <w:sz w:val="20"/>
          <w:szCs w:val="20"/>
          <w:color w:val="auto"/>
        </w:rPr>
      </w:pPr>
    </w:p>
    <w:p>
      <w:pPr>
        <w:spacing w:after="0" w:line="260" w:lineRule="auto"/>
        <w:rPr>
          <w:sz w:val="20"/>
          <w:szCs w:val="20"/>
          <w:color w:val="auto"/>
        </w:rPr>
      </w:pPr>
      <w:r>
        <w:rPr>
          <w:rFonts w:ascii="Arial" w:cs="Arial" w:eastAsia="Arial" w:hAnsi="Arial"/>
          <w:sz w:val="16"/>
          <w:szCs w:val="16"/>
          <w:color w:val="auto"/>
        </w:rPr>
        <w:t>Our management is not aware of any other matters to be presented for action at the annual meeting; however, if any such matters are properly presented for action, it is the intention of the proxy appointees to vote in accordance with their best judgment on such matters.</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61</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62" w:name="page63"/>
    <w:bookmarkEnd w:id="62"/>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About </w:t>
      </w:r>
      <w:r>
        <w:rPr>
          <w:rFonts w:ascii="Arial" w:cs="Arial" w:eastAsia="Arial" w:hAnsi="Arial"/>
          <w:sz w:val="47"/>
          <w:szCs w:val="47"/>
          <w:b w:val="1"/>
          <w:bCs w:val="1"/>
          <w:color w:val="000000"/>
        </w:rPr>
        <w:t>the Meeting</w:t>
      </w:r>
    </w:p>
    <w:p>
      <w:pPr>
        <w:spacing w:after="0" w:line="200" w:lineRule="exact"/>
        <w:rPr>
          <w:sz w:val="20"/>
          <w:szCs w:val="20"/>
          <w:color w:val="auto"/>
        </w:rPr>
      </w:pPr>
    </w:p>
    <w:p>
      <w:pPr>
        <w:spacing w:after="0" w:line="237"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Why am I receiving these materials?</w:t>
      </w:r>
    </w:p>
    <w:p>
      <w:pPr>
        <w:spacing w:after="0" w:line="23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This proxy statement is provided to the stockholders of the Company as of the close of business on March 11, 2022 (the “Record Date”) in connection with the solicitation of proxies by our Board of Directors to be voted at our annual meeting of stockholders to be held virtually at www.virtualshareholdermeeting.com/AMRX2022 at 9:00 a.m., Eastern Daylight Time, on Monday, May 9, 2022, and at any adjournment or postponement of the meeting. This proxy statement provides important information that you should consider in deciding how to vote on the matters to be voted on at the annual meeting.</w:t>
      </w:r>
    </w:p>
    <w:p>
      <w:pPr>
        <w:spacing w:after="0" w:line="265"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Why is the annual meeting being webcast online?</w:t>
      </w:r>
    </w:p>
    <w:p>
      <w:pPr>
        <w:spacing w:after="0" w:line="231"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Due to the continued impact of the coronavirus (COVID-19) pandemic and to support the health and well-being of our stockholders and other participants at the annual meeting, this year the annual meeting will be a virtual meeting of stockholders held via a live audio webcast. The format of the virtual meeting has been designed to ensure that our stockholders who attend our annual meeting will be afforded the same rights and opportunities to participate as they would at an in-person meeting and to enhance stockholder access, participation and communication through online tools. Stockholders will be able to present questions online during the meeting through www.virtualshareholdermeeting.com/AMRX2022, providing our stockholders with the opportunity for meaningful engagement with the Company. In addition, stockholders will be permitted to submit a question in advance of the meeting at www.proxyvote.com after logging in with your 16-digit Control Number.</w:t>
      </w:r>
    </w:p>
    <w:p>
      <w:pPr>
        <w:spacing w:after="0" w:line="270"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How do I participate in the virtual meeting?</w:t>
      </w:r>
    </w:p>
    <w:p>
      <w:pPr>
        <w:spacing w:after="0" w:line="231"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Our annual meeting will be a completely virtual meeting of stockholders, which will be conducted exclusively by live audio webcast. No physical in-person meeting will be held.</w:t>
      </w:r>
    </w:p>
    <w:p>
      <w:pPr>
        <w:spacing w:after="0" w:line="168"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The online meeting will begin promptly at 9:00 a.m. EDT. We encourage you to access the meeting prior to the start time leaving ample time for the check in. To participate in the meeting, you must have your 16-digit Control Number that is shown on your Notice or, if you received a printed copy of the proxy materials, on your proxy card or the instructions that accompanied your proxy materials. You may access the annual meeting online, vote and submit your questions during the meeting by visiting www.virtualshareholdermeeting.com/AMRX2022. Stockholders will be able to submit questions during the meeting by typing in your question into the “ask a question” box on the meeting page. If you lose your 16-digit Control Number, you may join the annual meeting as a “guest” but you will not be able to vote, ask questions or access the list of stockholders as of the close of business on the Record Date.</w:t>
      </w:r>
    </w:p>
    <w:p>
      <w:pPr>
        <w:spacing w:after="0" w:line="267" w:lineRule="exact"/>
        <w:rPr>
          <w:sz w:val="20"/>
          <w:szCs w:val="20"/>
          <w:color w:val="auto"/>
        </w:rPr>
      </w:pPr>
    </w:p>
    <w:p>
      <w:pPr>
        <w:ind w:right="660"/>
        <w:spacing w:after="0" w:line="288" w:lineRule="auto"/>
        <w:rPr>
          <w:sz w:val="20"/>
          <w:szCs w:val="20"/>
          <w:color w:val="auto"/>
        </w:rPr>
      </w:pPr>
      <w:r>
        <w:rPr>
          <w:rFonts w:ascii="Arial" w:cs="Arial" w:eastAsia="Arial" w:hAnsi="Arial"/>
          <w:sz w:val="25"/>
          <w:szCs w:val="25"/>
          <w:b w:val="1"/>
          <w:bCs w:val="1"/>
          <w:color w:val="auto"/>
        </w:rPr>
        <w:t>Will I be able to participate in the virtual meeting on the same basis as I would be able to participate in a live meeting?</w:t>
      </w:r>
    </w:p>
    <w:p>
      <w:pPr>
        <w:spacing w:after="0" w:line="125"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virtual meeting format for the annual meeting will enable full and equal participation by all of our stockholders from any place in the world at little to no cost. We believe that holding the annual meeting online will help support the health and well-being of our stockholders and other participants at the annual meeting as we continue to navigate the ongoing COVID-19 pandemic.</w:t>
      </w:r>
    </w:p>
    <w:p>
      <w:pPr>
        <w:spacing w:after="0" w:line="174"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The format of the virtual meeting has been designed to ensure that our stockholders who attend our annual meeting will be afforded the same rights and opportunities to participate as they would at an in-person meeting and to enhance stockholder access, participation and communication through online tools. We will take the following steps to ensure such an experience:</w:t>
      </w:r>
    </w:p>
    <w:p>
      <w:pPr>
        <w:spacing w:after="0" w:line="162" w:lineRule="exact"/>
        <w:rPr>
          <w:sz w:val="20"/>
          <w:szCs w:val="20"/>
          <w:color w:val="auto"/>
        </w:rPr>
      </w:pPr>
    </w:p>
    <w:p>
      <w:pPr>
        <w:ind w:left="180" w:hanging="172"/>
        <w:spacing w:after="0"/>
        <w:tabs>
          <w:tab w:leader="none" w:pos="180" w:val="left"/>
        </w:tabs>
        <w:numPr>
          <w:ilvl w:val="0"/>
          <w:numId w:val="45"/>
        </w:numPr>
        <w:rPr>
          <w:rFonts w:ascii="Arial" w:cs="Arial" w:eastAsia="Arial" w:hAnsi="Arial"/>
          <w:sz w:val="18"/>
          <w:szCs w:val="18"/>
          <w:color w:val="04568A"/>
        </w:rPr>
      </w:pPr>
      <w:r>
        <w:rPr>
          <w:rFonts w:ascii="Arial" w:cs="Arial" w:eastAsia="Arial" w:hAnsi="Arial"/>
          <w:sz w:val="16"/>
          <w:szCs w:val="16"/>
          <w:color w:val="auto"/>
        </w:rPr>
        <w:t>providing stockholders with the ability to submit appropriate questions in advance of the meeting to ensure thoughtful responses;</w:t>
      </w:r>
    </w:p>
    <w:p>
      <w:pPr>
        <w:spacing w:after="0" w:line="102" w:lineRule="exact"/>
        <w:rPr>
          <w:rFonts w:ascii="Arial" w:cs="Arial" w:eastAsia="Arial" w:hAnsi="Arial"/>
          <w:sz w:val="18"/>
          <w:szCs w:val="18"/>
          <w:color w:val="04568A"/>
        </w:rPr>
      </w:pPr>
    </w:p>
    <w:p>
      <w:pPr>
        <w:ind w:left="180" w:hanging="172"/>
        <w:spacing w:after="0" w:line="235" w:lineRule="auto"/>
        <w:tabs>
          <w:tab w:leader="none" w:pos="180" w:val="left"/>
        </w:tabs>
        <w:numPr>
          <w:ilvl w:val="0"/>
          <w:numId w:val="45"/>
        </w:numPr>
        <w:rPr>
          <w:rFonts w:ascii="Arial" w:cs="Arial" w:eastAsia="Arial" w:hAnsi="Arial"/>
          <w:sz w:val="18"/>
          <w:szCs w:val="18"/>
          <w:color w:val="04568A"/>
        </w:rPr>
      </w:pPr>
      <w:r>
        <w:rPr>
          <w:rFonts w:ascii="Arial" w:cs="Arial" w:eastAsia="Arial" w:hAnsi="Arial"/>
          <w:sz w:val="16"/>
          <w:szCs w:val="16"/>
          <w:color w:val="auto"/>
        </w:rPr>
        <w:t>providing stockholders with the ability to submit appropriate questions real-time via the meeting website, limiting questions to one per stockholder unless time otherwise permits; and</w:t>
      </w:r>
    </w:p>
    <w:p>
      <w:pPr>
        <w:spacing w:after="0" w:line="76" w:lineRule="exact"/>
        <w:rPr>
          <w:rFonts w:ascii="Arial" w:cs="Arial" w:eastAsia="Arial" w:hAnsi="Arial"/>
          <w:sz w:val="18"/>
          <w:szCs w:val="18"/>
          <w:color w:val="04568A"/>
        </w:rPr>
      </w:pPr>
    </w:p>
    <w:p>
      <w:pPr>
        <w:ind w:left="180" w:right="20" w:hanging="172"/>
        <w:spacing w:after="0" w:line="235" w:lineRule="auto"/>
        <w:tabs>
          <w:tab w:leader="none" w:pos="180" w:val="left"/>
        </w:tabs>
        <w:numPr>
          <w:ilvl w:val="0"/>
          <w:numId w:val="45"/>
        </w:numPr>
        <w:rPr>
          <w:rFonts w:ascii="Arial" w:cs="Arial" w:eastAsia="Arial" w:hAnsi="Arial"/>
          <w:sz w:val="18"/>
          <w:szCs w:val="18"/>
          <w:color w:val="04568A"/>
        </w:rPr>
      </w:pPr>
      <w:r>
        <w:rPr>
          <w:rFonts w:ascii="Arial" w:cs="Arial" w:eastAsia="Arial" w:hAnsi="Arial"/>
          <w:sz w:val="16"/>
          <w:szCs w:val="16"/>
          <w:color w:val="auto"/>
        </w:rPr>
        <w:t>answering as many questions submitted in accordance with the meeting rules of conduct as possible in the time allotted for the meeting without discrimination.</w:t>
      </w:r>
    </w:p>
    <w:p>
      <w:pPr>
        <w:spacing w:after="0" w:line="184" w:lineRule="exact"/>
        <w:rPr>
          <w:sz w:val="20"/>
          <w:szCs w:val="20"/>
          <w:color w:val="auto"/>
        </w:rPr>
      </w:pPr>
    </w:p>
    <w:p>
      <w:pPr>
        <w:spacing w:after="0" w:line="260" w:lineRule="auto"/>
        <w:rPr>
          <w:sz w:val="20"/>
          <w:szCs w:val="20"/>
          <w:color w:val="auto"/>
        </w:rPr>
      </w:pPr>
      <w:r>
        <w:rPr>
          <w:rFonts w:ascii="Arial" w:cs="Arial" w:eastAsia="Arial" w:hAnsi="Arial"/>
          <w:sz w:val="16"/>
          <w:szCs w:val="16"/>
          <w:color w:val="auto"/>
        </w:rPr>
        <w:t>Questions pertinent to meeting matters will be answered during the meeting, subject to time constraints. Questions regarding personal matters, including those related to employment issues, are not pertinent to meeting matters and therefore will not be answered.</w:t>
      </w:r>
    </w:p>
    <w:p>
      <w:pPr>
        <w:spacing w:after="0" w:line="148"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63" w:name="page64"/>
    <w:bookmarkEnd w:id="63"/>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9" w:lineRule="exact"/>
        <w:rPr>
          <w:sz w:val="20"/>
          <w:szCs w:val="20"/>
          <w:color w:val="auto"/>
        </w:rPr>
      </w:pPr>
    </w:p>
    <w:p>
      <w:pPr>
        <w:ind w:right="240"/>
        <w:spacing w:after="0" w:line="288" w:lineRule="auto"/>
        <w:rPr>
          <w:sz w:val="20"/>
          <w:szCs w:val="20"/>
          <w:color w:val="auto"/>
        </w:rPr>
      </w:pPr>
      <w:r>
        <w:rPr>
          <w:rFonts w:ascii="Arial" w:cs="Arial" w:eastAsia="Arial" w:hAnsi="Arial"/>
          <w:sz w:val="25"/>
          <w:szCs w:val="25"/>
          <w:b w:val="1"/>
          <w:bCs w:val="1"/>
          <w:color w:val="auto"/>
        </w:rPr>
        <w:t>What if during the check-in time or during the meeting I have technical difficulties or trouble accessing the virtual meeting website?</w:t>
      </w:r>
    </w:p>
    <w:p>
      <w:pPr>
        <w:spacing w:after="0" w:line="125"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Should you require technical assistance, support will be available by dialing 1-844-986-0822 (U.S.) or 1-303-562-9302 (International) during the meeting; these telephone numbers will also be displayed on the meeting webpage. If there are any technical issues in convening or hosting the meeting, we will promptly post information to our website, including information on when the meeting will be reconvened.</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What items will be voted on at the annual meeting?</w:t>
      </w: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At the annual meeting, the stockholders will consider and vote upon:</w:t>
      </w:r>
    </w:p>
    <w:p>
      <w:pPr>
        <w:spacing w:after="0" w:line="182" w:lineRule="exact"/>
        <w:rPr>
          <w:sz w:val="20"/>
          <w:szCs w:val="20"/>
          <w:color w:val="auto"/>
        </w:rPr>
      </w:pPr>
    </w:p>
    <w:p>
      <w:pPr>
        <w:ind w:left="180" w:hanging="172"/>
        <w:spacing w:after="0"/>
        <w:tabs>
          <w:tab w:leader="none" w:pos="180" w:val="left"/>
        </w:tabs>
        <w:numPr>
          <w:ilvl w:val="0"/>
          <w:numId w:val="46"/>
        </w:numPr>
        <w:rPr>
          <w:rFonts w:ascii="Arial" w:cs="Arial" w:eastAsia="Arial" w:hAnsi="Arial"/>
          <w:sz w:val="18"/>
          <w:szCs w:val="18"/>
          <w:color w:val="04568A"/>
        </w:rPr>
      </w:pPr>
      <w:r>
        <w:rPr>
          <w:rFonts w:ascii="Arial" w:cs="Arial" w:eastAsia="Arial" w:hAnsi="Arial"/>
          <w:sz w:val="16"/>
          <w:szCs w:val="16"/>
          <w:color w:val="auto"/>
        </w:rPr>
        <w:t>the election of 10 directors named in this proxy statement to hold office until the next annual meeting of stockholders (Proposal No. 1);</w:t>
      </w:r>
    </w:p>
    <w:p>
      <w:pPr>
        <w:spacing w:after="0" w:line="90" w:lineRule="exact"/>
        <w:rPr>
          <w:rFonts w:ascii="Arial" w:cs="Arial" w:eastAsia="Arial" w:hAnsi="Arial"/>
          <w:sz w:val="18"/>
          <w:szCs w:val="18"/>
          <w:color w:val="04568A"/>
        </w:rPr>
      </w:pPr>
    </w:p>
    <w:p>
      <w:pPr>
        <w:ind w:left="180" w:hanging="172"/>
        <w:spacing w:after="0"/>
        <w:tabs>
          <w:tab w:leader="none" w:pos="180" w:val="left"/>
        </w:tabs>
        <w:numPr>
          <w:ilvl w:val="0"/>
          <w:numId w:val="46"/>
        </w:numPr>
        <w:rPr>
          <w:rFonts w:ascii="Arial" w:cs="Arial" w:eastAsia="Arial" w:hAnsi="Arial"/>
          <w:sz w:val="18"/>
          <w:szCs w:val="18"/>
          <w:color w:val="04568A"/>
        </w:rPr>
      </w:pPr>
      <w:r>
        <w:rPr>
          <w:rFonts w:ascii="Arial" w:cs="Arial" w:eastAsia="Arial" w:hAnsi="Arial"/>
          <w:sz w:val="16"/>
          <w:szCs w:val="16"/>
          <w:color w:val="auto"/>
        </w:rPr>
        <w:t>an advisory vote to approve executive compensation, commonly referred to as a “say on pay” proposal (Proposal No. 2); and</w:t>
      </w:r>
    </w:p>
    <w:p>
      <w:pPr>
        <w:spacing w:after="0" w:line="90" w:lineRule="exact"/>
        <w:rPr>
          <w:rFonts w:ascii="Arial" w:cs="Arial" w:eastAsia="Arial" w:hAnsi="Arial"/>
          <w:sz w:val="18"/>
          <w:szCs w:val="18"/>
          <w:color w:val="04568A"/>
        </w:rPr>
      </w:pPr>
    </w:p>
    <w:p>
      <w:pPr>
        <w:ind w:left="180" w:hanging="172"/>
        <w:spacing w:after="0"/>
        <w:tabs>
          <w:tab w:leader="none" w:pos="180" w:val="left"/>
        </w:tabs>
        <w:numPr>
          <w:ilvl w:val="0"/>
          <w:numId w:val="46"/>
        </w:numPr>
        <w:rPr>
          <w:rFonts w:ascii="Arial" w:cs="Arial" w:eastAsia="Arial" w:hAnsi="Arial"/>
          <w:sz w:val="18"/>
          <w:szCs w:val="18"/>
          <w:color w:val="04568A"/>
        </w:rPr>
      </w:pPr>
      <w:r>
        <w:rPr>
          <w:rFonts w:ascii="Arial" w:cs="Arial" w:eastAsia="Arial" w:hAnsi="Arial"/>
          <w:sz w:val="16"/>
          <w:szCs w:val="16"/>
          <w:color w:val="auto"/>
        </w:rPr>
        <w:t>the ratification of the appointment of Ernst &amp; Young LLP as our independent registered public accounting firm for fiscal 2022 (Proposal No. 3).</w:t>
      </w:r>
    </w:p>
    <w:p>
      <w:pPr>
        <w:spacing w:after="0" w:line="291" w:lineRule="exact"/>
        <w:rPr>
          <w:sz w:val="20"/>
          <w:szCs w:val="20"/>
          <w:color w:val="auto"/>
        </w:rPr>
      </w:pPr>
    </w:p>
    <w:p>
      <w:pPr>
        <w:spacing w:after="0"/>
        <w:rPr>
          <w:sz w:val="20"/>
          <w:szCs w:val="20"/>
          <w:color w:val="auto"/>
        </w:rPr>
      </w:pPr>
      <w:r>
        <w:rPr>
          <w:rFonts w:ascii="Arial" w:cs="Arial" w:eastAsia="Arial" w:hAnsi="Arial"/>
          <w:sz w:val="16"/>
          <w:szCs w:val="16"/>
          <w:color w:val="auto"/>
        </w:rPr>
        <w:t>If you received a paper copy of these materials by mail, the proxy materials also include a proxy card or a voting instruction card for the annual meeting.</w:t>
      </w:r>
    </w:p>
    <w:p>
      <w:pPr>
        <w:spacing w:after="0" w:line="28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What is a proxy statement? What information is contained in this proxy statement?</w:t>
      </w:r>
    </w:p>
    <w:p>
      <w:pPr>
        <w:spacing w:after="0" w:line="231"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It is a document that SEC regulations require us to give you when we ask you to designate proxies to vote on your behalf. The information in this proxy statement relates to the proposals to be voted on at the annual meeting, the voting process, the Company’s Board of Directors and Board committees, the compensation of our directors and executive officers for fiscal 2021 and other required information.</w:t>
      </w:r>
    </w:p>
    <w:p>
      <w:pPr>
        <w:spacing w:after="0" w:line="263" w:lineRule="exact"/>
        <w:rPr>
          <w:sz w:val="20"/>
          <w:szCs w:val="20"/>
          <w:color w:val="auto"/>
        </w:rPr>
      </w:pPr>
    </w:p>
    <w:p>
      <w:pPr>
        <w:ind w:right="120"/>
        <w:spacing w:after="0" w:line="288" w:lineRule="auto"/>
        <w:rPr>
          <w:sz w:val="20"/>
          <w:szCs w:val="20"/>
          <w:color w:val="auto"/>
        </w:rPr>
      </w:pPr>
      <w:r>
        <w:rPr>
          <w:rFonts w:ascii="Arial" w:cs="Arial" w:eastAsia="Arial" w:hAnsi="Arial"/>
          <w:sz w:val="25"/>
          <w:szCs w:val="25"/>
          <w:b w:val="1"/>
          <w:bCs w:val="1"/>
          <w:color w:val="auto"/>
        </w:rPr>
        <w:t>Why did I receive a notice in the mail regarding the Internet availability of the proxy materials instead of a paper copy of the proxy materials?</w:t>
      </w:r>
    </w:p>
    <w:p>
      <w:pPr>
        <w:spacing w:after="0" w:line="125"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We are pleased to be using the SEC rule that allows companies to furnish their proxy materials to stockholders over the Internet. As a result, we are mailing to most of our stockholders a Notice of Internet Availability of the proxy materials instead of a paper copy of the proxy materials. We believe that this process allows us to provide our stockholders with the information they need in a timelier manner, while reducing the environmental impact and lowering the costs of printing and distributing our proxy materials. All stockholders receiving the notice will have the ability to access the proxy materials over the Internet and request to receive a paper copy of the proxy materials by mail.</w:t>
      </w:r>
    </w:p>
    <w:p>
      <w:pPr>
        <w:spacing w:after="0" w:line="265"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How can I access the proxy materials over the Internet?</w:t>
      </w:r>
    </w:p>
    <w:p>
      <w:pPr>
        <w:spacing w:after="0" w:line="231"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The notice of annual meeting, proxy statement and annual report are available at www.proxyvote.com. Instead of receiving future copies of the proxy materials by mail, most beneficial owners can elect to receive an email that will provide electronic links to these documents. Opting to receive your proxy materials online will save us the cost of producing and mailing documents to your home or business and will also give you an electronic link to the proxy voting site. If you received a Notice of Internet Availability, that notice will contain additional instructions on how to view our proxy materials on the Internet.</w:t>
      </w:r>
    </w:p>
    <w:p>
      <w:pPr>
        <w:spacing w:after="0" w:line="264"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How may I obtain a paper copy of the proxy materials?</w:t>
      </w:r>
    </w:p>
    <w:p>
      <w:pPr>
        <w:spacing w:after="0" w:line="231"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Stockholders receiving a Notice of Internet Availability will find instructions about how to obtain a paper copy of the proxy materials on that notice. All stockholders who do not receive a notice will receive a copy of the proxy materials by mail or email.</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63</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64" w:name="page65"/>
    <w:bookmarkEnd w:id="64"/>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9" w:lineRule="exact"/>
        <w:rPr>
          <w:sz w:val="20"/>
          <w:szCs w:val="20"/>
          <w:color w:val="auto"/>
        </w:rPr>
      </w:pPr>
    </w:p>
    <w:p>
      <w:pPr>
        <w:ind w:right="140"/>
        <w:spacing w:after="0" w:line="288" w:lineRule="auto"/>
        <w:rPr>
          <w:sz w:val="20"/>
          <w:szCs w:val="20"/>
          <w:color w:val="auto"/>
        </w:rPr>
      </w:pPr>
      <w:r>
        <w:rPr>
          <w:rFonts w:ascii="Arial" w:cs="Arial" w:eastAsia="Arial" w:hAnsi="Arial"/>
          <w:sz w:val="25"/>
          <w:szCs w:val="25"/>
          <w:b w:val="1"/>
          <w:bCs w:val="1"/>
          <w:color w:val="auto"/>
        </w:rPr>
        <w:t>What is the difference between holding shares as a stockholder of record and as a beneficial owner?</w:t>
      </w:r>
    </w:p>
    <w:p>
      <w:pPr>
        <w:spacing w:after="0" w:line="125"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If your shares are registered directly in your name with the Company’s registrar and transfer agent, Computershare, you are considered a stockholder of record with respect to those shares.</w:t>
      </w:r>
    </w:p>
    <w:p>
      <w:pPr>
        <w:spacing w:after="0" w:line="168" w:lineRule="exact"/>
        <w:rPr>
          <w:sz w:val="20"/>
          <w:szCs w:val="20"/>
          <w:color w:val="auto"/>
        </w:rPr>
      </w:pPr>
    </w:p>
    <w:p>
      <w:pPr>
        <w:spacing w:after="0"/>
        <w:rPr>
          <w:sz w:val="20"/>
          <w:szCs w:val="20"/>
          <w:color w:val="auto"/>
        </w:rPr>
      </w:pPr>
      <w:r>
        <w:rPr>
          <w:rFonts w:ascii="Arial" w:cs="Arial" w:eastAsia="Arial" w:hAnsi="Arial"/>
          <w:sz w:val="16"/>
          <w:szCs w:val="16"/>
          <w:color w:val="auto"/>
        </w:rPr>
        <w:t>If your shares are held in a brokerage account or with a bank or other nominee, you are considered the “beneficial owner” of those shares.</w:t>
      </w:r>
    </w:p>
    <w:p>
      <w:pPr>
        <w:spacing w:after="0" w:line="28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Who is entitled to vote at the annual meeting?</w:t>
      </w:r>
    </w:p>
    <w:p>
      <w:pPr>
        <w:spacing w:after="0" w:line="23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Each holder of record of our Class A common stock and Class B common stock at the close of business on the Record Date is entitled to vote at the annual meeting (Class A common stock and Class B common stock are referred to herein as the “voting common stock”). Holders of Class A common stock and Class B common stock vote as a single class. As of the Record Date, a total of 150,639,171 shares of Class A common stock and 152,116,890 shares of Class B common stock were outstanding and are eligible to vote at the annual meeting. Each share of our Class A common stock and Class B common stock is entitled to one vote per share on all matters with respect to which holders are entitled to vote.</w:t>
      </w:r>
    </w:p>
    <w:p>
      <w:pPr>
        <w:spacing w:after="0" w:line="265"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How do I vote during the meeting?</w:t>
      </w:r>
    </w:p>
    <w:p>
      <w:pPr>
        <w:spacing w:after="0" w:line="231"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We will be hosting the annual meeting live online. You can participate in the annual meeting live online at www.virtualshareholdermeeting.com/AMRX2022. The webcast will start at 9:00 a.m. EDT. Stockholders may vote and submit questions while attending the meeting online. You will need the 16-digit Control Number included on your Notice or, if you received a printed copy of the proxy materials, on your proxy card or the instructions that accompanied your proxy materials in order to be able to vote and submit questions during the meeting.</w:t>
      </w:r>
    </w:p>
    <w:p>
      <w:pPr>
        <w:spacing w:after="0" w:line="175"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Your shares may only be voted at the annual meeting if you are present by remote communication or are represented by proxy. Whether or not you plan to attend the annual meeting, we encourage you to vote by proxy in advance of the annual meeting to assure that your shares will be represented. Voting by proxy will in no way limit your right to vote at the annual meeting if you later decide to participate in the online meeting. Only your latest executed vote will count.</w:t>
      </w:r>
    </w:p>
    <w:p>
      <w:pPr>
        <w:spacing w:after="0" w:line="264"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How do I vote my shares in advance without attending the Annual Meeting?</w:t>
      </w: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If you are a stockholder of record, you may vote by granting a proxy. Specifically, you may vote:</w:t>
      </w:r>
    </w:p>
    <w:p>
      <w:pPr>
        <w:spacing w:after="0" w:line="174" w:lineRule="exact"/>
        <w:rPr>
          <w:sz w:val="20"/>
          <w:szCs w:val="20"/>
          <w:color w:val="auto"/>
        </w:rPr>
      </w:pPr>
    </w:p>
    <w:p>
      <w:pPr>
        <w:ind w:left="180" w:hanging="172"/>
        <w:spacing w:after="0" w:line="256" w:lineRule="auto"/>
        <w:tabs>
          <w:tab w:leader="none" w:pos="180" w:val="left"/>
        </w:tabs>
        <w:numPr>
          <w:ilvl w:val="0"/>
          <w:numId w:val="47"/>
        </w:numPr>
        <w:rPr>
          <w:rFonts w:ascii="Arial" w:cs="Arial" w:eastAsia="Arial" w:hAnsi="Arial"/>
          <w:sz w:val="18"/>
          <w:szCs w:val="18"/>
          <w:color w:val="04568A"/>
        </w:rPr>
      </w:pPr>
      <w:r>
        <w:rPr>
          <w:rFonts w:ascii="Arial" w:cs="Arial" w:eastAsia="Arial" w:hAnsi="Arial"/>
          <w:sz w:val="16"/>
          <w:szCs w:val="16"/>
          <w:b w:val="1"/>
          <w:bCs w:val="1"/>
          <w:color w:val="auto"/>
        </w:rPr>
        <w:t xml:space="preserve">By Internet: </w:t>
      </w:r>
      <w:r>
        <w:rPr>
          <w:rFonts w:ascii="Arial" w:cs="Arial" w:eastAsia="Arial" w:hAnsi="Arial"/>
          <w:sz w:val="16"/>
          <w:szCs w:val="16"/>
          <w:color w:val="auto"/>
        </w:rPr>
        <w:t>If you have Internet access, you may submit your proxy by going to www.proxyvote.com and by following the instructions on how to complete</w:t>
      </w:r>
      <w:r>
        <w:rPr>
          <w:rFonts w:ascii="Arial" w:cs="Arial" w:eastAsia="Arial" w:hAnsi="Arial"/>
          <w:sz w:val="16"/>
          <w:szCs w:val="16"/>
          <w:b w:val="1"/>
          <w:bCs w:val="1"/>
          <w:color w:val="auto"/>
        </w:rPr>
        <w:t xml:space="preserve"> </w:t>
      </w:r>
      <w:r>
        <w:rPr>
          <w:rFonts w:ascii="Arial" w:cs="Arial" w:eastAsia="Arial" w:hAnsi="Arial"/>
          <w:sz w:val="16"/>
          <w:szCs w:val="16"/>
          <w:color w:val="auto"/>
        </w:rPr>
        <w:t>an electronic proxy card. You will need the 16-digit number included on your Notice of Internet Availability or your proxy card in order to vote by Internet.</w:t>
      </w:r>
    </w:p>
    <w:p>
      <w:pPr>
        <w:spacing w:after="0" w:line="41" w:lineRule="exact"/>
        <w:rPr>
          <w:rFonts w:ascii="Arial" w:cs="Arial" w:eastAsia="Arial" w:hAnsi="Arial"/>
          <w:sz w:val="18"/>
          <w:szCs w:val="18"/>
          <w:color w:val="04568A"/>
        </w:rPr>
      </w:pPr>
    </w:p>
    <w:p>
      <w:pPr>
        <w:ind w:left="180" w:hanging="172"/>
        <w:spacing w:after="0" w:line="256" w:lineRule="auto"/>
        <w:tabs>
          <w:tab w:leader="none" w:pos="180" w:val="left"/>
        </w:tabs>
        <w:numPr>
          <w:ilvl w:val="0"/>
          <w:numId w:val="47"/>
        </w:numPr>
        <w:rPr>
          <w:rFonts w:ascii="Arial" w:cs="Arial" w:eastAsia="Arial" w:hAnsi="Arial"/>
          <w:sz w:val="18"/>
          <w:szCs w:val="18"/>
          <w:color w:val="04568A"/>
        </w:rPr>
      </w:pPr>
      <w:r>
        <w:rPr>
          <w:rFonts w:ascii="Arial" w:cs="Arial" w:eastAsia="Arial" w:hAnsi="Arial"/>
          <w:sz w:val="16"/>
          <w:szCs w:val="16"/>
          <w:b w:val="1"/>
          <w:bCs w:val="1"/>
          <w:color w:val="auto"/>
        </w:rPr>
        <w:t xml:space="preserve">By Telephone: </w:t>
      </w:r>
      <w:r>
        <w:rPr>
          <w:rFonts w:ascii="Arial" w:cs="Arial" w:eastAsia="Arial" w:hAnsi="Arial"/>
          <w:sz w:val="16"/>
          <w:szCs w:val="16"/>
          <w:color w:val="auto"/>
        </w:rPr>
        <w:t>You may submit your proxy by dialing 1-800-690-6903 and by following the recorded instructions. You will need the 16-digit number</w:t>
      </w:r>
      <w:r>
        <w:rPr>
          <w:rFonts w:ascii="Arial" w:cs="Arial" w:eastAsia="Arial" w:hAnsi="Arial"/>
          <w:sz w:val="16"/>
          <w:szCs w:val="16"/>
          <w:b w:val="1"/>
          <w:bCs w:val="1"/>
          <w:color w:val="auto"/>
        </w:rPr>
        <w:t xml:space="preserve"> </w:t>
      </w:r>
      <w:r>
        <w:rPr>
          <w:rFonts w:ascii="Arial" w:cs="Arial" w:eastAsia="Arial" w:hAnsi="Arial"/>
          <w:sz w:val="16"/>
          <w:szCs w:val="16"/>
          <w:color w:val="auto"/>
        </w:rPr>
        <w:t>included on your Notice of Internet Availability or your proxy card in order to vote by telephone.</w:t>
      </w:r>
    </w:p>
    <w:p>
      <w:pPr>
        <w:spacing w:after="0" w:line="41" w:lineRule="exact"/>
        <w:rPr>
          <w:rFonts w:ascii="Arial" w:cs="Arial" w:eastAsia="Arial" w:hAnsi="Arial"/>
          <w:sz w:val="18"/>
          <w:szCs w:val="18"/>
          <w:color w:val="04568A"/>
        </w:rPr>
      </w:pPr>
    </w:p>
    <w:p>
      <w:pPr>
        <w:jc w:val="both"/>
        <w:ind w:left="180" w:hanging="172"/>
        <w:spacing w:after="0" w:line="249" w:lineRule="auto"/>
        <w:tabs>
          <w:tab w:leader="none" w:pos="180" w:val="left"/>
        </w:tabs>
        <w:numPr>
          <w:ilvl w:val="0"/>
          <w:numId w:val="47"/>
        </w:numPr>
        <w:rPr>
          <w:rFonts w:ascii="Arial" w:cs="Arial" w:eastAsia="Arial" w:hAnsi="Arial"/>
          <w:sz w:val="18"/>
          <w:szCs w:val="18"/>
          <w:color w:val="04568A"/>
        </w:rPr>
      </w:pPr>
      <w:r>
        <w:rPr>
          <w:rFonts w:ascii="Arial" w:cs="Arial" w:eastAsia="Arial" w:hAnsi="Arial"/>
          <w:sz w:val="16"/>
          <w:szCs w:val="16"/>
          <w:b w:val="1"/>
          <w:bCs w:val="1"/>
          <w:color w:val="auto"/>
        </w:rPr>
        <w:t xml:space="preserve">By Mail: </w:t>
      </w:r>
      <w:r>
        <w:rPr>
          <w:rFonts w:ascii="Arial" w:cs="Arial" w:eastAsia="Arial" w:hAnsi="Arial"/>
          <w:sz w:val="16"/>
          <w:szCs w:val="16"/>
          <w:color w:val="auto"/>
        </w:rPr>
        <w:t>You may vote by mail by requesting a proxy card from us, indicating your vote by completing, signing and dating the card where indicated and by</w:t>
      </w:r>
      <w:r>
        <w:rPr>
          <w:rFonts w:ascii="Arial" w:cs="Arial" w:eastAsia="Arial" w:hAnsi="Arial"/>
          <w:sz w:val="16"/>
          <w:szCs w:val="16"/>
          <w:b w:val="1"/>
          <w:bCs w:val="1"/>
          <w:color w:val="auto"/>
        </w:rPr>
        <w:t xml:space="preserve"> </w:t>
      </w:r>
      <w:r>
        <w:rPr>
          <w:rFonts w:ascii="Arial" w:cs="Arial" w:eastAsia="Arial" w:hAnsi="Arial"/>
          <w:sz w:val="16"/>
          <w:szCs w:val="16"/>
          <w:color w:val="auto"/>
        </w:rPr>
        <w:t>mailing or otherwise returning the card in the envelope that will be provided to you. You should sign your name exactly as it appears on the proxy card. If you are signing in a representative capacity (for example, as guardian, executor, trustee, custodian, attorney or officer of a corporation), indicate your name and title or capacity.</w:t>
      </w:r>
    </w:p>
    <w:p>
      <w:pPr>
        <w:spacing w:after="0" w:line="178"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If you hold your shares in street name, you may submit voting instructions to your broker, bank or other nominee. In most instances, you will be able to do this over the Internet, by telephone or by mail. Please refer to information from your bank, broker or other nominee on how to submit voting instructions.</w:t>
      </w:r>
    </w:p>
    <w:p>
      <w:pPr>
        <w:spacing w:after="0" w:line="257"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What can I do if I change my mind after I vote my shares?</w:t>
      </w:r>
    </w:p>
    <w:p>
      <w:pPr>
        <w:spacing w:after="0" w:line="323"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Stockholders of Record</w:t>
      </w:r>
    </w:p>
    <w:p>
      <w:pPr>
        <w:spacing w:after="0" w:line="205"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If you are a stockholder of record, you may revoke your proxy at any time before it is exercised by timely submission of a written revocation to our corporate secretary at our principal executive offices located at 400 Crossing Boulevard, Bridgewater, New Jersey 08807, submission of a properly executed later-dated proxy, or by voting online at the annual meeting. Attendance at the annual meeting will not by itself constitute a revocation of a proxy.</w:t>
      </w:r>
    </w:p>
    <w:p>
      <w:pPr>
        <w:spacing w:after="0" w:line="145" w:lineRule="exact"/>
        <w:rPr>
          <w:sz w:val="20"/>
          <w:szCs w:val="20"/>
          <w:color w:val="auto"/>
        </w:rPr>
      </w:pPr>
    </w:p>
    <w:p>
      <w:pPr>
        <w:spacing w:after="0"/>
        <w:rPr>
          <w:sz w:val="20"/>
          <w:szCs w:val="20"/>
          <w:color w:val="auto"/>
        </w:rPr>
      </w:pPr>
      <w:r>
        <w:rPr>
          <w:rFonts w:ascii="Arial" w:cs="Arial" w:eastAsia="Arial" w:hAnsi="Arial"/>
          <w:sz w:val="20"/>
          <w:szCs w:val="20"/>
          <w:b w:val="1"/>
          <w:bCs w:val="1"/>
          <w:color w:val="04568A"/>
        </w:rPr>
        <w:t>Beneficial Owners</w:t>
      </w:r>
    </w:p>
    <w:p>
      <w:pPr>
        <w:spacing w:after="0" w:line="205"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If your shares are held in the name of a broker, bank or other holder of record, that institution will instruct you as to how your vote may be changed and the deadline for doing so.</w:t>
      </w:r>
    </w:p>
    <w:p>
      <w:pPr>
        <w:spacing w:after="0" w:line="148"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568450" cy="8890"/>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139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65" w:name="page66"/>
    <w:bookmarkEnd w:id="65"/>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9" w:lineRule="exact"/>
        <w:rPr>
          <w:sz w:val="20"/>
          <w:szCs w:val="20"/>
          <w:color w:val="auto"/>
        </w:rPr>
      </w:pPr>
    </w:p>
    <w:p>
      <w:pPr>
        <w:ind w:right="460"/>
        <w:spacing w:after="0" w:line="268" w:lineRule="auto"/>
        <w:rPr>
          <w:sz w:val="20"/>
          <w:szCs w:val="20"/>
          <w:color w:val="auto"/>
        </w:rPr>
      </w:pPr>
      <w:r>
        <w:rPr>
          <w:rFonts w:ascii="Arial" w:cs="Arial" w:eastAsia="Arial" w:hAnsi="Arial"/>
          <w:sz w:val="25"/>
          <w:szCs w:val="25"/>
          <w:b w:val="1"/>
          <w:bCs w:val="1"/>
          <w:color w:val="auto"/>
        </w:rPr>
        <w:t>If I am a stockholder of record, how will my shares be voted if I sign, date and return my proxy card? What if I do not specify a choice for a matter when returning my signed proxy card?</w:t>
      </w:r>
    </w:p>
    <w:p>
      <w:pPr>
        <w:spacing w:after="0" w:line="149"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All shares entitled to vote that are represented by properly completed proxy cards received prior to the annual meeting and not revoked will be voted at the meeting in accordance with your instructions. If you sign and return a proxy card but do not indicate how your shares should be voted, the shares represented by your proxy card will be voted in accordance with the Board of Directors’ recommendations on Proposals 1-3 and in the discretion of the persons designated as proxies as to any other matter that may properly come before the annual meeting.</w:t>
      </w:r>
    </w:p>
    <w:p>
      <w:pPr>
        <w:spacing w:after="0" w:line="264"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What if I am a beneficial owner and do not give voting instructions to my broker?</w:t>
      </w:r>
    </w:p>
    <w:p>
      <w:pPr>
        <w:spacing w:after="0" w:line="231"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As a beneficial owner, to make sure your shares are voted in the way you would like, you must provide voting instructions to your bank, broker or other nominee by the deadline provided in the materials you receive from your bank, broker or other nominee.</w:t>
      </w:r>
    </w:p>
    <w:p>
      <w:pPr>
        <w:spacing w:after="0" w:line="16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If you do not provide voting instructions to your bank, broker or other nominee, your shares cannot be voted on any “non-routine” matters, which is commonly referred to as a “broker non-vote.”</w:t>
      </w:r>
    </w:p>
    <w:p>
      <w:pPr>
        <w:spacing w:after="0" w:line="168"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Under current NYSE interpretations that govern broker non-votes, Proposal Nos. 1 and 2 are considered non-routine matters, and a broker will lack the authority to vote uninstructed shares at their discretion on such proposals. Proposal No. 3 is considered a routine matter, and a broker will be permitted to exercise its discretion to vote uninstructed shares on the proposal.</w:t>
      </w:r>
    </w:p>
    <w:p>
      <w:pPr>
        <w:spacing w:after="0" w:line="26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What constitutes a quorum?</w:t>
      </w:r>
    </w:p>
    <w:p>
      <w:pPr>
        <w:spacing w:after="0" w:line="23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The presence by remote communication or represented by proxy of the holders of a majority of the issued and outstanding shares of stock entitled to vote at the meeting shall constitute a quorum for the transaction of business. Abstentions and broker non-votes will be counted as present and entitled to vote for purposes of determining a quorum. A broker “non-vote” occurs when a nominee, such as a bank or broker, holding shares for a beneficial owner, does not vote on a particular proposal because the nominee does not have discretionary voting power with respect to that item and has not received instructions from the beneficial owner (see “What if I am a beneficial owner and do not give voting instructions to my broker?” above).</w:t>
      </w:r>
    </w:p>
    <w:p>
      <w:pPr>
        <w:spacing w:after="0" w:line="265"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How will votes be counted?</w:t>
      </w:r>
    </w:p>
    <w:p>
      <w:pPr>
        <w:spacing w:after="0" w:line="231" w:lineRule="exact"/>
        <w:rPr>
          <w:sz w:val="20"/>
          <w:szCs w:val="20"/>
          <w:color w:val="auto"/>
        </w:rPr>
      </w:pPr>
    </w:p>
    <w:p>
      <w:pPr>
        <w:jc w:val="both"/>
        <w:spacing w:after="0" w:line="251" w:lineRule="auto"/>
        <w:rPr>
          <w:sz w:val="20"/>
          <w:szCs w:val="20"/>
          <w:color w:val="auto"/>
        </w:rPr>
      </w:pPr>
      <w:r>
        <w:rPr>
          <w:rFonts w:ascii="Arial" w:cs="Arial" w:eastAsia="Arial" w:hAnsi="Arial"/>
          <w:sz w:val="16"/>
          <w:szCs w:val="16"/>
          <w:color w:val="auto"/>
        </w:rPr>
        <w:t>With respect to Proposal No. 1, to be elected, a nominee for director must receive the affirmative vote of a majority of the votes cast with respect to such nominee. Approval of each of Proposal Nos. 2, and 3 requires the affirmative vote of a majority of the shares of voting common stock present by remote communication or by proxy at the annual meeting and entitled to vote. Abstentions will not affect the outcome of the vote for Proposal No. 1 but will have the same effect as a vote “AGAINST” for Proposal Nos. 2 and 3. Broker non-votes will not affect the outcome of the vote for Proposal Nos. 1 through 3.</w:t>
      </w:r>
    </w:p>
    <w:p>
      <w:pPr>
        <w:spacing w:after="0" w:line="264"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Who will count the votes?</w:t>
      </w: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A representative of American Election Services LLC will tally the vote and serve as inspector of the annual meeting.</w:t>
      </w:r>
    </w:p>
    <w:p>
      <w:pPr>
        <w:spacing w:after="0" w:line="283"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How are proxies being solicited and who will pay for the solicitation of proxies?</w:t>
      </w:r>
    </w:p>
    <w:p>
      <w:pPr>
        <w:spacing w:after="0" w:line="231"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We will bear the expense of the solicitation of proxies. In addition to the solicitation of proxies by mail, solicitation may be made by our directors, officers and employees by other means, including telephone, over the Internet or in person. No special compensation will be paid to our directors, officers or employees for the solicitation of proxies. To solicit proxies, we will also request the assistance of brokerage houses, banks and other custodians, nominees or fiduciaries, and, upon request, will reimburse such organizations or individuals for their reasonable expenses in forwarding soliciting materials to beneficial owners and in obtaining authorization for the execution of proxies.</w:t>
      </w:r>
    </w:p>
    <w:p>
      <w:pPr>
        <w:spacing w:after="0" w:line="156"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65</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66" w:name="page67"/>
    <w:bookmarkEnd w:id="66"/>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Additional </w:t>
      </w:r>
      <w:r>
        <w:rPr>
          <w:rFonts w:ascii="Arial" w:cs="Arial" w:eastAsia="Arial" w:hAnsi="Arial"/>
          <w:sz w:val="47"/>
          <w:szCs w:val="47"/>
          <w:b w:val="1"/>
          <w:bCs w:val="1"/>
          <w:color w:val="000000"/>
        </w:rPr>
        <w:t>Information</w:t>
      </w:r>
    </w:p>
    <w:p>
      <w:pPr>
        <w:spacing w:after="0" w:line="323" w:lineRule="exact"/>
        <w:rPr>
          <w:sz w:val="20"/>
          <w:szCs w:val="20"/>
          <w:color w:val="auto"/>
        </w:rPr>
      </w:pPr>
    </w:p>
    <w:p>
      <w:pPr>
        <w:ind w:right="320"/>
        <w:spacing w:after="0" w:line="286" w:lineRule="auto"/>
        <w:rPr>
          <w:sz w:val="20"/>
          <w:szCs w:val="20"/>
          <w:color w:val="auto"/>
        </w:rPr>
      </w:pPr>
      <w:r>
        <w:rPr>
          <w:rFonts w:ascii="Arial" w:cs="Arial" w:eastAsia="Arial" w:hAnsi="Arial"/>
          <w:sz w:val="32"/>
          <w:szCs w:val="32"/>
          <w:b w:val="1"/>
          <w:bCs w:val="1"/>
          <w:color w:val="04568A"/>
        </w:rPr>
        <w:t>Stockholder Proposals for Inclusion in Our 2023 Annual Meeting Proxy Statement and Proxy Card</w:t>
      </w:r>
    </w:p>
    <w:p>
      <w:pPr>
        <w:spacing w:after="0" w:line="106" w:lineRule="exact"/>
        <w:rPr>
          <w:sz w:val="20"/>
          <w:szCs w:val="20"/>
          <w:color w:val="auto"/>
        </w:rPr>
      </w:pPr>
    </w:p>
    <w:p>
      <w:pPr>
        <w:jc w:val="both"/>
        <w:spacing w:after="0" w:line="250" w:lineRule="auto"/>
        <w:rPr>
          <w:sz w:val="20"/>
          <w:szCs w:val="20"/>
          <w:color w:val="auto"/>
        </w:rPr>
      </w:pPr>
      <w:r>
        <w:rPr>
          <w:rFonts w:ascii="Arial" w:cs="Arial" w:eastAsia="Arial" w:hAnsi="Arial"/>
          <w:sz w:val="16"/>
          <w:szCs w:val="16"/>
          <w:color w:val="auto"/>
        </w:rPr>
        <w:t>Under Exchange Act Rule 14a-8 (“Rule 14a-8”), any stockholder proposal to be considered by us for inclusion in our 2023 proxy statement and form of proxy card for next year’s annual meeting of stockholders, expected to be held in May 2023, must be received by our corporate secretary at our principal executive offices located at 400 Crossing Boulevard, Bridgewater, New Jersey 08807, not later than November 25, 2022 and must otherwise comply with Rule 14a-8. While the Board will consider stockholder proposals that we receive, we reserve the right to omit from our proxy statement stockholder proposals that do not satisfy applicable SEC rules.</w:t>
      </w:r>
    </w:p>
    <w:p>
      <w:pPr>
        <w:spacing w:after="0" w:line="259" w:lineRule="exact"/>
        <w:rPr>
          <w:sz w:val="20"/>
          <w:szCs w:val="20"/>
          <w:color w:val="auto"/>
        </w:rPr>
      </w:pPr>
    </w:p>
    <w:p>
      <w:pPr>
        <w:ind w:right="240"/>
        <w:spacing w:after="0" w:line="286" w:lineRule="auto"/>
        <w:rPr>
          <w:sz w:val="20"/>
          <w:szCs w:val="20"/>
          <w:color w:val="auto"/>
        </w:rPr>
      </w:pPr>
      <w:r>
        <w:rPr>
          <w:rFonts w:ascii="Arial" w:cs="Arial" w:eastAsia="Arial" w:hAnsi="Arial"/>
          <w:sz w:val="32"/>
          <w:szCs w:val="32"/>
          <w:b w:val="1"/>
          <w:bCs w:val="1"/>
          <w:color w:val="04568A"/>
        </w:rPr>
        <w:t>Director Nominations and Other Proposals to Be Presented at Our 2023 Annual Meeting</w:t>
      </w:r>
    </w:p>
    <w:p>
      <w:pPr>
        <w:spacing w:after="0" w:line="106" w:lineRule="exact"/>
        <w:rPr>
          <w:sz w:val="20"/>
          <w:szCs w:val="20"/>
          <w:color w:val="auto"/>
        </w:rPr>
      </w:pPr>
    </w:p>
    <w:p>
      <w:pPr>
        <w:jc w:val="both"/>
        <w:spacing w:after="0" w:line="245" w:lineRule="auto"/>
        <w:rPr>
          <w:sz w:val="20"/>
          <w:szCs w:val="20"/>
          <w:color w:val="auto"/>
        </w:rPr>
      </w:pPr>
      <w:r>
        <w:rPr>
          <w:rFonts w:ascii="Arial" w:cs="Arial" w:eastAsia="Arial" w:hAnsi="Arial"/>
          <w:sz w:val="16"/>
          <w:szCs w:val="16"/>
          <w:color w:val="auto"/>
        </w:rPr>
        <w:t>In addition, our Bylaws establish advance notice and other procedures with regard to stockholder nominations for director or any other stockholder proposals to be brought before an annual meeting of stockholders that will not be included in our proxy statement. In general, notice must be received by our corporate secretary not less than 90 days nor more than 120 days prior to the first anniversary of the preceding year’s annual meeting of stockholders and must contain specified information concerning the matters to be brought before the meeting and concerning the stockholder making the proposal. If no annual meeting was held in the previous year or if the annual meeting is called for a date that is more than 30 calendar days earlier or more than 60 calendar days</w:t>
      </w:r>
    </w:p>
    <w:p>
      <w:pPr>
        <w:spacing w:after="0" w:line="3" w:lineRule="exact"/>
        <w:rPr>
          <w:sz w:val="20"/>
          <w:szCs w:val="20"/>
          <w:color w:val="auto"/>
        </w:rPr>
      </w:pPr>
    </w:p>
    <w:p>
      <w:pPr>
        <w:jc w:val="both"/>
        <w:spacing w:after="0" w:line="234" w:lineRule="auto"/>
        <w:rPr>
          <w:sz w:val="20"/>
          <w:szCs w:val="20"/>
          <w:color w:val="auto"/>
        </w:rPr>
      </w:pPr>
      <w:r>
        <w:rPr>
          <w:rFonts w:ascii="Arial" w:cs="Arial" w:eastAsia="Arial" w:hAnsi="Arial"/>
          <w:sz w:val="16"/>
          <w:szCs w:val="16"/>
          <w:color w:val="auto"/>
        </w:rPr>
        <w:t>later than such anniversary date, notice must be received not later than close of business on the 90</w:t>
      </w:r>
      <w:r>
        <w:rPr>
          <w:rFonts w:ascii="Arial" w:cs="Arial" w:eastAsia="Arial" w:hAnsi="Arial"/>
          <w:sz w:val="26"/>
          <w:szCs w:val="26"/>
          <w:color w:val="auto"/>
          <w:vertAlign w:val="superscript"/>
        </w:rPr>
        <w:t>th</w:t>
      </w:r>
      <w:r>
        <w:rPr>
          <w:rFonts w:ascii="Arial" w:cs="Arial" w:eastAsia="Arial" w:hAnsi="Arial"/>
          <w:sz w:val="16"/>
          <w:szCs w:val="16"/>
          <w:color w:val="auto"/>
        </w:rPr>
        <w:t xml:space="preserve"> day prior, nor earlier than close of business on the 120th day prior, to the date of such annual meeting or, if the first public disclosure of the date of such annual meeting is less than 100 calendar days prior to the date of such annual meeting, the 10th calendar day following the day on which public disclosure of the date of such annual meeting is first made by the Company. Therefore, to be presented at next year’s annual meeting, director nominations and stockholder proposals that will not be included in our proxy statement must be received by our corporate secretary at the address above on or after close of business on January 9, 2023 but not later than close of business on February 8, 2023 and must contain the information specified in our Bylaws. A nomination or proposal also must comply with the additional procedures set forth in our Bylaws.</w:t>
      </w:r>
    </w:p>
    <w:p>
      <w:pPr>
        <w:spacing w:after="0" w:line="187" w:lineRule="exact"/>
        <w:rPr>
          <w:sz w:val="20"/>
          <w:szCs w:val="20"/>
          <w:color w:val="auto"/>
        </w:rPr>
      </w:pPr>
    </w:p>
    <w:p>
      <w:pPr>
        <w:jc w:val="both"/>
        <w:spacing w:after="0" w:line="253" w:lineRule="auto"/>
        <w:rPr>
          <w:sz w:val="20"/>
          <w:szCs w:val="20"/>
          <w:color w:val="auto"/>
        </w:rPr>
      </w:pPr>
      <w:r>
        <w:rPr>
          <w:rFonts w:ascii="Arial" w:cs="Arial" w:eastAsia="Arial" w:hAnsi="Arial"/>
          <w:sz w:val="16"/>
          <w:szCs w:val="16"/>
          <w:color w:val="auto"/>
        </w:rPr>
        <w:t>In addition to satisfying the foregoing requirements under our Bylaws, to comply with the universal proxy rules (once effective), stockholders who intend to solicit proxies in support of director nominees other than the Company’s nominees must provide notice that sets forth the information required by Rule 14a-19 under the Exchange Act no later than March 10, 2023.</w:t>
      </w:r>
    </w:p>
    <w:p>
      <w:pPr>
        <w:spacing w:after="0" w:line="258"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Householding</w:t>
      </w:r>
    </w:p>
    <w:p>
      <w:pPr>
        <w:spacing w:after="0" w:line="237"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 xml:space="preserve">Some brokers, banks and other nominee record holders may be participating in the practice of “householding” proxy statements and annual reports or notices of Internet availability of proxy materials, as applicable. This means that only one copy of such items may have been sent to multiple stockholders in your household. </w:t>
      </w:r>
      <w:r>
        <w:rPr>
          <w:rFonts w:ascii="Arial" w:cs="Arial" w:eastAsia="Arial" w:hAnsi="Arial"/>
          <w:sz w:val="16"/>
          <w:szCs w:val="16"/>
          <w:b w:val="1"/>
          <w:bCs w:val="1"/>
          <w:color w:val="auto"/>
        </w:rPr>
        <w:t>We will promptly deliver, without charge, a separate copy of these documents to you if you so request by writing or calling as</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follows: Amneal Pharmaceuticals, Inc., Attention: Corporate Secretary, 400 Crossing Boulevard, Bridgewater, NJ 08807; telephone, (908) 947-3120. </w:t>
      </w:r>
      <w:r>
        <w:rPr>
          <w:rFonts w:ascii="Arial" w:cs="Arial" w:eastAsia="Arial" w:hAnsi="Arial"/>
          <w:sz w:val="16"/>
          <w:szCs w:val="16"/>
          <w:color w:val="auto"/>
        </w:rPr>
        <w:t>If you want to receive separate copies of the annual report and proxy statement or notice of Internet availability of proxy materials, as applicable, in the</w:t>
      </w:r>
      <w:r>
        <w:rPr>
          <w:rFonts w:ascii="Arial" w:cs="Arial" w:eastAsia="Arial" w:hAnsi="Arial"/>
          <w:sz w:val="16"/>
          <w:szCs w:val="16"/>
          <w:b w:val="1"/>
          <w:bCs w:val="1"/>
          <w:color w:val="auto"/>
        </w:rPr>
        <w:t xml:space="preserve"> </w:t>
      </w:r>
      <w:r>
        <w:rPr>
          <w:rFonts w:ascii="Arial" w:cs="Arial" w:eastAsia="Arial" w:hAnsi="Arial"/>
          <w:sz w:val="16"/>
          <w:szCs w:val="16"/>
          <w:color w:val="auto"/>
        </w:rPr>
        <w:t>future, or if you are receiving multiple copies and would like to receive only one copy for your household, you should contact your broker, bank or other nominee record holder, or you may contact us at the above address and phone number.</w:t>
      </w:r>
    </w:p>
    <w:p>
      <w:pPr>
        <w:spacing w:after="0" w:line="161"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67" w:name="page68"/>
    <w:bookmarkEnd w:id="67"/>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27" w:lineRule="exact"/>
        <w:rPr>
          <w:sz w:val="20"/>
          <w:szCs w:val="20"/>
          <w:color w:val="auto"/>
        </w:rPr>
      </w:pPr>
    </w:p>
    <w:p>
      <w:pPr>
        <w:spacing w:after="0"/>
        <w:rPr>
          <w:sz w:val="20"/>
          <w:szCs w:val="20"/>
          <w:color w:val="auto"/>
        </w:rPr>
      </w:pPr>
      <w:r>
        <w:rPr>
          <w:rFonts w:ascii="Arial" w:cs="Arial" w:eastAsia="Arial" w:hAnsi="Arial"/>
          <w:sz w:val="47"/>
          <w:szCs w:val="47"/>
          <w:b w:val="1"/>
          <w:bCs w:val="1"/>
          <w:color w:val="04568A"/>
        </w:rPr>
        <w:t xml:space="preserve">Appendix </w:t>
      </w:r>
      <w:r>
        <w:rPr>
          <w:rFonts w:ascii="Arial" w:cs="Arial" w:eastAsia="Arial" w:hAnsi="Arial"/>
          <w:sz w:val="47"/>
          <w:szCs w:val="47"/>
          <w:b w:val="1"/>
          <w:bCs w:val="1"/>
          <w:color w:val="000000"/>
        </w:rPr>
        <w:t>A Non-GAAP Financial Measures</w:t>
      </w:r>
    </w:p>
    <w:p>
      <w:pPr>
        <w:spacing w:after="0" w:line="323"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Non-GAAP Financial Measures</w:t>
      </w:r>
    </w:p>
    <w:p>
      <w:pPr>
        <w:spacing w:after="0" w:line="237" w:lineRule="exact"/>
        <w:rPr>
          <w:sz w:val="20"/>
          <w:szCs w:val="20"/>
          <w:color w:val="auto"/>
        </w:rPr>
      </w:pPr>
    </w:p>
    <w:p>
      <w:pPr>
        <w:jc w:val="both"/>
        <w:spacing w:after="0" w:line="248" w:lineRule="auto"/>
        <w:rPr>
          <w:sz w:val="20"/>
          <w:szCs w:val="20"/>
          <w:color w:val="auto"/>
        </w:rPr>
      </w:pPr>
      <w:r>
        <w:rPr>
          <w:rFonts w:ascii="Arial" w:cs="Arial" w:eastAsia="Arial" w:hAnsi="Arial"/>
          <w:sz w:val="16"/>
          <w:szCs w:val="16"/>
          <w:color w:val="auto"/>
        </w:rPr>
        <w:t>This Proxy Statement includes certain non-GAAP financial measures, including EBITDA, adjusted EBITDA, adjusted net income and adjusted diluted earnings per share, which are intended as supplemental measures of the Company’s performance that are not required by or presented in accordance with GAAP. Management uses these non-GAAP historical measures internally to evaluate and manage the Company’s operations and to better understand its business because they facilitate a comparative assessment of the Company’s operating performance relative to its performance based on results calculated under GAAP. These non-GAAP measures also isolate the effects of some items that vary from period to period without any correlation to core operating performance and eliminate certain charges that management believes do not reflect the Company’s operations and underlying operational performance. The Compensation Committee of the Company’s Board of Directors also uses certain of these measures to evaluate management’s performance and set its compensation. The Company believes that these non-GAAP measures also provide useful information to investors regarding certain financial and business trends relating to the Company’s financial condition and operating results. Providing this information therefore allows investors to make independent assessments of the Company’s financial performance, results of operations and trends while viewing the information through the eyes of management.</w:t>
      </w:r>
    </w:p>
    <w:p>
      <w:pPr>
        <w:spacing w:after="0" w:line="178" w:lineRule="exact"/>
        <w:rPr>
          <w:sz w:val="20"/>
          <w:szCs w:val="20"/>
          <w:color w:val="auto"/>
        </w:rPr>
      </w:pPr>
    </w:p>
    <w:p>
      <w:pPr>
        <w:jc w:val="both"/>
        <w:spacing w:after="0" w:line="260" w:lineRule="auto"/>
        <w:rPr>
          <w:sz w:val="20"/>
          <w:szCs w:val="20"/>
          <w:color w:val="auto"/>
        </w:rPr>
      </w:pPr>
      <w:r>
        <w:rPr>
          <w:rFonts w:ascii="Arial" w:cs="Arial" w:eastAsia="Arial" w:hAnsi="Arial"/>
          <w:sz w:val="16"/>
          <w:szCs w:val="16"/>
          <w:color w:val="auto"/>
        </w:rPr>
        <w:t>The calculation of non-GAAP adjusted diluted earnings per share assumes the conversion of all outstanding shares of Class B common stock to shares of Class A common stock.</w:t>
      </w:r>
    </w:p>
    <w:p>
      <w:pPr>
        <w:spacing w:after="0" w:line="168" w:lineRule="exact"/>
        <w:rPr>
          <w:sz w:val="20"/>
          <w:szCs w:val="20"/>
          <w:color w:val="auto"/>
        </w:rPr>
      </w:pPr>
    </w:p>
    <w:p>
      <w:pPr>
        <w:jc w:val="both"/>
        <w:ind w:right="20"/>
        <w:spacing w:after="0" w:line="260" w:lineRule="auto"/>
        <w:rPr>
          <w:sz w:val="20"/>
          <w:szCs w:val="20"/>
          <w:color w:val="auto"/>
        </w:rPr>
      </w:pPr>
      <w:r>
        <w:rPr>
          <w:rFonts w:ascii="Arial" w:cs="Arial" w:eastAsia="Arial" w:hAnsi="Arial"/>
          <w:sz w:val="16"/>
          <w:szCs w:val="16"/>
          <w:color w:val="auto"/>
        </w:rPr>
        <w:t>These non-GAAP measures are subject to limitations. The non-GAAP measures presented herein may not be comparable to similarly titled measures used by other companies because other companies may not calculate one or more in the same manner.</w:t>
      </w:r>
    </w:p>
    <w:p>
      <w:pPr>
        <w:spacing w:after="0" w:line="168"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Additionally, the non-GAAP performance measures exclude significant expenses and income that are required by GAAP to be recorded in the Company’s financial statements; do not reflect changes in, or cash requirements for, working capital needs; and do not reflect interest expense, or the requirements necessary to service interest or principal payments on debt. To compensate for these limitations, management presents and considers these non-GAAP measures in conjunction with the Company’s GAAP results; no non-GAAP measure should be considered in isolation from or as alternatives to net income, diluted earnings per share or any other measure determined in accordance with GAAP. Readers should review the reconciliations included below, and should not rely on any single financial measure to evaluate the Company’s business.</w:t>
      </w:r>
    </w:p>
    <w:p>
      <w:pPr>
        <w:spacing w:after="0" w:line="178" w:lineRule="exact"/>
        <w:rPr>
          <w:sz w:val="20"/>
          <w:szCs w:val="20"/>
          <w:color w:val="auto"/>
        </w:rPr>
      </w:pPr>
    </w:p>
    <w:p>
      <w:pPr>
        <w:jc w:val="both"/>
        <w:spacing w:after="0" w:line="249" w:lineRule="auto"/>
        <w:rPr>
          <w:sz w:val="20"/>
          <w:szCs w:val="20"/>
          <w:color w:val="auto"/>
        </w:rPr>
      </w:pPr>
      <w:r>
        <w:rPr>
          <w:rFonts w:ascii="Arial" w:cs="Arial" w:eastAsia="Arial" w:hAnsi="Arial"/>
          <w:sz w:val="16"/>
          <w:szCs w:val="16"/>
          <w:color w:val="auto"/>
        </w:rPr>
        <w:t>This Proxy Statement also includes certain non-GAAP forward-looking information. The Company cannot, however, provide a reconciliation between non-GAAP targets and the most directly comparable GAAP measures without unreasonable efforts because it is unable to predict with reasonable certainty the ultimate outcome of certain significant items required for the reconciliation. The items include, but are not limited to, pandemic-related expenses, gains or losses related to changes in our tax receivable agreement liability, acquisition and site closure expenses, restructuring and other charges, inventory-related charges, charges related to legal matters, gains and losses on the sale of assets, impairment charges, and foreign exchange gains or losses. These items are uncertain, depend on various factors, and could have a material impact on U.S. GAAP reported results.</w:t>
      </w:r>
    </w:p>
    <w:p>
      <w:pPr>
        <w:spacing w:after="0" w:line="178" w:lineRule="exact"/>
        <w:rPr>
          <w:sz w:val="20"/>
          <w:szCs w:val="20"/>
          <w:color w:val="auto"/>
        </w:rPr>
      </w:pPr>
    </w:p>
    <w:p>
      <w:pPr>
        <w:spacing w:after="0"/>
        <w:rPr>
          <w:sz w:val="20"/>
          <w:szCs w:val="20"/>
          <w:color w:val="auto"/>
        </w:rPr>
      </w:pPr>
      <w:r>
        <w:rPr>
          <w:rFonts w:ascii="Arial" w:cs="Arial" w:eastAsia="Arial" w:hAnsi="Arial"/>
          <w:sz w:val="16"/>
          <w:szCs w:val="16"/>
          <w:color w:val="auto"/>
        </w:rPr>
        <w:t>A reconciliation of each non-GAAP measure to the most directly comparable GAAP measure is set forth below.</w:t>
      </w:r>
    </w:p>
    <w:p>
      <w:pPr>
        <w:spacing w:after="0" w:line="174"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67</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68" w:name="page69"/>
    <w:bookmarkEnd w:id="68"/>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ind w:right="180"/>
        <w:spacing w:after="0" w:line="286" w:lineRule="auto"/>
        <w:rPr>
          <w:sz w:val="20"/>
          <w:szCs w:val="20"/>
          <w:color w:val="auto"/>
        </w:rPr>
      </w:pPr>
      <w:r>
        <w:rPr>
          <w:rFonts w:ascii="Arial" w:cs="Arial" w:eastAsia="Arial" w:hAnsi="Arial"/>
          <w:sz w:val="32"/>
          <w:szCs w:val="32"/>
          <w:b w:val="1"/>
          <w:bCs w:val="1"/>
          <w:color w:val="04568A"/>
        </w:rPr>
        <w:t>Reconciliation of Net Income to Adjusted Net Income and Calculation of Adjusted Diluted EPS</w:t>
      </w:r>
    </w:p>
    <w:p>
      <w:pPr>
        <w:spacing w:after="0" w:line="86"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816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b w:val="1"/>
                <w:bCs w:val="1"/>
                <w:color w:val="04568A"/>
              </w:rPr>
              <w:t>Year ended</w:t>
            </w:r>
          </w:p>
        </w:tc>
      </w:tr>
      <w:tr>
        <w:trPr>
          <w:trHeight w:val="207"/>
        </w:trPr>
        <w:tc>
          <w:tcPr>
            <w:tcW w:w="816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(Unaudited; In thousands, Except per Share Amounts)</w:t>
            </w:r>
          </w:p>
        </w:tc>
        <w:tc>
          <w:tcPr>
            <w:tcW w:w="3080" w:type="dxa"/>
            <w:vAlign w:val="bottom"/>
            <w:tcBorders>
              <w:bottom w:val="single" w:sz="8" w:color="04568A"/>
            </w:tcBorders>
            <w:gridSpan w:val="2"/>
          </w:tcPr>
          <w:p>
            <w:pPr>
              <w:jc w:val="right"/>
              <w:ind w:right="19"/>
              <w:spacing w:after="0"/>
              <w:rPr>
                <w:sz w:val="20"/>
                <w:szCs w:val="20"/>
                <w:color w:val="auto"/>
              </w:rPr>
            </w:pPr>
            <w:r>
              <w:rPr>
                <w:rFonts w:ascii="Arial" w:cs="Arial" w:eastAsia="Arial" w:hAnsi="Arial"/>
                <w:sz w:val="16"/>
                <w:szCs w:val="16"/>
                <w:b w:val="1"/>
                <w:bCs w:val="1"/>
                <w:color w:val="04568A"/>
              </w:rPr>
              <w:t>December 31, 2021</w:t>
            </w:r>
          </w:p>
        </w:tc>
      </w:tr>
      <w:tr>
        <w:trPr>
          <w:trHeight w:val="183"/>
        </w:trPr>
        <w:tc>
          <w:tcPr>
            <w:tcW w:w="8160" w:type="dxa"/>
            <w:vAlign w:val="bottom"/>
          </w:tcPr>
          <w:p>
            <w:pPr>
              <w:ind w:left="60"/>
              <w:spacing w:after="0" w:line="183" w:lineRule="exact"/>
              <w:rPr>
                <w:sz w:val="20"/>
                <w:szCs w:val="20"/>
                <w:color w:val="auto"/>
              </w:rPr>
            </w:pPr>
            <w:r>
              <w:rPr>
                <w:rFonts w:ascii="Arial" w:cs="Arial" w:eastAsia="Arial" w:hAnsi="Arial"/>
                <w:sz w:val="16"/>
                <w:szCs w:val="16"/>
                <w:b w:val="1"/>
                <w:bCs w:val="1"/>
                <w:color w:val="auto"/>
              </w:rPr>
              <w:t>Net income</w:t>
            </w:r>
          </w:p>
        </w:tc>
        <w:tc>
          <w:tcPr>
            <w:tcW w:w="2080" w:type="dxa"/>
            <w:vAlign w:val="bottom"/>
          </w:tcPr>
          <w:p>
            <w:pPr>
              <w:jc w:val="right"/>
              <w:spacing w:after="0" w:line="183" w:lineRule="exact"/>
              <w:rPr>
                <w:sz w:val="20"/>
                <w:szCs w:val="20"/>
                <w:color w:val="auto"/>
              </w:rPr>
            </w:pPr>
            <w:r>
              <w:rPr>
                <w:rFonts w:ascii="Arial" w:cs="Arial" w:eastAsia="Arial" w:hAnsi="Arial"/>
                <w:sz w:val="16"/>
                <w:szCs w:val="16"/>
                <w:color w:val="auto"/>
              </w:rPr>
              <w:t>$</w:t>
            </w:r>
          </w:p>
        </w:tc>
        <w:tc>
          <w:tcPr>
            <w:tcW w:w="1000" w:type="dxa"/>
            <w:vAlign w:val="bottom"/>
          </w:tcPr>
          <w:p>
            <w:pPr>
              <w:jc w:val="right"/>
              <w:ind w:right="19"/>
              <w:spacing w:after="0" w:line="183" w:lineRule="exact"/>
              <w:rPr>
                <w:sz w:val="20"/>
                <w:szCs w:val="20"/>
                <w:color w:val="auto"/>
              </w:rPr>
            </w:pPr>
            <w:r>
              <w:rPr>
                <w:rFonts w:ascii="Arial" w:cs="Arial" w:eastAsia="Arial" w:hAnsi="Arial"/>
                <w:sz w:val="16"/>
                <w:szCs w:val="16"/>
                <w:color w:val="auto"/>
              </w:rPr>
              <w:t>20,170</w:t>
            </w:r>
          </w:p>
        </w:tc>
      </w:tr>
      <w:tr>
        <w:trPr>
          <w:trHeight w:val="189"/>
        </w:trPr>
        <w:tc>
          <w:tcPr>
            <w:tcW w:w="8160" w:type="dxa"/>
            <w:vAlign w:val="bottom"/>
            <w:shd w:val="clear" w:color="auto" w:fill="E4E9F2"/>
          </w:tcPr>
          <w:p>
            <w:pPr>
              <w:ind w:left="60"/>
              <w:spacing w:after="0"/>
              <w:rPr>
                <w:sz w:val="20"/>
                <w:szCs w:val="20"/>
                <w:color w:val="auto"/>
              </w:rPr>
            </w:pPr>
            <w:r>
              <w:rPr>
                <w:rFonts w:ascii="Arial" w:cs="Arial" w:eastAsia="Arial" w:hAnsi="Arial"/>
                <w:sz w:val="16"/>
                <w:szCs w:val="16"/>
                <w:color w:val="auto"/>
              </w:rPr>
              <w:t>Adjusted to add (deduct):</w:t>
            </w:r>
          </w:p>
        </w:tc>
        <w:tc>
          <w:tcPr>
            <w:tcW w:w="208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r>
      <w:tr>
        <w:trPr>
          <w:trHeight w:val="189"/>
        </w:trPr>
        <w:tc>
          <w:tcPr>
            <w:tcW w:w="8160" w:type="dxa"/>
            <w:vAlign w:val="bottom"/>
          </w:tcPr>
          <w:p>
            <w:pPr>
              <w:ind w:left="180"/>
              <w:spacing w:after="0"/>
              <w:rPr>
                <w:sz w:val="20"/>
                <w:szCs w:val="20"/>
                <w:color w:val="auto"/>
              </w:rPr>
            </w:pPr>
            <w:r>
              <w:rPr>
                <w:rFonts w:ascii="Arial" w:cs="Arial" w:eastAsia="Arial" w:hAnsi="Arial"/>
                <w:sz w:val="16"/>
                <w:szCs w:val="16"/>
                <w:color w:val="auto"/>
              </w:rPr>
              <w:t>Non-cash interest</w:t>
            </w:r>
          </w:p>
        </w:tc>
        <w:tc>
          <w:tcPr>
            <w:tcW w:w="2080" w:type="dxa"/>
            <w:vAlign w:val="bottom"/>
          </w:tcPr>
          <w:p>
            <w:pPr>
              <w:spacing w:after="0"/>
              <w:rPr>
                <w:sz w:val="16"/>
                <w:szCs w:val="16"/>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8,355</w:t>
            </w:r>
          </w:p>
        </w:tc>
      </w:tr>
      <w:tr>
        <w:trPr>
          <w:trHeight w:val="189"/>
        </w:trPr>
        <w:tc>
          <w:tcPr>
            <w:tcW w:w="8160" w:type="dxa"/>
            <w:vAlign w:val="bottom"/>
            <w:shd w:val="clear" w:color="auto" w:fill="E4E9F2"/>
          </w:tcPr>
          <w:p>
            <w:pPr>
              <w:ind w:left="180"/>
              <w:spacing w:after="0"/>
              <w:rPr>
                <w:sz w:val="20"/>
                <w:szCs w:val="20"/>
                <w:color w:val="auto"/>
              </w:rPr>
            </w:pPr>
            <w:r>
              <w:rPr>
                <w:rFonts w:ascii="Arial" w:cs="Arial" w:eastAsia="Arial" w:hAnsi="Arial"/>
                <w:sz w:val="16"/>
                <w:szCs w:val="16"/>
                <w:color w:val="auto"/>
              </w:rPr>
              <w:t>GAAP Income tax expense</w:t>
            </w:r>
          </w:p>
        </w:tc>
        <w:tc>
          <w:tcPr>
            <w:tcW w:w="2080" w:type="dxa"/>
            <w:vAlign w:val="bottom"/>
            <w:shd w:val="clear" w:color="auto" w:fill="E4E9F2"/>
          </w:tcPr>
          <w:p>
            <w:pPr>
              <w:spacing w:after="0"/>
              <w:rPr>
                <w:sz w:val="16"/>
                <w:szCs w:val="16"/>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11,196</w:t>
            </w:r>
          </w:p>
        </w:tc>
      </w:tr>
      <w:tr>
        <w:trPr>
          <w:trHeight w:val="189"/>
        </w:trPr>
        <w:tc>
          <w:tcPr>
            <w:tcW w:w="8160" w:type="dxa"/>
            <w:vAlign w:val="bottom"/>
          </w:tcPr>
          <w:p>
            <w:pPr>
              <w:ind w:left="180"/>
              <w:spacing w:after="0"/>
              <w:rPr>
                <w:sz w:val="20"/>
                <w:szCs w:val="20"/>
                <w:color w:val="auto"/>
              </w:rPr>
            </w:pPr>
            <w:r>
              <w:rPr>
                <w:rFonts w:ascii="Arial" w:cs="Arial" w:eastAsia="Arial" w:hAnsi="Arial"/>
                <w:sz w:val="16"/>
                <w:szCs w:val="16"/>
                <w:color w:val="auto"/>
              </w:rPr>
              <w:t>Amortization</w:t>
            </w:r>
          </w:p>
        </w:tc>
        <w:tc>
          <w:tcPr>
            <w:tcW w:w="2080" w:type="dxa"/>
            <w:vAlign w:val="bottom"/>
          </w:tcPr>
          <w:p>
            <w:pPr>
              <w:spacing w:after="0"/>
              <w:rPr>
                <w:sz w:val="16"/>
                <w:szCs w:val="16"/>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164,069</w:t>
            </w:r>
          </w:p>
        </w:tc>
      </w:tr>
      <w:tr>
        <w:trPr>
          <w:trHeight w:val="189"/>
        </w:trPr>
        <w:tc>
          <w:tcPr>
            <w:tcW w:w="8160" w:type="dxa"/>
            <w:vAlign w:val="bottom"/>
            <w:shd w:val="clear" w:color="auto" w:fill="E4E9F2"/>
          </w:tcPr>
          <w:p>
            <w:pPr>
              <w:ind w:left="180"/>
              <w:spacing w:after="0"/>
              <w:rPr>
                <w:sz w:val="20"/>
                <w:szCs w:val="20"/>
                <w:color w:val="auto"/>
              </w:rPr>
            </w:pPr>
            <w:r>
              <w:rPr>
                <w:rFonts w:ascii="Arial" w:cs="Arial" w:eastAsia="Arial" w:hAnsi="Arial"/>
                <w:sz w:val="16"/>
                <w:szCs w:val="16"/>
                <w:color w:val="auto"/>
              </w:rPr>
              <w:t>Stock-based compensation expense</w:t>
            </w:r>
          </w:p>
        </w:tc>
        <w:tc>
          <w:tcPr>
            <w:tcW w:w="2080" w:type="dxa"/>
            <w:vAlign w:val="bottom"/>
            <w:shd w:val="clear" w:color="auto" w:fill="E4E9F2"/>
          </w:tcPr>
          <w:p>
            <w:pPr>
              <w:spacing w:after="0"/>
              <w:rPr>
                <w:sz w:val="16"/>
                <w:szCs w:val="16"/>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28,412</w:t>
            </w:r>
          </w:p>
        </w:tc>
      </w:tr>
      <w:tr>
        <w:trPr>
          <w:trHeight w:val="229"/>
        </w:trPr>
        <w:tc>
          <w:tcPr>
            <w:tcW w:w="8160" w:type="dxa"/>
            <w:vAlign w:val="bottom"/>
          </w:tcPr>
          <w:p>
            <w:pPr>
              <w:ind w:left="180"/>
              <w:spacing w:after="0" w:line="230" w:lineRule="exact"/>
              <w:rPr>
                <w:sz w:val="20"/>
                <w:szCs w:val="20"/>
                <w:color w:val="auto"/>
              </w:rPr>
            </w:pPr>
            <w:r>
              <w:rPr>
                <w:rFonts w:ascii="Arial" w:cs="Arial" w:eastAsia="Arial" w:hAnsi="Arial"/>
                <w:sz w:val="16"/>
                <w:szCs w:val="16"/>
                <w:color w:val="auto"/>
              </w:rPr>
              <w:t>Acquisition, site closure, and idle facility expenses</w:t>
            </w:r>
            <w:r>
              <w:rPr>
                <w:rFonts w:ascii="Arial" w:cs="Arial" w:eastAsia="Arial" w:hAnsi="Arial"/>
                <w:sz w:val="26"/>
                <w:szCs w:val="26"/>
                <w:color w:val="auto"/>
                <w:vertAlign w:val="superscript"/>
              </w:rPr>
              <w:t>(1)</w:t>
            </w:r>
          </w:p>
        </w:tc>
        <w:tc>
          <w:tcPr>
            <w:tcW w:w="2080" w:type="dxa"/>
            <w:vAlign w:val="bottom"/>
          </w:tcPr>
          <w:p>
            <w:pPr>
              <w:spacing w:after="0"/>
              <w:rPr>
                <w:sz w:val="19"/>
                <w:szCs w:val="19"/>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20,003</w:t>
            </w:r>
          </w:p>
        </w:tc>
      </w:tr>
      <w:tr>
        <w:trPr>
          <w:trHeight w:val="230"/>
        </w:trPr>
        <w:tc>
          <w:tcPr>
            <w:tcW w:w="8160" w:type="dxa"/>
            <w:vAlign w:val="bottom"/>
            <w:shd w:val="clear" w:color="auto" w:fill="E4E9F2"/>
          </w:tcPr>
          <w:p>
            <w:pPr>
              <w:ind w:left="180"/>
              <w:spacing w:after="0" w:line="230" w:lineRule="exact"/>
              <w:rPr>
                <w:sz w:val="20"/>
                <w:szCs w:val="20"/>
                <w:color w:val="auto"/>
              </w:rPr>
            </w:pPr>
            <w:r>
              <w:rPr>
                <w:rFonts w:ascii="Arial" w:cs="Arial" w:eastAsia="Arial" w:hAnsi="Arial"/>
                <w:sz w:val="16"/>
                <w:szCs w:val="16"/>
                <w:color w:val="auto"/>
              </w:rPr>
              <w:t>Restructuring and other charges</w:t>
            </w:r>
            <w:r>
              <w:rPr>
                <w:rFonts w:ascii="Arial" w:cs="Arial" w:eastAsia="Arial" w:hAnsi="Arial"/>
                <w:sz w:val="26"/>
                <w:szCs w:val="26"/>
                <w:color w:val="auto"/>
                <w:vertAlign w:val="superscript"/>
              </w:rPr>
              <w:t>(2)</w:t>
            </w:r>
          </w:p>
        </w:tc>
        <w:tc>
          <w:tcPr>
            <w:tcW w:w="2080" w:type="dxa"/>
            <w:vAlign w:val="bottom"/>
            <w:shd w:val="clear" w:color="auto" w:fill="E4E9F2"/>
          </w:tcPr>
          <w:p>
            <w:pPr>
              <w:spacing w:after="0"/>
              <w:rPr>
                <w:sz w:val="19"/>
                <w:szCs w:val="19"/>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788</w:t>
            </w:r>
          </w:p>
        </w:tc>
      </w:tr>
      <w:tr>
        <w:trPr>
          <w:trHeight w:val="229"/>
        </w:trPr>
        <w:tc>
          <w:tcPr>
            <w:tcW w:w="8160" w:type="dxa"/>
            <w:vAlign w:val="bottom"/>
          </w:tcPr>
          <w:p>
            <w:pPr>
              <w:ind w:left="180"/>
              <w:spacing w:after="0" w:line="230" w:lineRule="exact"/>
              <w:rPr>
                <w:sz w:val="20"/>
                <w:szCs w:val="20"/>
                <w:color w:val="auto"/>
              </w:rPr>
            </w:pPr>
            <w:r>
              <w:rPr>
                <w:rFonts w:ascii="Arial" w:cs="Arial" w:eastAsia="Arial" w:hAnsi="Arial"/>
                <w:sz w:val="16"/>
                <w:szCs w:val="16"/>
                <w:color w:val="auto"/>
              </w:rPr>
              <w:t>Inventory related charges</w:t>
            </w:r>
            <w:r>
              <w:rPr>
                <w:rFonts w:ascii="Arial" w:cs="Arial" w:eastAsia="Arial" w:hAnsi="Arial"/>
                <w:sz w:val="26"/>
                <w:szCs w:val="26"/>
                <w:color w:val="auto"/>
                <w:vertAlign w:val="superscript"/>
              </w:rPr>
              <w:t>(3)</w:t>
            </w:r>
          </w:p>
        </w:tc>
        <w:tc>
          <w:tcPr>
            <w:tcW w:w="2080" w:type="dxa"/>
            <w:vAlign w:val="bottom"/>
          </w:tcPr>
          <w:p>
            <w:pPr>
              <w:spacing w:after="0"/>
              <w:rPr>
                <w:sz w:val="19"/>
                <w:szCs w:val="19"/>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261</w:t>
            </w:r>
          </w:p>
        </w:tc>
      </w:tr>
      <w:tr>
        <w:trPr>
          <w:trHeight w:val="230"/>
        </w:trPr>
        <w:tc>
          <w:tcPr>
            <w:tcW w:w="8160" w:type="dxa"/>
            <w:vAlign w:val="bottom"/>
            <w:shd w:val="clear" w:color="auto" w:fill="E4E9F2"/>
          </w:tcPr>
          <w:p>
            <w:pPr>
              <w:ind w:left="180"/>
              <w:spacing w:after="0" w:line="230" w:lineRule="exact"/>
              <w:rPr>
                <w:sz w:val="20"/>
                <w:szCs w:val="20"/>
                <w:color w:val="auto"/>
              </w:rPr>
            </w:pPr>
            <w:r>
              <w:rPr>
                <w:rFonts w:ascii="Arial" w:cs="Arial" w:eastAsia="Arial" w:hAnsi="Arial"/>
                <w:sz w:val="16"/>
                <w:szCs w:val="16"/>
                <w:color w:val="auto"/>
              </w:rPr>
              <w:t>Charges related to legal matters, net</w:t>
            </w:r>
            <w:r>
              <w:rPr>
                <w:rFonts w:ascii="Arial" w:cs="Arial" w:eastAsia="Arial" w:hAnsi="Arial"/>
                <w:sz w:val="26"/>
                <w:szCs w:val="26"/>
                <w:color w:val="auto"/>
                <w:vertAlign w:val="superscript"/>
              </w:rPr>
              <w:t>(4)</w:t>
            </w:r>
          </w:p>
        </w:tc>
        <w:tc>
          <w:tcPr>
            <w:tcW w:w="2080" w:type="dxa"/>
            <w:vAlign w:val="bottom"/>
            <w:shd w:val="clear" w:color="auto" w:fill="E4E9F2"/>
          </w:tcPr>
          <w:p>
            <w:pPr>
              <w:spacing w:after="0"/>
              <w:rPr>
                <w:sz w:val="19"/>
                <w:szCs w:val="19"/>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25,000</w:t>
            </w:r>
          </w:p>
        </w:tc>
      </w:tr>
      <w:tr>
        <w:trPr>
          <w:trHeight w:val="229"/>
        </w:trPr>
        <w:tc>
          <w:tcPr>
            <w:tcW w:w="8160" w:type="dxa"/>
            <w:vAlign w:val="bottom"/>
          </w:tcPr>
          <w:p>
            <w:pPr>
              <w:ind w:left="180"/>
              <w:spacing w:after="0" w:line="230" w:lineRule="exact"/>
              <w:rPr>
                <w:sz w:val="20"/>
                <w:szCs w:val="20"/>
                <w:color w:val="auto"/>
              </w:rPr>
            </w:pPr>
            <w:r>
              <w:rPr>
                <w:rFonts w:ascii="Arial" w:cs="Arial" w:eastAsia="Arial" w:hAnsi="Arial"/>
                <w:sz w:val="16"/>
                <w:szCs w:val="16"/>
                <w:color w:val="auto"/>
              </w:rPr>
              <w:t>Asset impairment charges</w:t>
            </w:r>
            <w:r>
              <w:rPr>
                <w:rFonts w:ascii="Arial" w:cs="Arial" w:eastAsia="Arial" w:hAnsi="Arial"/>
                <w:sz w:val="26"/>
                <w:szCs w:val="26"/>
                <w:color w:val="auto"/>
                <w:vertAlign w:val="superscript"/>
              </w:rPr>
              <w:t>(5)</w:t>
            </w:r>
          </w:p>
        </w:tc>
        <w:tc>
          <w:tcPr>
            <w:tcW w:w="2080" w:type="dxa"/>
            <w:vAlign w:val="bottom"/>
          </w:tcPr>
          <w:p>
            <w:pPr>
              <w:spacing w:after="0"/>
              <w:rPr>
                <w:sz w:val="19"/>
                <w:szCs w:val="19"/>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24,105</w:t>
            </w:r>
          </w:p>
        </w:tc>
      </w:tr>
      <w:tr>
        <w:trPr>
          <w:trHeight w:val="189"/>
        </w:trPr>
        <w:tc>
          <w:tcPr>
            <w:tcW w:w="8160" w:type="dxa"/>
            <w:vAlign w:val="bottom"/>
            <w:shd w:val="clear" w:color="auto" w:fill="E4E9F2"/>
          </w:tcPr>
          <w:p>
            <w:pPr>
              <w:ind w:left="180"/>
              <w:spacing w:after="0"/>
              <w:rPr>
                <w:sz w:val="20"/>
                <w:szCs w:val="20"/>
                <w:color w:val="auto"/>
              </w:rPr>
            </w:pPr>
            <w:r>
              <w:rPr>
                <w:rFonts w:ascii="Arial" w:cs="Arial" w:eastAsia="Arial" w:hAnsi="Arial"/>
                <w:sz w:val="16"/>
                <w:szCs w:val="16"/>
                <w:color w:val="auto"/>
              </w:rPr>
              <w:t>Research and Development milestone payments</w:t>
            </w:r>
          </w:p>
        </w:tc>
        <w:tc>
          <w:tcPr>
            <w:tcW w:w="2080" w:type="dxa"/>
            <w:vAlign w:val="bottom"/>
            <w:shd w:val="clear" w:color="auto" w:fill="E4E9F2"/>
          </w:tcPr>
          <w:p>
            <w:pPr>
              <w:spacing w:after="0"/>
              <w:rPr>
                <w:sz w:val="16"/>
                <w:szCs w:val="16"/>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25,795</w:t>
            </w:r>
          </w:p>
        </w:tc>
      </w:tr>
      <w:tr>
        <w:trPr>
          <w:trHeight w:val="229"/>
        </w:trPr>
        <w:tc>
          <w:tcPr>
            <w:tcW w:w="8160" w:type="dxa"/>
            <w:vAlign w:val="bottom"/>
          </w:tcPr>
          <w:p>
            <w:pPr>
              <w:ind w:left="180"/>
              <w:spacing w:after="0" w:line="230" w:lineRule="exact"/>
              <w:rPr>
                <w:sz w:val="20"/>
                <w:szCs w:val="20"/>
                <w:color w:val="auto"/>
              </w:rPr>
            </w:pPr>
            <w:r>
              <w:rPr>
                <w:rFonts w:ascii="Arial" w:cs="Arial" w:eastAsia="Arial" w:hAnsi="Arial"/>
                <w:sz w:val="16"/>
                <w:szCs w:val="16"/>
                <w:color w:val="auto"/>
              </w:rPr>
              <w:t>Change in fair value of contingent consideration</w:t>
            </w:r>
            <w:r>
              <w:rPr>
                <w:rFonts w:ascii="Arial" w:cs="Arial" w:eastAsia="Arial" w:hAnsi="Arial"/>
                <w:sz w:val="26"/>
                <w:szCs w:val="26"/>
                <w:color w:val="auto"/>
                <w:vertAlign w:val="superscript"/>
              </w:rPr>
              <w:t>(6)</w:t>
            </w:r>
          </w:p>
        </w:tc>
        <w:tc>
          <w:tcPr>
            <w:tcW w:w="2080" w:type="dxa"/>
            <w:vAlign w:val="bottom"/>
          </w:tcPr>
          <w:p>
            <w:pPr>
              <w:spacing w:after="0"/>
              <w:rPr>
                <w:sz w:val="19"/>
                <w:szCs w:val="19"/>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200</w:t>
            </w:r>
          </w:p>
        </w:tc>
      </w:tr>
      <w:tr>
        <w:trPr>
          <w:trHeight w:val="229"/>
        </w:trPr>
        <w:tc>
          <w:tcPr>
            <w:tcW w:w="8160" w:type="dxa"/>
            <w:vAlign w:val="bottom"/>
            <w:shd w:val="clear" w:color="auto" w:fill="E4E9F2"/>
          </w:tcPr>
          <w:p>
            <w:pPr>
              <w:ind w:left="180"/>
              <w:spacing w:after="0" w:line="230" w:lineRule="exact"/>
              <w:rPr>
                <w:sz w:val="20"/>
                <w:szCs w:val="20"/>
                <w:color w:val="auto"/>
              </w:rPr>
            </w:pPr>
            <w:r>
              <w:rPr>
                <w:rFonts w:ascii="Arial" w:cs="Arial" w:eastAsia="Arial" w:hAnsi="Arial"/>
                <w:sz w:val="16"/>
                <w:szCs w:val="16"/>
                <w:color w:val="auto"/>
              </w:rPr>
              <w:t>Property losses and related expenses, net</w:t>
            </w:r>
            <w:r>
              <w:rPr>
                <w:rFonts w:ascii="Arial" w:cs="Arial" w:eastAsia="Arial" w:hAnsi="Arial"/>
                <w:sz w:val="26"/>
                <w:szCs w:val="26"/>
                <w:color w:val="auto"/>
                <w:vertAlign w:val="superscript"/>
              </w:rPr>
              <w:t>(7)</w:t>
            </w:r>
          </w:p>
        </w:tc>
        <w:tc>
          <w:tcPr>
            <w:tcW w:w="2080" w:type="dxa"/>
            <w:vAlign w:val="bottom"/>
            <w:shd w:val="clear" w:color="auto" w:fill="E4E9F2"/>
          </w:tcPr>
          <w:p>
            <w:pPr>
              <w:spacing w:after="0"/>
              <w:rPr>
                <w:sz w:val="19"/>
                <w:szCs w:val="19"/>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5,368</w:t>
            </w:r>
          </w:p>
        </w:tc>
      </w:tr>
      <w:tr>
        <w:trPr>
          <w:trHeight w:val="189"/>
        </w:trPr>
        <w:tc>
          <w:tcPr>
            <w:tcW w:w="8160" w:type="dxa"/>
            <w:vAlign w:val="bottom"/>
          </w:tcPr>
          <w:p>
            <w:pPr>
              <w:ind w:left="180"/>
              <w:spacing w:after="0"/>
              <w:rPr>
                <w:sz w:val="20"/>
                <w:szCs w:val="20"/>
                <w:color w:val="auto"/>
              </w:rPr>
            </w:pPr>
            <w:r>
              <w:rPr>
                <w:rFonts w:ascii="Arial" w:cs="Arial" w:eastAsia="Arial" w:hAnsi="Arial"/>
                <w:sz w:val="16"/>
                <w:szCs w:val="16"/>
                <w:color w:val="auto"/>
              </w:rPr>
              <w:t>Other</w:t>
            </w:r>
          </w:p>
        </w:tc>
        <w:tc>
          <w:tcPr>
            <w:tcW w:w="2080" w:type="dxa"/>
            <w:vAlign w:val="bottom"/>
          </w:tcPr>
          <w:p>
            <w:pPr>
              <w:spacing w:after="0"/>
              <w:rPr>
                <w:sz w:val="16"/>
                <w:szCs w:val="16"/>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6,680</w:t>
            </w:r>
          </w:p>
        </w:tc>
      </w:tr>
      <w:tr>
        <w:trPr>
          <w:trHeight w:val="189"/>
        </w:trPr>
        <w:tc>
          <w:tcPr>
            <w:tcW w:w="8160" w:type="dxa"/>
            <w:vAlign w:val="bottom"/>
            <w:shd w:val="clear" w:color="auto" w:fill="E4E9F2"/>
          </w:tcPr>
          <w:p>
            <w:pPr>
              <w:ind w:left="180"/>
              <w:spacing w:after="0"/>
              <w:rPr>
                <w:sz w:val="20"/>
                <w:szCs w:val="20"/>
                <w:color w:val="auto"/>
              </w:rPr>
            </w:pPr>
            <w:r>
              <w:rPr>
                <w:rFonts w:ascii="Arial" w:cs="Arial" w:eastAsia="Arial" w:hAnsi="Arial"/>
                <w:sz w:val="16"/>
                <w:szCs w:val="16"/>
                <w:color w:val="auto"/>
              </w:rPr>
              <w:t>Income tax at 21%</w:t>
            </w:r>
          </w:p>
        </w:tc>
        <w:tc>
          <w:tcPr>
            <w:tcW w:w="2080" w:type="dxa"/>
            <w:vAlign w:val="bottom"/>
            <w:shd w:val="clear" w:color="auto" w:fill="E4E9F2"/>
          </w:tcPr>
          <w:p>
            <w:pPr>
              <w:spacing w:after="0"/>
              <w:rPr>
                <w:sz w:val="16"/>
                <w:szCs w:val="16"/>
                <w:color w:val="auto"/>
              </w:rPr>
            </w:pPr>
          </w:p>
        </w:tc>
        <w:tc>
          <w:tcPr>
            <w:tcW w:w="1000" w:type="dxa"/>
            <w:vAlign w:val="bottom"/>
            <w:shd w:val="clear" w:color="auto" w:fill="E4E9F2"/>
          </w:tcPr>
          <w:p>
            <w:pPr>
              <w:jc w:val="right"/>
              <w:spacing w:after="0"/>
              <w:rPr>
                <w:sz w:val="20"/>
                <w:szCs w:val="20"/>
                <w:color w:val="auto"/>
              </w:rPr>
            </w:pPr>
            <w:r>
              <w:rPr>
                <w:rFonts w:ascii="Arial" w:cs="Arial" w:eastAsia="Arial" w:hAnsi="Arial"/>
                <w:sz w:val="16"/>
                <w:szCs w:val="16"/>
                <w:color w:val="auto"/>
              </w:rPr>
              <w:t>(75,777)</w:t>
            </w:r>
          </w:p>
        </w:tc>
      </w:tr>
      <w:tr>
        <w:trPr>
          <w:trHeight w:val="189"/>
        </w:trPr>
        <w:tc>
          <w:tcPr>
            <w:tcW w:w="8160" w:type="dxa"/>
            <w:vAlign w:val="bottom"/>
            <w:tcBorders>
              <w:bottom w:val="single" w:sz="8" w:color="04568A"/>
            </w:tcBorders>
          </w:tcPr>
          <w:p>
            <w:pPr>
              <w:ind w:left="180"/>
              <w:spacing w:after="0"/>
              <w:rPr>
                <w:sz w:val="20"/>
                <w:szCs w:val="20"/>
                <w:color w:val="auto"/>
              </w:rPr>
            </w:pPr>
            <w:r>
              <w:rPr>
                <w:rFonts w:ascii="Arial" w:cs="Arial" w:eastAsia="Arial" w:hAnsi="Arial"/>
                <w:sz w:val="16"/>
                <w:szCs w:val="16"/>
                <w:color w:val="auto"/>
              </w:rPr>
              <w:t>Net income attributable to Non-controlling interests not associated with our Class B shares</w:t>
            </w:r>
          </w:p>
        </w:tc>
        <w:tc>
          <w:tcPr>
            <w:tcW w:w="2080" w:type="dxa"/>
            <w:vAlign w:val="bottom"/>
            <w:tcBorders>
              <w:bottom w:val="single" w:sz="8" w:color="04568A"/>
            </w:tcBorders>
          </w:tcPr>
          <w:p>
            <w:pPr>
              <w:spacing w:after="0"/>
              <w:rPr>
                <w:sz w:val="16"/>
                <w:szCs w:val="16"/>
                <w:color w:val="auto"/>
              </w:rPr>
            </w:pPr>
          </w:p>
        </w:tc>
        <w:tc>
          <w:tcPr>
            <w:tcW w:w="1000" w:type="dxa"/>
            <w:vAlign w:val="bottom"/>
            <w:tcBorders>
              <w:bottom w:val="single" w:sz="8" w:color="04568A"/>
            </w:tcBorders>
          </w:tcPr>
          <w:p>
            <w:pPr>
              <w:jc w:val="right"/>
              <w:spacing w:after="0"/>
              <w:rPr>
                <w:sz w:val="20"/>
                <w:szCs w:val="20"/>
                <w:color w:val="auto"/>
              </w:rPr>
            </w:pPr>
            <w:r>
              <w:rPr>
                <w:rFonts w:ascii="Arial" w:cs="Arial" w:eastAsia="Arial" w:hAnsi="Arial"/>
                <w:sz w:val="16"/>
                <w:szCs w:val="16"/>
                <w:color w:val="auto"/>
              </w:rPr>
              <w:t>(6,582)</w:t>
            </w:r>
          </w:p>
        </w:tc>
      </w:tr>
      <w:tr>
        <w:trPr>
          <w:trHeight w:val="183"/>
        </w:trPr>
        <w:tc>
          <w:tcPr>
            <w:tcW w:w="8160" w:type="dxa"/>
            <w:vAlign w:val="bottom"/>
            <w:tcBorders>
              <w:bottom w:val="single" w:sz="8" w:color="04568A"/>
            </w:tcBorders>
            <w:shd w:val="clear" w:color="auto" w:fill="E4E9F2"/>
          </w:tcPr>
          <w:p>
            <w:pPr>
              <w:ind w:left="60"/>
              <w:spacing w:after="0" w:line="183" w:lineRule="exact"/>
              <w:rPr>
                <w:sz w:val="20"/>
                <w:szCs w:val="20"/>
                <w:color w:val="auto"/>
              </w:rPr>
            </w:pPr>
            <w:r>
              <w:rPr>
                <w:rFonts w:ascii="Arial" w:cs="Arial" w:eastAsia="Arial" w:hAnsi="Arial"/>
                <w:sz w:val="16"/>
                <w:szCs w:val="16"/>
                <w:b w:val="1"/>
                <w:bCs w:val="1"/>
                <w:color w:val="04568A"/>
              </w:rPr>
              <w:t>ADJUSTED NET INCOME (NON-GAAP)</w:t>
            </w:r>
          </w:p>
        </w:tc>
        <w:tc>
          <w:tcPr>
            <w:tcW w:w="2080" w:type="dxa"/>
            <w:vAlign w:val="bottom"/>
            <w:tcBorders>
              <w:bottom w:val="single" w:sz="8" w:color="04568A"/>
            </w:tcBorders>
            <w:shd w:val="clear" w:color="auto" w:fill="E4E9F2"/>
          </w:tcPr>
          <w:p>
            <w:pPr>
              <w:jc w:val="right"/>
              <w:spacing w:after="0" w:line="183" w:lineRule="exact"/>
              <w:rPr>
                <w:sz w:val="20"/>
                <w:szCs w:val="20"/>
                <w:color w:val="auto"/>
              </w:rPr>
            </w:pPr>
            <w:r>
              <w:rPr>
                <w:rFonts w:ascii="Arial" w:cs="Arial" w:eastAsia="Arial" w:hAnsi="Arial"/>
                <w:sz w:val="16"/>
                <w:szCs w:val="16"/>
                <w:b w:val="1"/>
                <w:bCs w:val="1"/>
                <w:color w:val="04568A"/>
              </w:rPr>
              <w:t>$</w:t>
            </w:r>
          </w:p>
        </w:tc>
        <w:tc>
          <w:tcPr>
            <w:tcW w:w="1000" w:type="dxa"/>
            <w:vAlign w:val="bottom"/>
            <w:tcBorders>
              <w:bottom w:val="single" w:sz="8" w:color="04568A"/>
            </w:tcBorders>
            <w:shd w:val="clear" w:color="auto" w:fill="E4E9F2"/>
          </w:tcPr>
          <w:p>
            <w:pPr>
              <w:jc w:val="right"/>
              <w:ind w:right="19"/>
              <w:spacing w:after="0" w:line="183" w:lineRule="exact"/>
              <w:rPr>
                <w:sz w:val="20"/>
                <w:szCs w:val="20"/>
                <w:color w:val="auto"/>
              </w:rPr>
            </w:pPr>
            <w:r>
              <w:rPr>
                <w:rFonts w:ascii="Arial" w:cs="Arial" w:eastAsia="Arial" w:hAnsi="Arial"/>
                <w:sz w:val="16"/>
                <w:szCs w:val="16"/>
                <w:b w:val="1"/>
                <w:bCs w:val="1"/>
                <w:color w:val="04568A"/>
              </w:rPr>
              <w:t>258,043</w:t>
            </w:r>
          </w:p>
        </w:tc>
      </w:tr>
      <w:tr>
        <w:trPr>
          <w:trHeight w:val="223"/>
        </w:trPr>
        <w:tc>
          <w:tcPr>
            <w:tcW w:w="8160" w:type="dxa"/>
            <w:vAlign w:val="bottom"/>
            <w:tcBorders>
              <w:bottom w:val="single" w:sz="8" w:color="04568A"/>
            </w:tcBorders>
          </w:tcPr>
          <w:p>
            <w:pPr>
              <w:ind w:left="60"/>
              <w:spacing w:after="0" w:line="223" w:lineRule="exact"/>
              <w:rPr>
                <w:sz w:val="20"/>
                <w:szCs w:val="20"/>
                <w:color w:val="auto"/>
              </w:rPr>
            </w:pPr>
            <w:r>
              <w:rPr>
                <w:rFonts w:ascii="Arial" w:cs="Arial" w:eastAsia="Arial" w:hAnsi="Arial"/>
                <w:sz w:val="16"/>
                <w:szCs w:val="16"/>
                <w:b w:val="1"/>
                <w:bCs w:val="1"/>
                <w:color w:val="04568A"/>
              </w:rPr>
              <w:t>ADJUSTED DILUTED EPS (NON-GAAP)</w:t>
            </w:r>
            <w:r>
              <w:rPr>
                <w:rFonts w:ascii="Arial" w:cs="Arial" w:eastAsia="Arial" w:hAnsi="Arial"/>
                <w:sz w:val="25"/>
                <w:szCs w:val="25"/>
                <w:b w:val="1"/>
                <w:bCs w:val="1"/>
                <w:color w:val="04568A"/>
                <w:vertAlign w:val="superscript"/>
              </w:rPr>
              <w:t>(8)</w:t>
            </w:r>
          </w:p>
        </w:tc>
        <w:tc>
          <w:tcPr>
            <w:tcW w:w="2080" w:type="dxa"/>
            <w:vAlign w:val="bottom"/>
            <w:tcBorders>
              <w:bottom w:val="single" w:sz="8" w:color="04568A"/>
            </w:tcBorders>
          </w:tcPr>
          <w:p>
            <w:pPr>
              <w:jc w:val="right"/>
              <w:spacing w:after="0"/>
              <w:rPr>
                <w:sz w:val="20"/>
                <w:szCs w:val="20"/>
                <w:color w:val="auto"/>
              </w:rPr>
            </w:pPr>
            <w:r>
              <w:rPr>
                <w:rFonts w:ascii="Arial" w:cs="Arial" w:eastAsia="Arial" w:hAnsi="Arial"/>
                <w:sz w:val="16"/>
                <w:szCs w:val="16"/>
                <w:b w:val="1"/>
                <w:bCs w:val="1"/>
                <w:color w:val="04568A"/>
              </w:rPr>
              <w:t>$</w:t>
            </w:r>
          </w:p>
        </w:tc>
        <w:tc>
          <w:tcPr>
            <w:tcW w:w="1000" w:type="dxa"/>
            <w:vAlign w:val="bottom"/>
            <w:tcBorders>
              <w:bottom w:val="single" w:sz="8" w:color="04568A"/>
            </w:tcBorders>
          </w:tcPr>
          <w:p>
            <w:pPr>
              <w:jc w:val="right"/>
              <w:ind w:right="19"/>
              <w:spacing w:after="0"/>
              <w:rPr>
                <w:sz w:val="20"/>
                <w:szCs w:val="20"/>
                <w:color w:val="auto"/>
              </w:rPr>
            </w:pPr>
            <w:r>
              <w:rPr>
                <w:rFonts w:ascii="Arial" w:cs="Arial" w:eastAsia="Arial" w:hAnsi="Arial"/>
                <w:sz w:val="16"/>
                <w:szCs w:val="16"/>
                <w:b w:val="1"/>
                <w:bCs w:val="1"/>
                <w:color w:val="04568A"/>
              </w:rPr>
              <w:t>0.85</w:t>
            </w:r>
          </w:p>
        </w:tc>
      </w:tr>
    </w:tbl>
    <w:p>
      <w:pPr>
        <w:spacing w:after="0" w:line="72" w:lineRule="exact"/>
        <w:rPr>
          <w:sz w:val="20"/>
          <w:szCs w:val="20"/>
          <w:color w:val="auto"/>
        </w:rPr>
      </w:pPr>
    </w:p>
    <w:p>
      <w:pPr>
        <w:jc w:val="both"/>
        <w:ind w:left="340" w:hanging="332"/>
        <w:spacing w:after="0" w:line="254" w:lineRule="auto"/>
        <w:tabs>
          <w:tab w:leader="none" w:pos="340" w:val="left"/>
        </w:tabs>
        <w:numPr>
          <w:ilvl w:val="0"/>
          <w:numId w:val="48"/>
        </w:numPr>
        <w:rPr>
          <w:rFonts w:ascii="Arial" w:cs="Arial" w:eastAsia="Arial" w:hAnsi="Arial"/>
          <w:sz w:val="14"/>
          <w:szCs w:val="14"/>
          <w:i w:val="1"/>
          <w:iCs w:val="1"/>
          <w:color w:val="auto"/>
        </w:rPr>
      </w:pPr>
      <w:r>
        <w:rPr>
          <w:rFonts w:ascii="Arial" w:cs="Arial" w:eastAsia="Arial" w:hAnsi="Arial"/>
          <w:sz w:val="14"/>
          <w:szCs w:val="14"/>
          <w:i w:val="1"/>
          <w:iCs w:val="1"/>
          <w:color w:val="auto"/>
        </w:rPr>
        <w:t>Acquisition, site closure, and idle facility expenses primarily included (i) transaction and integration costs associated with the acquisition of Kashiv Specialty Pharmaceuticals, LLC; (ii) integration costs associated with the acquisition of AvKARE; (iii) site closure costs associated with the planned cessation of manufacturing at our Hauppauge, NY facility; (iv) transaction and integration costs associated with the acquisition of Puniska Healthcare Pvt. Ltd. and (v) site closure expenses associated with damage from Tropical Storm Ida to two of our facilities in New Jersey.</w:t>
      </w:r>
    </w:p>
    <w:p>
      <w:pPr>
        <w:spacing w:after="0" w:line="47" w:lineRule="exact"/>
        <w:rPr>
          <w:rFonts w:ascii="Arial" w:cs="Arial" w:eastAsia="Arial" w:hAnsi="Arial"/>
          <w:sz w:val="14"/>
          <w:szCs w:val="14"/>
          <w:i w:val="1"/>
          <w:iCs w:val="1"/>
          <w:color w:val="auto"/>
        </w:rPr>
      </w:pPr>
    </w:p>
    <w:p>
      <w:pPr>
        <w:ind w:left="340" w:hanging="332"/>
        <w:spacing w:after="0"/>
        <w:tabs>
          <w:tab w:leader="none" w:pos="340" w:val="left"/>
        </w:tabs>
        <w:numPr>
          <w:ilvl w:val="0"/>
          <w:numId w:val="48"/>
        </w:numPr>
        <w:rPr>
          <w:rFonts w:ascii="Arial" w:cs="Arial" w:eastAsia="Arial" w:hAnsi="Arial"/>
          <w:sz w:val="14"/>
          <w:szCs w:val="14"/>
          <w:i w:val="1"/>
          <w:iCs w:val="1"/>
          <w:color w:val="auto"/>
        </w:rPr>
      </w:pPr>
      <w:r>
        <w:rPr>
          <w:rFonts w:ascii="Arial" w:cs="Arial" w:eastAsia="Arial" w:hAnsi="Arial"/>
          <w:sz w:val="14"/>
          <w:szCs w:val="14"/>
          <w:i w:val="1"/>
          <w:iCs w:val="1"/>
          <w:color w:val="auto"/>
        </w:rPr>
        <w:t>Restructuring and other charges primarily consisted of cash severance charges associated with cost of benefits for former senior executives and management employees.</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48"/>
        </w:numPr>
        <w:rPr>
          <w:rFonts w:ascii="Arial" w:cs="Arial" w:eastAsia="Arial" w:hAnsi="Arial"/>
          <w:sz w:val="14"/>
          <w:szCs w:val="14"/>
          <w:i w:val="1"/>
          <w:iCs w:val="1"/>
          <w:color w:val="auto"/>
        </w:rPr>
      </w:pPr>
      <w:r>
        <w:rPr>
          <w:rFonts w:ascii="Arial" w:cs="Arial" w:eastAsia="Arial" w:hAnsi="Arial"/>
          <w:sz w:val="14"/>
          <w:szCs w:val="14"/>
          <w:i w:val="1"/>
          <w:iCs w:val="1"/>
          <w:color w:val="auto"/>
        </w:rPr>
        <w:t>Inventory related charges primarily represented inventory obsolescence and related expenses associated with recalls.</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48"/>
        </w:numPr>
        <w:rPr>
          <w:rFonts w:ascii="Arial" w:cs="Arial" w:eastAsia="Arial" w:hAnsi="Arial"/>
          <w:sz w:val="14"/>
          <w:szCs w:val="14"/>
          <w:i w:val="1"/>
          <w:iCs w:val="1"/>
          <w:color w:val="auto"/>
        </w:rPr>
      </w:pPr>
      <w:r>
        <w:rPr>
          <w:rFonts w:ascii="Arial" w:cs="Arial" w:eastAsia="Arial" w:hAnsi="Arial"/>
          <w:sz w:val="14"/>
          <w:szCs w:val="14"/>
          <w:i w:val="1"/>
          <w:iCs w:val="1"/>
          <w:color w:val="auto"/>
        </w:rPr>
        <w:t>Charges related to legal matters, net were primarily associated with legal claims in our Corporate segment.</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48"/>
        </w:numPr>
        <w:rPr>
          <w:rFonts w:ascii="Arial" w:cs="Arial" w:eastAsia="Arial" w:hAnsi="Arial"/>
          <w:sz w:val="14"/>
          <w:szCs w:val="14"/>
          <w:i w:val="1"/>
          <w:iCs w:val="1"/>
          <w:color w:val="auto"/>
        </w:rPr>
      </w:pPr>
      <w:r>
        <w:rPr>
          <w:rFonts w:ascii="Arial" w:cs="Arial" w:eastAsia="Arial" w:hAnsi="Arial"/>
          <w:sz w:val="14"/>
          <w:szCs w:val="14"/>
          <w:i w:val="1"/>
          <w:iCs w:val="1"/>
          <w:color w:val="auto"/>
        </w:rPr>
        <w:t>Asset impairment charges were primarily associated with the write-off of intangible assets and equipment, except for equipment discussed in (7) below.</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48"/>
        </w:numPr>
        <w:rPr>
          <w:rFonts w:ascii="Arial" w:cs="Arial" w:eastAsia="Arial" w:hAnsi="Arial"/>
          <w:sz w:val="14"/>
          <w:szCs w:val="14"/>
          <w:i w:val="1"/>
          <w:iCs w:val="1"/>
          <w:color w:val="auto"/>
        </w:rPr>
      </w:pPr>
      <w:r>
        <w:rPr>
          <w:rFonts w:ascii="Arial" w:cs="Arial" w:eastAsia="Arial" w:hAnsi="Arial"/>
          <w:sz w:val="14"/>
          <w:szCs w:val="14"/>
          <w:i w:val="1"/>
          <w:iCs w:val="1"/>
          <w:color w:val="auto"/>
        </w:rPr>
        <w:t>Contingent consideration was recorded in connection with the acquisition of Kashiv Specialty Pharmaceuticals, LLC.</w:t>
      </w:r>
    </w:p>
    <w:p>
      <w:pPr>
        <w:spacing w:after="0" w:line="82" w:lineRule="exact"/>
        <w:rPr>
          <w:rFonts w:ascii="Arial" w:cs="Arial" w:eastAsia="Arial" w:hAnsi="Arial"/>
          <w:sz w:val="14"/>
          <w:szCs w:val="14"/>
          <w:i w:val="1"/>
          <w:iCs w:val="1"/>
          <w:color w:val="auto"/>
        </w:rPr>
      </w:pPr>
    </w:p>
    <w:p>
      <w:pPr>
        <w:ind w:left="340" w:hanging="332"/>
        <w:spacing w:after="0" w:line="279" w:lineRule="auto"/>
        <w:tabs>
          <w:tab w:leader="none" w:pos="340" w:val="left"/>
        </w:tabs>
        <w:numPr>
          <w:ilvl w:val="0"/>
          <w:numId w:val="48"/>
        </w:numPr>
        <w:rPr>
          <w:rFonts w:ascii="Arial" w:cs="Arial" w:eastAsia="Arial" w:hAnsi="Arial"/>
          <w:sz w:val="14"/>
          <w:szCs w:val="14"/>
          <w:i w:val="1"/>
          <w:iCs w:val="1"/>
          <w:color w:val="auto"/>
        </w:rPr>
      </w:pPr>
      <w:r>
        <w:rPr>
          <w:rFonts w:ascii="Arial" w:cs="Arial" w:eastAsia="Arial" w:hAnsi="Arial"/>
          <w:sz w:val="14"/>
          <w:szCs w:val="14"/>
          <w:i w:val="1"/>
          <w:iCs w:val="1"/>
          <w:color w:val="auto"/>
        </w:rPr>
        <w:t>Property losses and related expenses, net were associated with damage from Tropical Storm Ida to two of our facilities in New Jersey, net of insurance recoveries. Expenses consisted of impairment of equipment and inventory, and repairs and maintenance and salaries and benefits.</w:t>
      </w:r>
    </w:p>
    <w:p>
      <w:pPr>
        <w:spacing w:after="0" w:line="30" w:lineRule="exact"/>
        <w:rPr>
          <w:rFonts w:ascii="Arial" w:cs="Arial" w:eastAsia="Arial" w:hAnsi="Arial"/>
          <w:sz w:val="14"/>
          <w:szCs w:val="14"/>
          <w:i w:val="1"/>
          <w:iCs w:val="1"/>
          <w:color w:val="auto"/>
        </w:rPr>
      </w:pPr>
    </w:p>
    <w:p>
      <w:pPr>
        <w:ind w:left="340" w:hanging="332"/>
        <w:spacing w:after="0"/>
        <w:tabs>
          <w:tab w:leader="none" w:pos="340" w:val="left"/>
        </w:tabs>
        <w:numPr>
          <w:ilvl w:val="0"/>
          <w:numId w:val="48"/>
        </w:numPr>
        <w:rPr>
          <w:rFonts w:ascii="Arial" w:cs="Arial" w:eastAsia="Arial" w:hAnsi="Arial"/>
          <w:sz w:val="14"/>
          <w:szCs w:val="14"/>
          <w:i w:val="1"/>
          <w:iCs w:val="1"/>
          <w:color w:val="auto"/>
        </w:rPr>
      </w:pPr>
      <w:r>
        <w:rPr>
          <w:rFonts w:ascii="Arial" w:cs="Arial" w:eastAsia="Arial" w:hAnsi="Arial"/>
          <w:sz w:val="14"/>
          <w:szCs w:val="14"/>
          <w:i w:val="1"/>
          <w:iCs w:val="1"/>
          <w:color w:val="auto"/>
        </w:rPr>
        <w:t>Utilizes weighted average diluted shares outstanding of 303.9 million, which consists of Class A shares and Class B shares under the if-converted method.</w:t>
      </w:r>
    </w:p>
    <w:p>
      <w:pPr>
        <w:spacing w:after="0" w:line="181" w:lineRule="exact"/>
        <w:rPr>
          <w:sz w:val="20"/>
          <w:szCs w:val="20"/>
          <w:color w:val="auto"/>
        </w:rPr>
      </w:pPr>
    </w:p>
    <w:p>
      <w:pPr>
        <w:spacing w:after="0"/>
        <w:tabs>
          <w:tab w:leader="none" w:pos="3480" w:val="left"/>
          <w:tab w:leader="none" w:pos="11040" w:val="left"/>
        </w:tabs>
        <w:rPr>
          <w:sz w:val="20"/>
          <w:szCs w:val="20"/>
          <w:color w:val="auto"/>
        </w:rPr>
      </w:pPr>
      <w:r>
        <w:rPr>
          <w:rFonts w:ascii="Arial" w:cs="Arial" w:eastAsia="Arial" w:hAnsi="Arial"/>
          <w:sz w:val="16"/>
          <w:szCs w:val="16"/>
          <w:b w:val="1"/>
          <w:bCs w:val="1"/>
          <w:color w:val="04568A"/>
        </w:rPr>
        <w:t>www.amneal.com</w:t>
      </w:r>
      <w:r>
        <w:rPr>
          <w:sz w:val="20"/>
          <w:szCs w:val="20"/>
          <w:color w:val="auto"/>
        </w:rPr>
        <w:tab/>
      </w: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r>
        <w:rPr>
          <w:sz w:val="20"/>
          <w:szCs w:val="20"/>
          <w:color w:val="auto"/>
        </w:rPr>
        <w:tab/>
      </w:r>
      <w:r>
        <w:rPr>
          <w:rFonts w:ascii="Arial" w:cs="Arial" w:eastAsia="Arial" w:hAnsi="Arial"/>
          <w:sz w:val="16"/>
          <w:szCs w:val="16"/>
          <w:b w:val="1"/>
          <w:bCs w:val="1"/>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5285740</wp:posOffset>
            </wp:positionH>
            <wp:positionV relativeFrom="paragraph">
              <wp:posOffset>-44450</wp:posOffset>
            </wp:positionV>
            <wp:extent cx="1568450" cy="82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568450" cy="8255"/>
                    </a:xfrm>
                    <a:prstGeom prst="rect">
                      <a:avLst/>
                    </a:prstGeom>
                    <a:noFill/>
                  </pic:spPr>
                </pic:pic>
              </a:graphicData>
            </a:graphic>
          </wp:anchor>
        </w:drawing>
        <w:drawing>
          <wp:anchor simplePos="0" relativeHeight="251657728" behindDoc="1" locked="0" layoutInCell="0" allowOverlap="1">
            <wp:simplePos x="0" y="0"/>
            <wp:positionH relativeFrom="column">
              <wp:posOffset>1007745</wp:posOffset>
            </wp:positionH>
            <wp:positionV relativeFrom="paragraph">
              <wp:posOffset>-44450</wp:posOffset>
            </wp:positionV>
            <wp:extent cx="1139825"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139825"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237490</wp:posOffset>
            </wp:positionV>
            <wp:extent cx="7132320" cy="342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32320" cy="34290"/>
                    </a:xfrm>
                    <a:prstGeom prst="rect">
                      <a:avLst/>
                    </a:prstGeom>
                    <a:noFill/>
                  </pic:spPr>
                </pic:pic>
              </a:graphicData>
            </a:graphic>
          </wp:anchor>
        </w:drawing>
      </w:r>
    </w:p>
    <w:p>
      <w:pPr>
        <w:sectPr>
          <w:pgSz w:w="11900" w:h="16838" w:orient="portrait"/>
          <w:cols w:equalWidth="0" w:num="1">
            <w:col w:w="11240"/>
          </w:cols>
          <w:pgMar w:left="320" w:top="234" w:right="339" w:bottom="1440" w:gutter="0" w:footer="0" w:header="0"/>
        </w:sectPr>
      </w:pPr>
    </w:p>
    <w:bookmarkStart w:id="69" w:name="page70"/>
    <w:bookmarkEnd w:id="69"/>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154" w:lineRule="exact"/>
        <w:rPr>
          <w:sz w:val="20"/>
          <w:szCs w:val="20"/>
          <w:color w:val="auto"/>
        </w:rPr>
      </w:pPr>
    </w:p>
    <w:p>
      <w:pPr>
        <w:spacing w:after="0"/>
        <w:rPr>
          <w:sz w:val="20"/>
          <w:szCs w:val="20"/>
          <w:color w:val="auto"/>
        </w:rPr>
      </w:pPr>
      <w:r>
        <w:rPr>
          <w:rFonts w:ascii="Arial" w:cs="Arial" w:eastAsia="Arial" w:hAnsi="Arial"/>
          <w:sz w:val="32"/>
          <w:szCs w:val="32"/>
          <w:b w:val="1"/>
          <w:bCs w:val="1"/>
          <w:color w:val="04568A"/>
        </w:rPr>
        <w:t>Reconciliation of Net Income to EBITDA and Adjusted EBITDA</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6800" w:type="dxa"/>
            <w:vAlign w:val="bottom"/>
          </w:tcPr>
          <w:p>
            <w:pPr>
              <w:spacing w:after="0"/>
              <w:rPr>
                <w:sz w:val="16"/>
                <w:szCs w:val="16"/>
                <w:color w:val="auto"/>
              </w:rPr>
            </w:pPr>
          </w:p>
        </w:tc>
        <w:tc>
          <w:tcPr>
            <w:tcW w:w="3440" w:type="dxa"/>
            <w:vAlign w:val="bottom"/>
          </w:tcPr>
          <w:p>
            <w:pPr>
              <w:spacing w:after="0"/>
              <w:rPr>
                <w:sz w:val="16"/>
                <w:szCs w:val="16"/>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b w:val="1"/>
                <w:bCs w:val="1"/>
                <w:color w:val="04568A"/>
              </w:rPr>
              <w:t>Year ended</w:t>
            </w:r>
          </w:p>
        </w:tc>
      </w:tr>
      <w:tr>
        <w:trPr>
          <w:trHeight w:val="221"/>
        </w:trPr>
        <w:tc>
          <w:tcPr>
            <w:tcW w:w="680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(Unaudited; In thousands)</w:t>
            </w:r>
          </w:p>
        </w:tc>
        <w:tc>
          <w:tcPr>
            <w:tcW w:w="4440" w:type="dxa"/>
            <w:vAlign w:val="bottom"/>
            <w:tcBorders>
              <w:bottom w:val="single" w:sz="8" w:color="04568A"/>
            </w:tcBorders>
            <w:gridSpan w:val="2"/>
          </w:tcPr>
          <w:p>
            <w:pPr>
              <w:jc w:val="right"/>
              <w:ind w:right="19"/>
              <w:spacing w:after="0"/>
              <w:rPr>
                <w:sz w:val="20"/>
                <w:szCs w:val="20"/>
                <w:color w:val="auto"/>
              </w:rPr>
            </w:pPr>
            <w:r>
              <w:rPr>
                <w:rFonts w:ascii="Arial" w:cs="Arial" w:eastAsia="Arial" w:hAnsi="Arial"/>
                <w:sz w:val="16"/>
                <w:szCs w:val="16"/>
                <w:b w:val="1"/>
                <w:bCs w:val="1"/>
                <w:color w:val="04568A"/>
              </w:rPr>
              <w:t>December 31, 2021</w:t>
            </w:r>
          </w:p>
        </w:tc>
      </w:tr>
      <w:tr>
        <w:trPr>
          <w:trHeight w:val="183"/>
        </w:trPr>
        <w:tc>
          <w:tcPr>
            <w:tcW w:w="6800" w:type="dxa"/>
            <w:vAlign w:val="bottom"/>
          </w:tcPr>
          <w:p>
            <w:pPr>
              <w:ind w:left="60"/>
              <w:spacing w:after="0" w:line="183" w:lineRule="exact"/>
              <w:rPr>
                <w:sz w:val="20"/>
                <w:szCs w:val="20"/>
                <w:color w:val="auto"/>
              </w:rPr>
            </w:pPr>
            <w:r>
              <w:rPr>
                <w:rFonts w:ascii="Arial" w:cs="Arial" w:eastAsia="Arial" w:hAnsi="Arial"/>
                <w:sz w:val="16"/>
                <w:szCs w:val="16"/>
                <w:b w:val="1"/>
                <w:bCs w:val="1"/>
                <w:color w:val="auto"/>
              </w:rPr>
              <w:t>Net income</w:t>
            </w:r>
          </w:p>
        </w:tc>
        <w:tc>
          <w:tcPr>
            <w:tcW w:w="3440" w:type="dxa"/>
            <w:vAlign w:val="bottom"/>
          </w:tcPr>
          <w:p>
            <w:pPr>
              <w:jc w:val="right"/>
              <w:spacing w:after="0" w:line="183" w:lineRule="exact"/>
              <w:rPr>
                <w:sz w:val="20"/>
                <w:szCs w:val="20"/>
                <w:color w:val="auto"/>
              </w:rPr>
            </w:pPr>
            <w:r>
              <w:rPr>
                <w:rFonts w:ascii="Arial" w:cs="Arial" w:eastAsia="Arial" w:hAnsi="Arial"/>
                <w:sz w:val="16"/>
                <w:szCs w:val="16"/>
                <w:color w:val="auto"/>
              </w:rPr>
              <w:t>$</w:t>
            </w:r>
          </w:p>
        </w:tc>
        <w:tc>
          <w:tcPr>
            <w:tcW w:w="1000" w:type="dxa"/>
            <w:vAlign w:val="bottom"/>
          </w:tcPr>
          <w:p>
            <w:pPr>
              <w:jc w:val="right"/>
              <w:ind w:right="19"/>
              <w:spacing w:after="0" w:line="183" w:lineRule="exact"/>
              <w:rPr>
                <w:sz w:val="20"/>
                <w:szCs w:val="20"/>
                <w:color w:val="auto"/>
              </w:rPr>
            </w:pPr>
            <w:r>
              <w:rPr>
                <w:rFonts w:ascii="Arial" w:cs="Arial" w:eastAsia="Arial" w:hAnsi="Arial"/>
                <w:sz w:val="16"/>
                <w:szCs w:val="16"/>
                <w:color w:val="auto"/>
              </w:rPr>
              <w:t>20,170</w:t>
            </w:r>
          </w:p>
        </w:tc>
      </w:tr>
      <w:tr>
        <w:trPr>
          <w:trHeight w:val="189"/>
        </w:trPr>
        <w:tc>
          <w:tcPr>
            <w:tcW w:w="6800" w:type="dxa"/>
            <w:vAlign w:val="bottom"/>
            <w:shd w:val="clear" w:color="auto" w:fill="E4E9F2"/>
          </w:tcPr>
          <w:p>
            <w:pPr>
              <w:ind w:left="60"/>
              <w:spacing w:after="0"/>
              <w:rPr>
                <w:sz w:val="20"/>
                <w:szCs w:val="20"/>
                <w:color w:val="auto"/>
              </w:rPr>
            </w:pPr>
            <w:r>
              <w:rPr>
                <w:rFonts w:ascii="Arial" w:cs="Arial" w:eastAsia="Arial" w:hAnsi="Arial"/>
                <w:sz w:val="16"/>
                <w:szCs w:val="16"/>
                <w:color w:val="auto"/>
              </w:rPr>
              <w:t>Adjusted to add:</w:t>
            </w:r>
          </w:p>
        </w:tc>
        <w:tc>
          <w:tcPr>
            <w:tcW w:w="3440" w:type="dxa"/>
            <w:vAlign w:val="bottom"/>
            <w:shd w:val="clear" w:color="auto" w:fill="E4E9F2"/>
          </w:tcPr>
          <w:p>
            <w:pPr>
              <w:spacing w:after="0"/>
              <w:rPr>
                <w:sz w:val="16"/>
                <w:szCs w:val="16"/>
                <w:color w:val="auto"/>
              </w:rPr>
            </w:pPr>
          </w:p>
        </w:tc>
        <w:tc>
          <w:tcPr>
            <w:tcW w:w="1000" w:type="dxa"/>
            <w:vAlign w:val="bottom"/>
            <w:shd w:val="clear" w:color="auto" w:fill="E4E9F2"/>
          </w:tcPr>
          <w:p>
            <w:pPr>
              <w:spacing w:after="0"/>
              <w:rPr>
                <w:sz w:val="16"/>
                <w:szCs w:val="16"/>
                <w:color w:val="auto"/>
              </w:rPr>
            </w:pPr>
          </w:p>
        </w:tc>
      </w:tr>
      <w:tr>
        <w:trPr>
          <w:trHeight w:val="189"/>
        </w:trPr>
        <w:tc>
          <w:tcPr>
            <w:tcW w:w="6800" w:type="dxa"/>
            <w:vAlign w:val="bottom"/>
          </w:tcPr>
          <w:p>
            <w:pPr>
              <w:ind w:left="180"/>
              <w:spacing w:after="0"/>
              <w:rPr>
                <w:sz w:val="20"/>
                <w:szCs w:val="20"/>
                <w:color w:val="auto"/>
              </w:rPr>
            </w:pPr>
            <w:r>
              <w:rPr>
                <w:rFonts w:ascii="Arial" w:cs="Arial" w:eastAsia="Arial" w:hAnsi="Arial"/>
                <w:sz w:val="16"/>
                <w:szCs w:val="16"/>
                <w:color w:val="auto"/>
              </w:rPr>
              <w:t>Interest expense, net</w:t>
            </w:r>
          </w:p>
        </w:tc>
        <w:tc>
          <w:tcPr>
            <w:tcW w:w="3440" w:type="dxa"/>
            <w:vAlign w:val="bottom"/>
          </w:tcPr>
          <w:p>
            <w:pPr>
              <w:spacing w:after="0"/>
              <w:rPr>
                <w:sz w:val="16"/>
                <w:szCs w:val="16"/>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136,325</w:t>
            </w:r>
          </w:p>
        </w:tc>
      </w:tr>
      <w:tr>
        <w:trPr>
          <w:trHeight w:val="189"/>
        </w:trPr>
        <w:tc>
          <w:tcPr>
            <w:tcW w:w="6800" w:type="dxa"/>
            <w:vAlign w:val="bottom"/>
            <w:shd w:val="clear" w:color="auto" w:fill="E4E9F2"/>
          </w:tcPr>
          <w:p>
            <w:pPr>
              <w:ind w:left="180"/>
              <w:spacing w:after="0"/>
              <w:rPr>
                <w:sz w:val="20"/>
                <w:szCs w:val="20"/>
                <w:color w:val="auto"/>
              </w:rPr>
            </w:pPr>
            <w:r>
              <w:rPr>
                <w:rFonts w:ascii="Arial" w:cs="Arial" w:eastAsia="Arial" w:hAnsi="Arial"/>
                <w:sz w:val="16"/>
                <w:szCs w:val="16"/>
                <w:color w:val="auto"/>
              </w:rPr>
              <w:t>Income tax benefit</w:t>
            </w:r>
          </w:p>
        </w:tc>
        <w:tc>
          <w:tcPr>
            <w:tcW w:w="3440" w:type="dxa"/>
            <w:vAlign w:val="bottom"/>
            <w:shd w:val="clear" w:color="auto" w:fill="E4E9F2"/>
          </w:tcPr>
          <w:p>
            <w:pPr>
              <w:spacing w:after="0"/>
              <w:rPr>
                <w:sz w:val="16"/>
                <w:szCs w:val="16"/>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11,196</w:t>
            </w:r>
          </w:p>
        </w:tc>
      </w:tr>
      <w:tr>
        <w:trPr>
          <w:trHeight w:val="200"/>
        </w:trPr>
        <w:tc>
          <w:tcPr>
            <w:tcW w:w="6800" w:type="dxa"/>
            <w:vAlign w:val="bottom"/>
            <w:tcBorders>
              <w:bottom w:val="single" w:sz="8" w:color="04568A"/>
            </w:tcBorders>
          </w:tcPr>
          <w:p>
            <w:pPr>
              <w:ind w:left="180"/>
              <w:spacing w:after="0"/>
              <w:rPr>
                <w:sz w:val="20"/>
                <w:szCs w:val="20"/>
                <w:color w:val="auto"/>
              </w:rPr>
            </w:pPr>
            <w:r>
              <w:rPr>
                <w:rFonts w:ascii="Arial" w:cs="Arial" w:eastAsia="Arial" w:hAnsi="Arial"/>
                <w:sz w:val="16"/>
                <w:szCs w:val="16"/>
                <w:color w:val="auto"/>
              </w:rPr>
              <w:t>Depreciation and amortization</w:t>
            </w:r>
          </w:p>
        </w:tc>
        <w:tc>
          <w:tcPr>
            <w:tcW w:w="3440" w:type="dxa"/>
            <w:vAlign w:val="bottom"/>
            <w:tcBorders>
              <w:bottom w:val="single" w:sz="8" w:color="04568A"/>
            </w:tcBorders>
          </w:tcPr>
          <w:p>
            <w:pPr>
              <w:spacing w:after="0"/>
              <w:rPr>
                <w:sz w:val="17"/>
                <w:szCs w:val="17"/>
                <w:color w:val="auto"/>
              </w:rPr>
            </w:pPr>
          </w:p>
        </w:tc>
        <w:tc>
          <w:tcPr>
            <w:tcW w:w="1000" w:type="dxa"/>
            <w:vAlign w:val="bottom"/>
            <w:tcBorders>
              <w:bottom w:val="single" w:sz="8" w:color="04568A"/>
            </w:tcBorders>
          </w:tcPr>
          <w:p>
            <w:pPr>
              <w:jc w:val="right"/>
              <w:ind w:right="19"/>
              <w:spacing w:after="0"/>
              <w:rPr>
                <w:sz w:val="20"/>
                <w:szCs w:val="20"/>
                <w:color w:val="auto"/>
              </w:rPr>
            </w:pPr>
            <w:r>
              <w:rPr>
                <w:rFonts w:ascii="Arial" w:cs="Arial" w:eastAsia="Arial" w:hAnsi="Arial"/>
                <w:sz w:val="16"/>
                <w:szCs w:val="16"/>
                <w:color w:val="auto"/>
              </w:rPr>
              <w:t>233,406</w:t>
            </w:r>
          </w:p>
        </w:tc>
      </w:tr>
      <w:tr>
        <w:trPr>
          <w:trHeight w:val="185"/>
        </w:trPr>
        <w:tc>
          <w:tcPr>
            <w:tcW w:w="6800" w:type="dxa"/>
            <w:vAlign w:val="bottom"/>
            <w:shd w:val="clear" w:color="auto" w:fill="E4E9F2"/>
          </w:tcPr>
          <w:p>
            <w:pPr>
              <w:ind w:left="60"/>
              <w:spacing w:after="0"/>
              <w:rPr>
                <w:sz w:val="20"/>
                <w:szCs w:val="20"/>
                <w:color w:val="auto"/>
              </w:rPr>
            </w:pPr>
            <w:r>
              <w:rPr>
                <w:rFonts w:ascii="Arial" w:cs="Arial" w:eastAsia="Arial" w:hAnsi="Arial"/>
                <w:sz w:val="16"/>
                <w:szCs w:val="16"/>
                <w:b w:val="1"/>
                <w:bCs w:val="1"/>
                <w:color w:val="auto"/>
              </w:rPr>
              <w:t>EBITDA (Non-GAAP)</w:t>
            </w:r>
          </w:p>
        </w:tc>
        <w:tc>
          <w:tcPr>
            <w:tcW w:w="3440" w:type="dxa"/>
            <w:vAlign w:val="bottom"/>
            <w:shd w:val="clear" w:color="auto" w:fill="E4E9F2"/>
          </w:tcPr>
          <w:p>
            <w:pPr>
              <w:jc w:val="right"/>
              <w:spacing w:after="0"/>
              <w:rPr>
                <w:sz w:val="20"/>
                <w:szCs w:val="20"/>
                <w:color w:val="auto"/>
              </w:rPr>
            </w:pPr>
            <w:r>
              <w:rPr>
                <w:rFonts w:ascii="Arial" w:cs="Arial" w:eastAsia="Arial" w:hAnsi="Arial"/>
                <w:sz w:val="16"/>
                <w:szCs w:val="16"/>
                <w:color w:val="auto"/>
              </w:rPr>
              <w:t>$</w:t>
            </w: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401,097</w:t>
            </w:r>
          </w:p>
        </w:tc>
      </w:tr>
      <w:tr>
        <w:trPr>
          <w:trHeight w:val="189"/>
        </w:trPr>
        <w:tc>
          <w:tcPr>
            <w:tcW w:w="6800" w:type="dxa"/>
            <w:vAlign w:val="bottom"/>
          </w:tcPr>
          <w:p>
            <w:pPr>
              <w:ind w:left="60"/>
              <w:spacing w:after="0"/>
              <w:rPr>
                <w:sz w:val="20"/>
                <w:szCs w:val="20"/>
                <w:color w:val="auto"/>
              </w:rPr>
            </w:pPr>
            <w:r>
              <w:rPr>
                <w:rFonts w:ascii="Arial" w:cs="Arial" w:eastAsia="Arial" w:hAnsi="Arial"/>
                <w:sz w:val="16"/>
                <w:szCs w:val="16"/>
                <w:color w:val="auto"/>
              </w:rPr>
              <w:t>Adjusted to add:</w:t>
            </w:r>
          </w:p>
        </w:tc>
        <w:tc>
          <w:tcPr>
            <w:tcW w:w="344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189"/>
        </w:trPr>
        <w:tc>
          <w:tcPr>
            <w:tcW w:w="6800" w:type="dxa"/>
            <w:vAlign w:val="bottom"/>
            <w:shd w:val="clear" w:color="auto" w:fill="E4E9F2"/>
          </w:tcPr>
          <w:p>
            <w:pPr>
              <w:ind w:left="180"/>
              <w:spacing w:after="0"/>
              <w:rPr>
                <w:sz w:val="20"/>
                <w:szCs w:val="20"/>
                <w:color w:val="auto"/>
              </w:rPr>
            </w:pPr>
            <w:r>
              <w:rPr>
                <w:rFonts w:ascii="Arial" w:cs="Arial" w:eastAsia="Arial" w:hAnsi="Arial"/>
                <w:sz w:val="16"/>
                <w:szCs w:val="16"/>
                <w:color w:val="auto"/>
              </w:rPr>
              <w:t>Stock-based compensation expense</w:t>
            </w:r>
          </w:p>
        </w:tc>
        <w:tc>
          <w:tcPr>
            <w:tcW w:w="3440" w:type="dxa"/>
            <w:vAlign w:val="bottom"/>
            <w:shd w:val="clear" w:color="auto" w:fill="E4E9F2"/>
          </w:tcPr>
          <w:p>
            <w:pPr>
              <w:spacing w:after="0"/>
              <w:rPr>
                <w:sz w:val="16"/>
                <w:szCs w:val="16"/>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28,412</w:t>
            </w:r>
          </w:p>
        </w:tc>
      </w:tr>
      <w:tr>
        <w:trPr>
          <w:trHeight w:val="229"/>
        </w:trPr>
        <w:tc>
          <w:tcPr>
            <w:tcW w:w="6800" w:type="dxa"/>
            <w:vAlign w:val="bottom"/>
          </w:tcPr>
          <w:p>
            <w:pPr>
              <w:ind w:left="180"/>
              <w:spacing w:after="0" w:line="230" w:lineRule="exact"/>
              <w:rPr>
                <w:sz w:val="20"/>
                <w:szCs w:val="20"/>
                <w:color w:val="auto"/>
              </w:rPr>
            </w:pPr>
            <w:r>
              <w:rPr>
                <w:rFonts w:ascii="Arial" w:cs="Arial" w:eastAsia="Arial" w:hAnsi="Arial"/>
                <w:sz w:val="16"/>
                <w:szCs w:val="16"/>
                <w:color w:val="auto"/>
              </w:rPr>
              <w:t>Acquisition, site closure, and idle facility expenses</w:t>
            </w:r>
            <w:r>
              <w:rPr>
                <w:rFonts w:ascii="Arial" w:cs="Arial" w:eastAsia="Arial" w:hAnsi="Arial"/>
                <w:sz w:val="26"/>
                <w:szCs w:val="26"/>
                <w:color w:val="auto"/>
                <w:vertAlign w:val="superscript"/>
              </w:rPr>
              <w:t>(1)</w:t>
            </w:r>
          </w:p>
        </w:tc>
        <w:tc>
          <w:tcPr>
            <w:tcW w:w="3440" w:type="dxa"/>
            <w:vAlign w:val="bottom"/>
          </w:tcPr>
          <w:p>
            <w:pPr>
              <w:spacing w:after="0"/>
              <w:rPr>
                <w:sz w:val="19"/>
                <w:szCs w:val="19"/>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20,003</w:t>
            </w:r>
          </w:p>
        </w:tc>
      </w:tr>
      <w:tr>
        <w:trPr>
          <w:trHeight w:val="229"/>
        </w:trPr>
        <w:tc>
          <w:tcPr>
            <w:tcW w:w="6800" w:type="dxa"/>
            <w:vAlign w:val="bottom"/>
            <w:shd w:val="clear" w:color="auto" w:fill="E4E9F2"/>
          </w:tcPr>
          <w:p>
            <w:pPr>
              <w:ind w:left="180"/>
              <w:spacing w:after="0" w:line="230" w:lineRule="exact"/>
              <w:rPr>
                <w:sz w:val="20"/>
                <w:szCs w:val="20"/>
                <w:color w:val="auto"/>
              </w:rPr>
            </w:pPr>
            <w:r>
              <w:rPr>
                <w:rFonts w:ascii="Arial" w:cs="Arial" w:eastAsia="Arial" w:hAnsi="Arial"/>
                <w:sz w:val="16"/>
                <w:szCs w:val="16"/>
                <w:color w:val="auto"/>
              </w:rPr>
              <w:t>Restructuring and other charges</w:t>
            </w:r>
            <w:r>
              <w:rPr>
                <w:rFonts w:ascii="Arial" w:cs="Arial" w:eastAsia="Arial" w:hAnsi="Arial"/>
                <w:sz w:val="26"/>
                <w:szCs w:val="26"/>
                <w:color w:val="auto"/>
                <w:vertAlign w:val="superscript"/>
              </w:rPr>
              <w:t>(2)</w:t>
            </w:r>
          </w:p>
        </w:tc>
        <w:tc>
          <w:tcPr>
            <w:tcW w:w="3440" w:type="dxa"/>
            <w:vAlign w:val="bottom"/>
            <w:shd w:val="clear" w:color="auto" w:fill="E4E9F2"/>
          </w:tcPr>
          <w:p>
            <w:pPr>
              <w:spacing w:after="0"/>
              <w:rPr>
                <w:sz w:val="19"/>
                <w:szCs w:val="19"/>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788</w:t>
            </w:r>
          </w:p>
        </w:tc>
      </w:tr>
      <w:tr>
        <w:trPr>
          <w:trHeight w:val="230"/>
        </w:trPr>
        <w:tc>
          <w:tcPr>
            <w:tcW w:w="6800" w:type="dxa"/>
            <w:vAlign w:val="bottom"/>
          </w:tcPr>
          <w:p>
            <w:pPr>
              <w:ind w:left="180"/>
              <w:spacing w:after="0" w:line="230" w:lineRule="exact"/>
              <w:rPr>
                <w:sz w:val="20"/>
                <w:szCs w:val="20"/>
                <w:color w:val="auto"/>
              </w:rPr>
            </w:pPr>
            <w:r>
              <w:rPr>
                <w:rFonts w:ascii="Arial" w:cs="Arial" w:eastAsia="Arial" w:hAnsi="Arial"/>
                <w:sz w:val="16"/>
                <w:szCs w:val="16"/>
                <w:color w:val="auto"/>
              </w:rPr>
              <w:t>Inventory related charges</w:t>
            </w:r>
            <w:r>
              <w:rPr>
                <w:rFonts w:ascii="Arial" w:cs="Arial" w:eastAsia="Arial" w:hAnsi="Arial"/>
                <w:sz w:val="26"/>
                <w:szCs w:val="26"/>
                <w:color w:val="auto"/>
                <w:vertAlign w:val="superscript"/>
              </w:rPr>
              <w:t>(3)</w:t>
            </w:r>
          </w:p>
        </w:tc>
        <w:tc>
          <w:tcPr>
            <w:tcW w:w="3440" w:type="dxa"/>
            <w:vAlign w:val="bottom"/>
          </w:tcPr>
          <w:p>
            <w:pPr>
              <w:spacing w:after="0"/>
              <w:rPr>
                <w:sz w:val="19"/>
                <w:szCs w:val="19"/>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261</w:t>
            </w:r>
          </w:p>
        </w:tc>
      </w:tr>
      <w:tr>
        <w:trPr>
          <w:trHeight w:val="229"/>
        </w:trPr>
        <w:tc>
          <w:tcPr>
            <w:tcW w:w="6800" w:type="dxa"/>
            <w:vAlign w:val="bottom"/>
            <w:shd w:val="clear" w:color="auto" w:fill="E4E9F2"/>
          </w:tcPr>
          <w:p>
            <w:pPr>
              <w:ind w:left="180"/>
              <w:spacing w:after="0" w:line="230" w:lineRule="exact"/>
              <w:rPr>
                <w:sz w:val="20"/>
                <w:szCs w:val="20"/>
                <w:color w:val="auto"/>
              </w:rPr>
            </w:pPr>
            <w:r>
              <w:rPr>
                <w:rFonts w:ascii="Arial" w:cs="Arial" w:eastAsia="Arial" w:hAnsi="Arial"/>
                <w:sz w:val="16"/>
                <w:szCs w:val="16"/>
                <w:color w:val="auto"/>
              </w:rPr>
              <w:t>Charges related to legal matters, net</w:t>
            </w:r>
            <w:r>
              <w:rPr>
                <w:rFonts w:ascii="Arial" w:cs="Arial" w:eastAsia="Arial" w:hAnsi="Arial"/>
                <w:sz w:val="26"/>
                <w:szCs w:val="26"/>
                <w:color w:val="auto"/>
                <w:vertAlign w:val="superscript"/>
              </w:rPr>
              <w:t>(4)</w:t>
            </w:r>
          </w:p>
        </w:tc>
        <w:tc>
          <w:tcPr>
            <w:tcW w:w="3440" w:type="dxa"/>
            <w:vAlign w:val="bottom"/>
            <w:shd w:val="clear" w:color="auto" w:fill="E4E9F2"/>
          </w:tcPr>
          <w:p>
            <w:pPr>
              <w:spacing w:after="0"/>
              <w:rPr>
                <w:sz w:val="19"/>
                <w:szCs w:val="19"/>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25,000</w:t>
            </w:r>
          </w:p>
        </w:tc>
      </w:tr>
      <w:tr>
        <w:trPr>
          <w:trHeight w:val="230"/>
        </w:trPr>
        <w:tc>
          <w:tcPr>
            <w:tcW w:w="6800" w:type="dxa"/>
            <w:vAlign w:val="bottom"/>
          </w:tcPr>
          <w:p>
            <w:pPr>
              <w:ind w:left="180"/>
              <w:spacing w:after="0" w:line="230" w:lineRule="exact"/>
              <w:rPr>
                <w:sz w:val="20"/>
                <w:szCs w:val="20"/>
                <w:color w:val="auto"/>
              </w:rPr>
            </w:pPr>
            <w:r>
              <w:rPr>
                <w:rFonts w:ascii="Arial" w:cs="Arial" w:eastAsia="Arial" w:hAnsi="Arial"/>
                <w:sz w:val="16"/>
                <w:szCs w:val="16"/>
                <w:color w:val="auto"/>
              </w:rPr>
              <w:t>Asset impairment charges</w:t>
            </w:r>
            <w:r>
              <w:rPr>
                <w:rFonts w:ascii="Arial" w:cs="Arial" w:eastAsia="Arial" w:hAnsi="Arial"/>
                <w:sz w:val="26"/>
                <w:szCs w:val="26"/>
                <w:color w:val="auto"/>
                <w:vertAlign w:val="superscript"/>
              </w:rPr>
              <w:t>(5)</w:t>
            </w:r>
          </w:p>
        </w:tc>
        <w:tc>
          <w:tcPr>
            <w:tcW w:w="3440" w:type="dxa"/>
            <w:vAlign w:val="bottom"/>
          </w:tcPr>
          <w:p>
            <w:pPr>
              <w:spacing w:after="0"/>
              <w:rPr>
                <w:sz w:val="19"/>
                <w:szCs w:val="19"/>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24,105</w:t>
            </w:r>
          </w:p>
        </w:tc>
      </w:tr>
      <w:tr>
        <w:trPr>
          <w:trHeight w:val="189"/>
        </w:trPr>
        <w:tc>
          <w:tcPr>
            <w:tcW w:w="6800" w:type="dxa"/>
            <w:vAlign w:val="bottom"/>
            <w:shd w:val="clear" w:color="auto" w:fill="E4E9F2"/>
          </w:tcPr>
          <w:p>
            <w:pPr>
              <w:ind w:left="180"/>
              <w:spacing w:after="0"/>
              <w:rPr>
                <w:sz w:val="20"/>
                <w:szCs w:val="20"/>
                <w:color w:val="auto"/>
              </w:rPr>
            </w:pPr>
            <w:r>
              <w:rPr>
                <w:rFonts w:ascii="Arial" w:cs="Arial" w:eastAsia="Arial" w:hAnsi="Arial"/>
                <w:sz w:val="16"/>
                <w:szCs w:val="16"/>
                <w:color w:val="auto"/>
              </w:rPr>
              <w:t>Foreign exchange loss</w:t>
            </w:r>
          </w:p>
        </w:tc>
        <w:tc>
          <w:tcPr>
            <w:tcW w:w="3440" w:type="dxa"/>
            <w:vAlign w:val="bottom"/>
            <w:shd w:val="clear" w:color="auto" w:fill="E4E9F2"/>
          </w:tcPr>
          <w:p>
            <w:pPr>
              <w:spacing w:after="0"/>
              <w:rPr>
                <w:sz w:val="16"/>
                <w:szCs w:val="16"/>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355</w:t>
            </w:r>
          </w:p>
        </w:tc>
      </w:tr>
      <w:tr>
        <w:trPr>
          <w:trHeight w:val="189"/>
        </w:trPr>
        <w:tc>
          <w:tcPr>
            <w:tcW w:w="6800" w:type="dxa"/>
            <w:vAlign w:val="bottom"/>
          </w:tcPr>
          <w:p>
            <w:pPr>
              <w:ind w:left="180"/>
              <w:spacing w:after="0"/>
              <w:rPr>
                <w:sz w:val="20"/>
                <w:szCs w:val="20"/>
                <w:color w:val="auto"/>
              </w:rPr>
            </w:pPr>
            <w:r>
              <w:rPr>
                <w:rFonts w:ascii="Arial" w:cs="Arial" w:eastAsia="Arial" w:hAnsi="Arial"/>
                <w:sz w:val="16"/>
                <w:szCs w:val="16"/>
                <w:color w:val="auto"/>
              </w:rPr>
              <w:t>Research and Development milestone payments</w:t>
            </w:r>
          </w:p>
        </w:tc>
        <w:tc>
          <w:tcPr>
            <w:tcW w:w="3440" w:type="dxa"/>
            <w:vAlign w:val="bottom"/>
          </w:tcPr>
          <w:p>
            <w:pPr>
              <w:spacing w:after="0"/>
              <w:rPr>
                <w:sz w:val="16"/>
                <w:szCs w:val="16"/>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25,795</w:t>
            </w:r>
          </w:p>
        </w:tc>
      </w:tr>
      <w:tr>
        <w:trPr>
          <w:trHeight w:val="230"/>
        </w:trPr>
        <w:tc>
          <w:tcPr>
            <w:tcW w:w="6800" w:type="dxa"/>
            <w:vAlign w:val="bottom"/>
            <w:shd w:val="clear" w:color="auto" w:fill="E4E9F2"/>
          </w:tcPr>
          <w:p>
            <w:pPr>
              <w:ind w:left="180"/>
              <w:spacing w:after="0" w:line="230" w:lineRule="exact"/>
              <w:rPr>
                <w:sz w:val="20"/>
                <w:szCs w:val="20"/>
                <w:color w:val="auto"/>
              </w:rPr>
            </w:pPr>
            <w:r>
              <w:rPr>
                <w:rFonts w:ascii="Arial" w:cs="Arial" w:eastAsia="Arial" w:hAnsi="Arial"/>
                <w:sz w:val="16"/>
                <w:szCs w:val="16"/>
                <w:color w:val="auto"/>
              </w:rPr>
              <w:t>Change in fair value of contingent consideration</w:t>
            </w:r>
            <w:r>
              <w:rPr>
                <w:rFonts w:ascii="Arial" w:cs="Arial" w:eastAsia="Arial" w:hAnsi="Arial"/>
                <w:sz w:val="26"/>
                <w:szCs w:val="26"/>
                <w:color w:val="auto"/>
                <w:vertAlign w:val="superscript"/>
              </w:rPr>
              <w:t>(6)</w:t>
            </w:r>
          </w:p>
        </w:tc>
        <w:tc>
          <w:tcPr>
            <w:tcW w:w="3440" w:type="dxa"/>
            <w:vAlign w:val="bottom"/>
            <w:shd w:val="clear" w:color="auto" w:fill="E4E9F2"/>
          </w:tcPr>
          <w:p>
            <w:pPr>
              <w:spacing w:after="0"/>
              <w:rPr>
                <w:sz w:val="19"/>
                <w:szCs w:val="19"/>
                <w:color w:val="auto"/>
              </w:rPr>
            </w:pPr>
          </w:p>
        </w:tc>
        <w:tc>
          <w:tcPr>
            <w:tcW w:w="1000" w:type="dxa"/>
            <w:vAlign w:val="bottom"/>
            <w:shd w:val="clear" w:color="auto" w:fill="E4E9F2"/>
          </w:tcPr>
          <w:p>
            <w:pPr>
              <w:jc w:val="right"/>
              <w:ind w:right="19"/>
              <w:spacing w:after="0"/>
              <w:rPr>
                <w:sz w:val="20"/>
                <w:szCs w:val="20"/>
                <w:color w:val="auto"/>
              </w:rPr>
            </w:pPr>
            <w:r>
              <w:rPr>
                <w:rFonts w:ascii="Arial" w:cs="Arial" w:eastAsia="Arial" w:hAnsi="Arial"/>
                <w:sz w:val="16"/>
                <w:szCs w:val="16"/>
                <w:color w:val="auto"/>
              </w:rPr>
              <w:t>200</w:t>
            </w:r>
          </w:p>
        </w:tc>
      </w:tr>
      <w:tr>
        <w:trPr>
          <w:trHeight w:val="229"/>
        </w:trPr>
        <w:tc>
          <w:tcPr>
            <w:tcW w:w="6800" w:type="dxa"/>
            <w:vAlign w:val="bottom"/>
          </w:tcPr>
          <w:p>
            <w:pPr>
              <w:ind w:left="180"/>
              <w:spacing w:after="0" w:line="230" w:lineRule="exact"/>
              <w:rPr>
                <w:sz w:val="20"/>
                <w:szCs w:val="20"/>
                <w:color w:val="auto"/>
              </w:rPr>
            </w:pPr>
            <w:r>
              <w:rPr>
                <w:rFonts w:ascii="Arial" w:cs="Arial" w:eastAsia="Arial" w:hAnsi="Arial"/>
                <w:sz w:val="16"/>
                <w:szCs w:val="16"/>
                <w:color w:val="auto"/>
              </w:rPr>
              <w:t>Property losses and related expenses, net</w:t>
            </w:r>
            <w:r>
              <w:rPr>
                <w:rFonts w:ascii="Arial" w:cs="Arial" w:eastAsia="Arial" w:hAnsi="Arial"/>
                <w:sz w:val="26"/>
                <w:szCs w:val="26"/>
                <w:color w:val="auto"/>
                <w:vertAlign w:val="superscript"/>
              </w:rPr>
              <w:t>(7)</w:t>
            </w:r>
          </w:p>
        </w:tc>
        <w:tc>
          <w:tcPr>
            <w:tcW w:w="3440" w:type="dxa"/>
            <w:vAlign w:val="bottom"/>
          </w:tcPr>
          <w:p>
            <w:pPr>
              <w:spacing w:after="0"/>
              <w:rPr>
                <w:sz w:val="19"/>
                <w:szCs w:val="19"/>
                <w:color w:val="auto"/>
              </w:rPr>
            </w:pPr>
          </w:p>
        </w:tc>
        <w:tc>
          <w:tcPr>
            <w:tcW w:w="1000" w:type="dxa"/>
            <w:vAlign w:val="bottom"/>
          </w:tcPr>
          <w:p>
            <w:pPr>
              <w:jc w:val="right"/>
              <w:ind w:right="19"/>
              <w:spacing w:after="0"/>
              <w:rPr>
                <w:sz w:val="20"/>
                <w:szCs w:val="20"/>
                <w:color w:val="auto"/>
              </w:rPr>
            </w:pPr>
            <w:r>
              <w:rPr>
                <w:rFonts w:ascii="Arial" w:cs="Arial" w:eastAsia="Arial" w:hAnsi="Arial"/>
                <w:sz w:val="16"/>
                <w:szCs w:val="16"/>
                <w:color w:val="auto"/>
              </w:rPr>
              <w:t>5,368</w:t>
            </w:r>
          </w:p>
        </w:tc>
      </w:tr>
      <w:tr>
        <w:trPr>
          <w:trHeight w:val="200"/>
        </w:trPr>
        <w:tc>
          <w:tcPr>
            <w:tcW w:w="6800" w:type="dxa"/>
            <w:vAlign w:val="bottom"/>
            <w:tcBorders>
              <w:bottom w:val="single" w:sz="8" w:color="04568A"/>
            </w:tcBorders>
            <w:shd w:val="clear" w:color="auto" w:fill="E4E9F2"/>
          </w:tcPr>
          <w:p>
            <w:pPr>
              <w:ind w:left="180"/>
              <w:spacing w:after="0"/>
              <w:rPr>
                <w:sz w:val="20"/>
                <w:szCs w:val="20"/>
                <w:color w:val="auto"/>
              </w:rPr>
            </w:pPr>
            <w:r>
              <w:rPr>
                <w:rFonts w:ascii="Arial" w:cs="Arial" w:eastAsia="Arial" w:hAnsi="Arial"/>
                <w:sz w:val="16"/>
                <w:szCs w:val="16"/>
                <w:color w:val="auto"/>
              </w:rPr>
              <w:t>Other</w:t>
            </w:r>
          </w:p>
        </w:tc>
        <w:tc>
          <w:tcPr>
            <w:tcW w:w="3440" w:type="dxa"/>
            <w:vAlign w:val="bottom"/>
            <w:tcBorders>
              <w:bottom w:val="single" w:sz="8" w:color="04568A"/>
            </w:tcBorders>
            <w:shd w:val="clear" w:color="auto" w:fill="E4E9F2"/>
          </w:tcPr>
          <w:p>
            <w:pPr>
              <w:spacing w:after="0"/>
              <w:rPr>
                <w:sz w:val="17"/>
                <w:szCs w:val="17"/>
                <w:color w:val="auto"/>
              </w:rPr>
            </w:pPr>
          </w:p>
        </w:tc>
        <w:tc>
          <w:tcPr>
            <w:tcW w:w="1000" w:type="dxa"/>
            <w:vAlign w:val="bottom"/>
            <w:tcBorders>
              <w:bottom w:val="single" w:sz="8" w:color="04568A"/>
            </w:tcBorders>
            <w:shd w:val="clear" w:color="auto" w:fill="E4E9F2"/>
          </w:tcPr>
          <w:p>
            <w:pPr>
              <w:jc w:val="right"/>
              <w:ind w:right="19"/>
              <w:spacing w:after="0"/>
              <w:rPr>
                <w:sz w:val="20"/>
                <w:szCs w:val="20"/>
                <w:color w:val="auto"/>
              </w:rPr>
            </w:pPr>
            <w:r>
              <w:rPr>
                <w:rFonts w:ascii="Arial" w:cs="Arial" w:eastAsia="Arial" w:hAnsi="Arial"/>
                <w:sz w:val="16"/>
                <w:szCs w:val="16"/>
                <w:color w:val="auto"/>
              </w:rPr>
              <w:t>6,680</w:t>
            </w:r>
          </w:p>
        </w:tc>
      </w:tr>
      <w:tr>
        <w:trPr>
          <w:trHeight w:val="199"/>
        </w:trPr>
        <w:tc>
          <w:tcPr>
            <w:tcW w:w="6800" w:type="dxa"/>
            <w:vAlign w:val="bottom"/>
            <w:tcBorders>
              <w:bottom w:val="single" w:sz="8" w:color="04568A"/>
            </w:tcBorders>
          </w:tcPr>
          <w:p>
            <w:pPr>
              <w:ind w:left="60"/>
              <w:spacing w:after="0"/>
              <w:rPr>
                <w:sz w:val="20"/>
                <w:szCs w:val="20"/>
                <w:color w:val="auto"/>
              </w:rPr>
            </w:pPr>
            <w:r>
              <w:rPr>
                <w:rFonts w:ascii="Arial" w:cs="Arial" w:eastAsia="Arial" w:hAnsi="Arial"/>
                <w:sz w:val="16"/>
                <w:szCs w:val="16"/>
                <w:b w:val="1"/>
                <w:bCs w:val="1"/>
                <w:color w:val="04568A"/>
              </w:rPr>
              <w:t>ADJUSTED EBITDA (NON-GAAP)</w:t>
            </w:r>
          </w:p>
        </w:tc>
        <w:tc>
          <w:tcPr>
            <w:tcW w:w="3440" w:type="dxa"/>
            <w:vAlign w:val="bottom"/>
            <w:tcBorders>
              <w:bottom w:val="single" w:sz="8" w:color="04568A"/>
            </w:tcBorders>
          </w:tcPr>
          <w:p>
            <w:pPr>
              <w:jc w:val="right"/>
              <w:spacing w:after="0"/>
              <w:rPr>
                <w:sz w:val="20"/>
                <w:szCs w:val="20"/>
                <w:color w:val="auto"/>
              </w:rPr>
            </w:pPr>
            <w:r>
              <w:rPr>
                <w:rFonts w:ascii="Arial" w:cs="Arial" w:eastAsia="Arial" w:hAnsi="Arial"/>
                <w:sz w:val="16"/>
                <w:szCs w:val="16"/>
                <w:b w:val="1"/>
                <w:bCs w:val="1"/>
                <w:color w:val="04568A"/>
              </w:rPr>
              <w:t>$</w:t>
            </w:r>
          </w:p>
        </w:tc>
        <w:tc>
          <w:tcPr>
            <w:tcW w:w="1000" w:type="dxa"/>
            <w:vAlign w:val="bottom"/>
            <w:tcBorders>
              <w:bottom w:val="single" w:sz="8" w:color="04568A"/>
            </w:tcBorders>
          </w:tcPr>
          <w:p>
            <w:pPr>
              <w:jc w:val="right"/>
              <w:ind w:right="19"/>
              <w:spacing w:after="0"/>
              <w:rPr>
                <w:sz w:val="20"/>
                <w:szCs w:val="20"/>
                <w:color w:val="auto"/>
              </w:rPr>
            </w:pPr>
            <w:r>
              <w:rPr>
                <w:rFonts w:ascii="Arial" w:cs="Arial" w:eastAsia="Arial" w:hAnsi="Arial"/>
                <w:sz w:val="16"/>
                <w:szCs w:val="16"/>
                <w:b w:val="1"/>
                <w:bCs w:val="1"/>
                <w:color w:val="04568A"/>
              </w:rPr>
              <w:t>538,064</w:t>
            </w:r>
          </w:p>
        </w:tc>
      </w:tr>
    </w:tbl>
    <w:p>
      <w:pPr>
        <w:spacing w:after="0" w:line="72" w:lineRule="exact"/>
        <w:rPr>
          <w:sz w:val="20"/>
          <w:szCs w:val="20"/>
          <w:color w:val="auto"/>
        </w:rPr>
      </w:pPr>
    </w:p>
    <w:p>
      <w:pPr>
        <w:jc w:val="both"/>
        <w:ind w:left="340" w:hanging="332"/>
        <w:spacing w:after="0" w:line="254" w:lineRule="auto"/>
        <w:tabs>
          <w:tab w:leader="none" w:pos="340" w:val="left"/>
        </w:tabs>
        <w:numPr>
          <w:ilvl w:val="0"/>
          <w:numId w:val="49"/>
        </w:numPr>
        <w:rPr>
          <w:rFonts w:ascii="Arial" w:cs="Arial" w:eastAsia="Arial" w:hAnsi="Arial"/>
          <w:sz w:val="14"/>
          <w:szCs w:val="14"/>
          <w:i w:val="1"/>
          <w:iCs w:val="1"/>
          <w:color w:val="auto"/>
        </w:rPr>
      </w:pPr>
      <w:r>
        <w:rPr>
          <w:rFonts w:ascii="Arial" w:cs="Arial" w:eastAsia="Arial" w:hAnsi="Arial"/>
          <w:sz w:val="14"/>
          <w:szCs w:val="14"/>
          <w:i w:val="1"/>
          <w:iCs w:val="1"/>
          <w:color w:val="auto"/>
        </w:rPr>
        <w:t>Acquisition, site closure, and idle facility expenses primarily included (i) transaction and integration costs associated with the acquisition of Kashiv Specialty Pharmaceuticals, LLC; (ii) integration costs associated with the acquisition of AvKARE; (iii) site closure costs associated with the planned cessation of manufacturing at our Hauppauge, NY facility; (iv) transaction and integration costs associated with the acquisition of Puniska Healthcare Pvt. Ltd. and (v) site closure expenses associated with damage from Tropical Storm Ida to two of our facilities in New Jersey.</w:t>
      </w:r>
    </w:p>
    <w:p>
      <w:pPr>
        <w:spacing w:after="0" w:line="47" w:lineRule="exact"/>
        <w:rPr>
          <w:rFonts w:ascii="Arial" w:cs="Arial" w:eastAsia="Arial" w:hAnsi="Arial"/>
          <w:sz w:val="14"/>
          <w:szCs w:val="14"/>
          <w:i w:val="1"/>
          <w:iCs w:val="1"/>
          <w:color w:val="auto"/>
        </w:rPr>
      </w:pPr>
    </w:p>
    <w:p>
      <w:pPr>
        <w:ind w:left="340" w:hanging="332"/>
        <w:spacing w:after="0"/>
        <w:tabs>
          <w:tab w:leader="none" w:pos="340" w:val="left"/>
        </w:tabs>
        <w:numPr>
          <w:ilvl w:val="0"/>
          <w:numId w:val="49"/>
        </w:numPr>
        <w:rPr>
          <w:rFonts w:ascii="Arial" w:cs="Arial" w:eastAsia="Arial" w:hAnsi="Arial"/>
          <w:sz w:val="14"/>
          <w:szCs w:val="14"/>
          <w:i w:val="1"/>
          <w:iCs w:val="1"/>
          <w:color w:val="auto"/>
        </w:rPr>
      </w:pPr>
      <w:r>
        <w:rPr>
          <w:rFonts w:ascii="Arial" w:cs="Arial" w:eastAsia="Arial" w:hAnsi="Arial"/>
          <w:sz w:val="14"/>
          <w:szCs w:val="14"/>
          <w:i w:val="1"/>
          <w:iCs w:val="1"/>
          <w:color w:val="auto"/>
        </w:rPr>
        <w:t>Restructuring and other charges primarily consisted of cash severance charges associated with cost of benefits for former senior executives and management employees.</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49"/>
        </w:numPr>
        <w:rPr>
          <w:rFonts w:ascii="Arial" w:cs="Arial" w:eastAsia="Arial" w:hAnsi="Arial"/>
          <w:sz w:val="14"/>
          <w:szCs w:val="14"/>
          <w:i w:val="1"/>
          <w:iCs w:val="1"/>
          <w:color w:val="auto"/>
        </w:rPr>
      </w:pPr>
      <w:r>
        <w:rPr>
          <w:rFonts w:ascii="Arial" w:cs="Arial" w:eastAsia="Arial" w:hAnsi="Arial"/>
          <w:sz w:val="14"/>
          <w:szCs w:val="14"/>
          <w:i w:val="1"/>
          <w:iCs w:val="1"/>
          <w:color w:val="auto"/>
        </w:rPr>
        <w:t>Inventory related charges primarily represented inventory obsolescence and related expenses associated with recalls.</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49"/>
        </w:numPr>
        <w:rPr>
          <w:rFonts w:ascii="Arial" w:cs="Arial" w:eastAsia="Arial" w:hAnsi="Arial"/>
          <w:sz w:val="14"/>
          <w:szCs w:val="14"/>
          <w:i w:val="1"/>
          <w:iCs w:val="1"/>
          <w:color w:val="auto"/>
        </w:rPr>
      </w:pPr>
      <w:r>
        <w:rPr>
          <w:rFonts w:ascii="Arial" w:cs="Arial" w:eastAsia="Arial" w:hAnsi="Arial"/>
          <w:sz w:val="14"/>
          <w:szCs w:val="14"/>
          <w:i w:val="1"/>
          <w:iCs w:val="1"/>
          <w:color w:val="auto"/>
        </w:rPr>
        <w:t>Charges related to legal matters, net were primarily associated with legal claims in our Corporate segment.</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49"/>
        </w:numPr>
        <w:rPr>
          <w:rFonts w:ascii="Arial" w:cs="Arial" w:eastAsia="Arial" w:hAnsi="Arial"/>
          <w:sz w:val="14"/>
          <w:szCs w:val="14"/>
          <w:i w:val="1"/>
          <w:iCs w:val="1"/>
          <w:color w:val="auto"/>
        </w:rPr>
      </w:pPr>
      <w:r>
        <w:rPr>
          <w:rFonts w:ascii="Arial" w:cs="Arial" w:eastAsia="Arial" w:hAnsi="Arial"/>
          <w:sz w:val="14"/>
          <w:szCs w:val="14"/>
          <w:i w:val="1"/>
          <w:iCs w:val="1"/>
          <w:color w:val="auto"/>
        </w:rPr>
        <w:t>Asset impairment charges were primarily associated with the write-off of intangible assets and equipment, except for equipment discussed in (7) below.</w:t>
      </w:r>
    </w:p>
    <w:p>
      <w:pPr>
        <w:spacing w:after="0" w:line="82" w:lineRule="exact"/>
        <w:rPr>
          <w:rFonts w:ascii="Arial" w:cs="Arial" w:eastAsia="Arial" w:hAnsi="Arial"/>
          <w:sz w:val="14"/>
          <w:szCs w:val="14"/>
          <w:i w:val="1"/>
          <w:iCs w:val="1"/>
          <w:color w:val="auto"/>
        </w:rPr>
      </w:pPr>
    </w:p>
    <w:p>
      <w:pPr>
        <w:ind w:left="340" w:hanging="332"/>
        <w:spacing w:after="0"/>
        <w:tabs>
          <w:tab w:leader="none" w:pos="340" w:val="left"/>
        </w:tabs>
        <w:numPr>
          <w:ilvl w:val="0"/>
          <w:numId w:val="49"/>
        </w:numPr>
        <w:rPr>
          <w:rFonts w:ascii="Arial" w:cs="Arial" w:eastAsia="Arial" w:hAnsi="Arial"/>
          <w:sz w:val="14"/>
          <w:szCs w:val="14"/>
          <w:i w:val="1"/>
          <w:iCs w:val="1"/>
          <w:color w:val="auto"/>
        </w:rPr>
      </w:pPr>
      <w:r>
        <w:rPr>
          <w:rFonts w:ascii="Arial" w:cs="Arial" w:eastAsia="Arial" w:hAnsi="Arial"/>
          <w:sz w:val="14"/>
          <w:szCs w:val="14"/>
          <w:i w:val="1"/>
          <w:iCs w:val="1"/>
          <w:color w:val="auto"/>
        </w:rPr>
        <w:t>Contingent consideration was recorded in connection with the acquisition of Kashiv Specialty Pharmaceuticals, LLC.</w:t>
      </w:r>
    </w:p>
    <w:p>
      <w:pPr>
        <w:spacing w:after="0" w:line="82" w:lineRule="exact"/>
        <w:rPr>
          <w:rFonts w:ascii="Arial" w:cs="Arial" w:eastAsia="Arial" w:hAnsi="Arial"/>
          <w:sz w:val="14"/>
          <w:szCs w:val="14"/>
          <w:i w:val="1"/>
          <w:iCs w:val="1"/>
          <w:color w:val="auto"/>
        </w:rPr>
      </w:pPr>
    </w:p>
    <w:p>
      <w:pPr>
        <w:ind w:left="340" w:hanging="332"/>
        <w:spacing w:after="0" w:line="279" w:lineRule="auto"/>
        <w:tabs>
          <w:tab w:leader="none" w:pos="340" w:val="left"/>
        </w:tabs>
        <w:numPr>
          <w:ilvl w:val="0"/>
          <w:numId w:val="49"/>
        </w:numPr>
        <w:rPr>
          <w:rFonts w:ascii="Arial" w:cs="Arial" w:eastAsia="Arial" w:hAnsi="Arial"/>
          <w:sz w:val="14"/>
          <w:szCs w:val="14"/>
          <w:i w:val="1"/>
          <w:iCs w:val="1"/>
          <w:color w:val="auto"/>
        </w:rPr>
      </w:pPr>
      <w:r>
        <w:rPr>
          <w:rFonts w:ascii="Arial" w:cs="Arial" w:eastAsia="Arial" w:hAnsi="Arial"/>
          <w:sz w:val="14"/>
          <w:szCs w:val="14"/>
          <w:i w:val="1"/>
          <w:iCs w:val="1"/>
          <w:color w:val="auto"/>
        </w:rPr>
        <w:t>Property losses and related expenses, net were associated with damage from Tropical Storm Ida to two of our facilities in New Jersey, net of insurance recoveries. Expenses consisted of impairment of equipment and inventory, and repairs and maintenance and salaries and benefits.</w:t>
      </w:r>
    </w:p>
    <w:p>
      <w:pPr>
        <w:spacing w:after="0" w:line="130" w:lineRule="exact"/>
        <w:rPr>
          <w:sz w:val="20"/>
          <w:szCs w:val="20"/>
          <w:color w:val="auto"/>
        </w:rPr>
      </w:pPr>
    </w:p>
    <w:tbl>
      <w:tblPr>
        <w:tblLayout w:type="fixed"/>
        <w:tblInd w:w="0" w:type="dxa"/>
        <w:tblCellMar>
          <w:top w:w="0" w:type="dxa"/>
          <w:left w:w="0" w:type="dxa"/>
          <w:bottom w:w="0" w:type="dxa"/>
          <w:right w:w="0" w:type="dxa"/>
        </w:tblCellMar>
      </w:tblPr>
      <w:tr>
        <w:trPr>
          <w:trHeight w:val="113"/>
        </w:trPr>
        <w:tc>
          <w:tcPr>
            <w:tcW w:w="3220" w:type="dxa"/>
            <w:vAlign w:val="bottom"/>
            <w:tcBorders>
              <w:bottom w:val="single" w:sz="8" w:color="auto"/>
            </w:tcBorders>
          </w:tcPr>
          <w:p>
            <w:pPr>
              <w:spacing w:after="0"/>
              <w:rPr>
                <w:sz w:val="9"/>
                <w:szCs w:val="9"/>
                <w:color w:val="auto"/>
              </w:rPr>
            </w:pPr>
          </w:p>
        </w:tc>
        <w:tc>
          <w:tcPr>
            <w:tcW w:w="4800" w:type="dxa"/>
            <w:vAlign w:val="bottom"/>
            <w:vMerge w:val="restart"/>
          </w:tcPr>
          <w:p>
            <w:pPr>
              <w:ind w:left="40"/>
              <w:spacing w:after="0"/>
              <w:rPr>
                <w:sz w:val="20"/>
                <w:szCs w:val="20"/>
                <w:color w:val="auto"/>
              </w:rPr>
            </w:pPr>
            <w:r>
              <w:rPr>
                <w:rFonts w:ascii="Arial" w:cs="Arial" w:eastAsia="Arial" w:hAnsi="Arial"/>
                <w:sz w:val="16"/>
                <w:szCs w:val="16"/>
                <w:b w:val="1"/>
                <w:bCs w:val="1"/>
                <w:color w:val="04568A"/>
              </w:rPr>
              <w:t xml:space="preserve">AMNEAL </w:t>
            </w:r>
            <w:r>
              <w:rPr>
                <w:rFonts w:ascii="Arial" w:cs="Arial" w:eastAsia="Arial" w:hAnsi="Arial"/>
                <w:sz w:val="16"/>
                <w:szCs w:val="16"/>
                <w:b w:val="1"/>
                <w:bCs w:val="1"/>
                <w:color w:val="000000"/>
              </w:rPr>
              <w:t>PHARMACEUTICALS, INC. |</w:t>
            </w:r>
            <w:r>
              <w:rPr>
                <w:rFonts w:ascii="Arial" w:cs="Arial" w:eastAsia="Arial" w:hAnsi="Arial"/>
                <w:sz w:val="16"/>
                <w:szCs w:val="16"/>
                <w:b w:val="1"/>
                <w:bCs w:val="1"/>
                <w:color w:val="04568A"/>
              </w:rPr>
              <w:t xml:space="preserve"> 2022 </w:t>
            </w:r>
            <w:r>
              <w:rPr>
                <w:rFonts w:ascii="Arial" w:cs="Arial" w:eastAsia="Arial" w:hAnsi="Arial"/>
                <w:sz w:val="16"/>
                <w:szCs w:val="16"/>
                <w:b w:val="1"/>
                <w:bCs w:val="1"/>
                <w:color w:val="000000"/>
              </w:rPr>
              <w:t>Proxy Statement</w:t>
            </w:r>
          </w:p>
        </w:tc>
        <w:tc>
          <w:tcPr>
            <w:tcW w:w="2780" w:type="dxa"/>
            <w:vAlign w:val="bottom"/>
            <w:tcBorders>
              <w:bottom w:val="single" w:sz="8" w:color="auto"/>
            </w:tcBorders>
          </w:tcPr>
          <w:p>
            <w:pPr>
              <w:spacing w:after="0"/>
              <w:rPr>
                <w:sz w:val="9"/>
                <w:szCs w:val="9"/>
                <w:color w:val="auto"/>
              </w:rPr>
            </w:pPr>
          </w:p>
        </w:tc>
        <w:tc>
          <w:tcPr>
            <w:tcW w:w="44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69</w:t>
            </w:r>
          </w:p>
        </w:tc>
        <w:tc>
          <w:tcPr>
            <w:tcW w:w="0" w:type="dxa"/>
            <w:vAlign w:val="bottom"/>
          </w:tcPr>
          <w:p>
            <w:pPr>
              <w:spacing w:after="0"/>
              <w:rPr>
                <w:sz w:val="1"/>
                <w:szCs w:val="1"/>
                <w:color w:val="auto"/>
              </w:rPr>
            </w:pPr>
          </w:p>
        </w:tc>
      </w:tr>
      <w:tr>
        <w:trPr>
          <w:trHeight w:val="82"/>
        </w:trPr>
        <w:tc>
          <w:tcPr>
            <w:tcW w:w="3220" w:type="dxa"/>
            <w:vAlign w:val="bottom"/>
          </w:tcPr>
          <w:p>
            <w:pPr>
              <w:spacing w:after="0"/>
              <w:rPr>
                <w:sz w:val="7"/>
                <w:szCs w:val="7"/>
                <w:color w:val="auto"/>
              </w:rPr>
            </w:pPr>
          </w:p>
        </w:tc>
        <w:tc>
          <w:tcPr>
            <w:tcW w:w="480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8"/>
        </w:trPr>
        <w:tc>
          <w:tcPr>
            <w:tcW w:w="3220" w:type="dxa"/>
            <w:vAlign w:val="bottom"/>
            <w:tcBorders>
              <w:bottom w:val="single" w:sz="8" w:color="C0C0C0"/>
            </w:tcBorders>
          </w:tcPr>
          <w:p>
            <w:pPr>
              <w:spacing w:after="0"/>
              <w:rPr>
                <w:sz w:val="24"/>
                <w:szCs w:val="24"/>
                <w:color w:val="auto"/>
              </w:rPr>
            </w:pPr>
          </w:p>
        </w:tc>
        <w:tc>
          <w:tcPr>
            <w:tcW w:w="4800" w:type="dxa"/>
            <w:vAlign w:val="bottom"/>
            <w:tcBorders>
              <w:bottom w:val="single" w:sz="8" w:color="C0C0C0"/>
            </w:tcBorders>
          </w:tcPr>
          <w:p>
            <w:pPr>
              <w:spacing w:after="0"/>
              <w:rPr>
                <w:sz w:val="24"/>
                <w:szCs w:val="24"/>
                <w:color w:val="auto"/>
              </w:rPr>
            </w:pPr>
          </w:p>
        </w:tc>
        <w:tc>
          <w:tcPr>
            <w:tcW w:w="2780" w:type="dxa"/>
            <w:vAlign w:val="bottom"/>
            <w:tcBorders>
              <w:bottom w:val="single" w:sz="8" w:color="C0C0C0"/>
            </w:tcBorders>
          </w:tcPr>
          <w:p>
            <w:pPr>
              <w:spacing w:after="0"/>
              <w:rPr>
                <w:sz w:val="24"/>
                <w:szCs w:val="24"/>
                <w:color w:val="auto"/>
              </w:rPr>
            </w:pPr>
          </w:p>
        </w:tc>
        <w:tc>
          <w:tcPr>
            <w:tcW w:w="440" w:type="dxa"/>
            <w:vAlign w:val="bottom"/>
            <w:tcBorders>
              <w:bottom w:val="single" w:sz="8" w:color="C0C0C0"/>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234" w:right="339" w:bottom="1440" w:gutter="0" w:footer="0" w:header="0"/>
        </w:sectPr>
      </w:pPr>
    </w:p>
    <w:bookmarkStart w:id="70" w:name="page71"/>
    <w:bookmarkEnd w:id="70"/>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120650</wp:posOffset>
            </wp:positionV>
            <wp:extent cx="7132320" cy="850392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32320" cy="8503920"/>
                    </a:xfrm>
                    <a:prstGeom prst="rect">
                      <a:avLst/>
                    </a:prstGeom>
                    <a:noFill/>
                  </pic:spPr>
                </pic:pic>
              </a:graphicData>
            </a:graphic>
          </wp:anchor>
        </w:drawing>
      </w:r>
    </w:p>
    <w:p>
      <w:pPr>
        <w:sectPr>
          <w:pgSz w:w="11900" w:h="16838" w:orient="portrait"/>
          <w:cols w:equalWidth="0" w:num="1">
            <w:col w:w="10139"/>
          </w:cols>
          <w:pgMar w:left="320" w:top="234" w:right="1440" w:bottom="1440" w:gutter="0" w:footer="0" w:header="0"/>
        </w:sectPr>
      </w:pPr>
    </w:p>
    <w:bookmarkStart w:id="71" w:name="page72"/>
    <w:bookmarkEnd w:id="71"/>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120650</wp:posOffset>
            </wp:positionV>
            <wp:extent cx="7132320" cy="884682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32320" cy="8846820"/>
                    </a:xfrm>
                    <a:prstGeom prst="rect">
                      <a:avLst/>
                    </a:prstGeom>
                    <a:noFill/>
                  </pic:spPr>
                </pic:pic>
              </a:graphicData>
            </a:graphic>
          </wp:anchor>
        </w:drawing>
      </w:r>
    </w:p>
    <w:p>
      <w:pPr>
        <w:sectPr>
          <w:pgSz w:w="11900" w:h="16838" w:orient="portrait"/>
          <w:cols w:equalWidth="0" w:num="1">
            <w:col w:w="10139"/>
          </w:cols>
          <w:pgMar w:left="320" w:top="234" w:right="1440" w:bottom="1440" w:gutter="0" w:footer="0" w:header="0"/>
        </w:sectPr>
      </w:pPr>
    </w:p>
    <w:bookmarkStart w:id="72" w:name="page73"/>
    <w:bookmarkEnd w:id="72"/>
    <w:p>
      <w:pPr>
        <w:spacing w:after="0"/>
        <w:rPr>
          <w:rFonts w:ascii="Arial" w:cs="Arial" w:eastAsia="Arial" w:hAnsi="Arial"/>
          <w:sz w:val="14"/>
          <w:szCs w:val="14"/>
          <w:b w:val="1"/>
          <w:bCs w:val="1"/>
          <w:u w:val="single" w:color="auto"/>
          <w:color w:val="0000EE"/>
        </w:rPr>
      </w:pPr>
      <w:hyperlink w:anchor="page7">
        <w:r>
          <w:rPr>
            <w:rFonts w:ascii="Arial" w:cs="Arial" w:eastAsia="Arial" w:hAnsi="Arial"/>
            <w:sz w:val="14"/>
            <w:szCs w:val="14"/>
            <w:b w:val="1"/>
            <w:bCs w:val="1"/>
            <w:u w:val="single" w:color="auto"/>
            <w:color w:val="0000EE"/>
          </w:rPr>
          <w:t>Back to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120650</wp:posOffset>
            </wp:positionV>
            <wp:extent cx="7132320" cy="877824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32320" cy="8778240"/>
                    </a:xfrm>
                    <a:prstGeom prst="rect">
                      <a:avLst/>
                    </a:prstGeom>
                    <a:noFill/>
                  </pic:spPr>
                </pic:pic>
              </a:graphicData>
            </a:graphic>
          </wp:anchor>
        </w:drawing>
      </w:r>
    </w:p>
    <w:sectPr>
      <w:pgSz w:w="11900" w:h="16838" w:orient="portrait"/>
      <w:cols w:equalWidth="0" w:num="1">
        <w:col w:w="10139"/>
      </w:cols>
      <w:pgMar w:left="320" w:top="234"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79838CB2"/>
    <w:multiLevelType w:val="hybridMultilevel"/>
    <w:lvl w:ilvl="0">
      <w:lvlJc w:val="left"/>
      <w:lvlText w:val="%1."/>
      <w:numFmt w:val="decimal"/>
      <w:start w:val="1"/>
    </w:lvl>
  </w:abstractNum>
  <w:abstractNum w:abstractNumId="1">
    <w:nsid w:val="4353D0CD"/>
    <w:multiLevelType w:val="hybridMultilevel"/>
    <w:lvl w:ilvl="0">
      <w:lvlJc w:val="left"/>
      <w:lvlText w:val="•"/>
      <w:numFmt w:val="bullet"/>
      <w:start w:val="1"/>
    </w:lvl>
  </w:abstractNum>
  <w:abstractNum w:abstractNumId="2">
    <w:nsid w:val="B03E0C6"/>
    <w:multiLevelType w:val="hybridMultilevel"/>
    <w:lvl w:ilvl="0">
      <w:lvlJc w:val="left"/>
      <w:lvlText w:val="•"/>
      <w:numFmt w:val="bullet"/>
      <w:start w:val="1"/>
    </w:lvl>
  </w:abstractNum>
  <w:abstractNum w:abstractNumId="3">
    <w:nsid w:val="189A769B"/>
    <w:multiLevelType w:val="hybridMultilevel"/>
    <w:lvl w:ilvl="0">
      <w:lvlJc w:val="left"/>
      <w:lvlText w:val="•"/>
      <w:numFmt w:val="bullet"/>
      <w:start w:val="1"/>
    </w:lvl>
    <w:lvl w:ilvl="1">
      <w:lvlJc w:val="left"/>
      <w:lvlText w:val="•"/>
      <w:numFmt w:val="bullet"/>
      <w:start w:val="1"/>
    </w:lvl>
  </w:abstractNum>
  <w:abstractNum w:abstractNumId="4">
    <w:nsid w:val="54E49EB4"/>
    <w:multiLevelType w:val="hybridMultilevel"/>
    <w:lvl w:ilvl="0">
      <w:lvlJc w:val="left"/>
      <w:lvlText w:val="•"/>
      <w:numFmt w:val="bullet"/>
      <w:start w:val="1"/>
    </w:lvl>
  </w:abstractNum>
  <w:abstractNum w:abstractNumId="5">
    <w:nsid w:val="71F32454"/>
    <w:multiLevelType w:val="hybridMultilevel"/>
    <w:lvl w:ilvl="0">
      <w:lvlJc w:val="left"/>
      <w:lvlText w:val="•"/>
      <w:numFmt w:val="bullet"/>
      <w:start w:val="1"/>
    </w:lvl>
  </w:abstractNum>
  <w:abstractNum w:abstractNumId="6">
    <w:nsid w:val="2CA88611"/>
    <w:multiLevelType w:val="hybridMultilevel"/>
    <w:lvl w:ilvl="0">
      <w:lvlJc w:val="left"/>
      <w:lvlText w:val="•"/>
      <w:numFmt w:val="bullet"/>
      <w:start w:val="1"/>
    </w:lvl>
  </w:abstractNum>
  <w:abstractNum w:abstractNumId="7">
    <w:nsid w:val="836C40E"/>
    <w:multiLevelType w:val="hybridMultilevel"/>
    <w:lvl w:ilvl="0">
      <w:lvlJc w:val="left"/>
      <w:lvlText w:val="•"/>
      <w:numFmt w:val="bullet"/>
      <w:start w:val="1"/>
    </w:lvl>
  </w:abstractNum>
  <w:abstractNum w:abstractNumId="8">
    <w:nsid w:val="2901D82"/>
    <w:multiLevelType w:val="hybridMultilevel"/>
    <w:lvl w:ilvl="0">
      <w:lvlJc w:val="left"/>
      <w:lvlText w:val="•"/>
      <w:numFmt w:val="bullet"/>
      <w:start w:val="1"/>
    </w:lvl>
  </w:abstractNum>
  <w:abstractNum w:abstractNumId="9">
    <w:nsid w:val="3A95F874"/>
    <w:multiLevelType w:val="hybridMultilevel"/>
    <w:lvl w:ilvl="0">
      <w:lvlJc w:val="left"/>
      <w:lvlText w:val="•"/>
      <w:numFmt w:val="bullet"/>
      <w:start w:val="1"/>
    </w:lvl>
  </w:abstractNum>
  <w:abstractNum w:abstractNumId="10">
    <w:nsid w:val="8138641"/>
    <w:multiLevelType w:val="hybridMultilevel"/>
    <w:lvl w:ilvl="0">
      <w:lvlJc w:val="left"/>
      <w:lvlText w:val="•"/>
      <w:numFmt w:val="bullet"/>
      <w:start w:val="1"/>
    </w:lvl>
  </w:abstractNum>
  <w:abstractNum w:abstractNumId="11">
    <w:nsid w:val="1E7FF521"/>
    <w:multiLevelType w:val="hybridMultilevel"/>
    <w:lvl w:ilvl="0">
      <w:lvlJc w:val="left"/>
      <w:lvlText w:val="•"/>
      <w:numFmt w:val="bullet"/>
      <w:start w:val="1"/>
    </w:lvl>
  </w:abstractNum>
  <w:abstractNum w:abstractNumId="12">
    <w:nsid w:val="7C3DBD3D"/>
    <w:multiLevelType w:val="hybridMultilevel"/>
    <w:lvl w:ilvl="0">
      <w:lvlJc w:val="left"/>
      <w:lvlText w:val="•"/>
      <w:numFmt w:val="bullet"/>
      <w:start w:val="1"/>
    </w:lvl>
  </w:abstractNum>
  <w:abstractNum w:abstractNumId="13">
    <w:nsid w:val="737B8DDC"/>
    <w:multiLevelType w:val="hybridMultilevel"/>
    <w:lvl w:ilvl="0">
      <w:lvlJc w:val="left"/>
      <w:lvlText w:val="(%1)"/>
      <w:numFmt w:val="decimal"/>
      <w:start w:val="1"/>
    </w:lvl>
  </w:abstractNum>
  <w:abstractNum w:abstractNumId="14">
    <w:nsid w:val="6CEAF087"/>
    <w:multiLevelType w:val="hybridMultilevel"/>
    <w:lvl w:ilvl="0">
      <w:lvlJc w:val="left"/>
      <w:lvlText w:val="•"/>
      <w:numFmt w:val="bullet"/>
      <w:start w:val="1"/>
    </w:lvl>
  </w:abstractNum>
  <w:abstractNum w:abstractNumId="15">
    <w:nsid w:val="22221A70"/>
    <w:multiLevelType w:val="hybridMultilevel"/>
    <w:lvl w:ilvl="0">
      <w:lvlJc w:val="left"/>
      <w:lvlText w:val="•"/>
      <w:numFmt w:val="bullet"/>
      <w:start w:val="1"/>
    </w:lvl>
  </w:abstractNum>
  <w:abstractNum w:abstractNumId="16">
    <w:nsid w:val="4516DDE9"/>
    <w:multiLevelType w:val="hybridMultilevel"/>
    <w:lvl w:ilvl="0">
      <w:lvlJc w:val="left"/>
      <w:lvlText w:val="•"/>
      <w:numFmt w:val="bullet"/>
      <w:start w:val="1"/>
    </w:lvl>
  </w:abstractNum>
  <w:abstractNum w:abstractNumId="17">
    <w:nsid w:val="3006C83E"/>
    <w:multiLevelType w:val="hybridMultilevel"/>
    <w:lvl w:ilvl="0">
      <w:lvlJc w:val="left"/>
      <w:lvlText w:val="•"/>
      <w:numFmt w:val="bullet"/>
      <w:start w:val="1"/>
    </w:lvl>
  </w:abstractNum>
  <w:abstractNum w:abstractNumId="18">
    <w:nsid w:val="614FD4A1"/>
    <w:multiLevelType w:val="hybridMultilevel"/>
    <w:lvl w:ilvl="0">
      <w:lvlJc w:val="left"/>
      <w:lvlText w:val="•"/>
      <w:numFmt w:val="bullet"/>
      <w:start w:val="1"/>
    </w:lvl>
  </w:abstractNum>
  <w:abstractNum w:abstractNumId="19">
    <w:nsid w:val="419AC241"/>
    <w:multiLevelType w:val="hybridMultilevel"/>
    <w:lvl w:ilvl="0">
      <w:lvlJc w:val="left"/>
      <w:lvlText w:val="•"/>
      <w:numFmt w:val="bullet"/>
      <w:start w:val="1"/>
    </w:lvl>
  </w:abstractNum>
  <w:abstractNum w:abstractNumId="20">
    <w:nsid w:val="5577F8E1"/>
    <w:multiLevelType w:val="hybridMultilevel"/>
    <w:lvl w:ilvl="0">
      <w:lvlJc w:val="left"/>
      <w:lvlText w:val="•"/>
      <w:numFmt w:val="bullet"/>
      <w:start w:val="1"/>
    </w:lvl>
  </w:abstractNum>
  <w:abstractNum w:abstractNumId="21">
    <w:nsid w:val="440BADFC"/>
    <w:multiLevelType w:val="hybridMultilevel"/>
    <w:lvl w:ilvl="0">
      <w:lvlJc w:val="left"/>
      <w:lvlText w:val="•"/>
      <w:numFmt w:val="bullet"/>
      <w:start w:val="1"/>
    </w:lvl>
  </w:abstractNum>
  <w:abstractNum w:abstractNumId="22">
    <w:nsid w:val="5072367"/>
    <w:multiLevelType w:val="hybridMultilevel"/>
    <w:lvl w:ilvl="0">
      <w:lvlJc w:val="left"/>
      <w:lvlText w:val="•"/>
      <w:numFmt w:val="bullet"/>
      <w:start w:val="1"/>
    </w:lvl>
  </w:abstractNum>
  <w:abstractNum w:abstractNumId="23">
    <w:nsid w:val="3804823E"/>
    <w:multiLevelType w:val="hybridMultilevel"/>
    <w:lvl w:ilvl="0">
      <w:lvlJc w:val="left"/>
      <w:lvlText w:val="•"/>
      <w:numFmt w:val="bullet"/>
      <w:start w:val="1"/>
    </w:lvl>
  </w:abstractNum>
  <w:abstractNum w:abstractNumId="24">
    <w:nsid w:val="77465F01"/>
    <w:multiLevelType w:val="hybridMultilevel"/>
    <w:lvl w:ilvl="0">
      <w:lvlJc w:val="left"/>
      <w:lvlText w:val="•"/>
      <w:numFmt w:val="bullet"/>
      <w:start w:val="1"/>
    </w:lvl>
  </w:abstractNum>
  <w:abstractNum w:abstractNumId="25">
    <w:nsid w:val="7724C67E"/>
    <w:multiLevelType w:val="hybridMultilevel"/>
    <w:lvl w:ilvl="0">
      <w:lvlJc w:val="left"/>
      <w:lvlText w:val="•"/>
      <w:numFmt w:val="bullet"/>
      <w:start w:val="1"/>
    </w:lvl>
  </w:abstractNum>
  <w:abstractNum w:abstractNumId="26">
    <w:nsid w:val="5C482A97"/>
    <w:multiLevelType w:val="hybridMultilevel"/>
    <w:lvl w:ilvl="0">
      <w:lvlJc w:val="left"/>
      <w:lvlText w:val="*"/>
      <w:numFmt w:val="bullet"/>
      <w:start w:val="1"/>
    </w:lvl>
  </w:abstractNum>
  <w:abstractNum w:abstractNumId="27">
    <w:nsid w:val="2463B9EA"/>
    <w:multiLevelType w:val="hybridMultilevel"/>
    <w:lvl w:ilvl="0">
      <w:lvlJc w:val="left"/>
      <w:lvlText w:val="•"/>
      <w:numFmt w:val="bullet"/>
      <w:start w:val="1"/>
    </w:lvl>
  </w:abstractNum>
  <w:abstractNum w:abstractNumId="28">
    <w:nsid w:val="5E884ADC"/>
    <w:multiLevelType w:val="hybridMultilevel"/>
    <w:lvl w:ilvl="0">
      <w:lvlJc w:val="left"/>
      <w:lvlText w:val="•"/>
      <w:numFmt w:val="bullet"/>
      <w:start w:val="1"/>
    </w:lvl>
  </w:abstractNum>
  <w:abstractNum w:abstractNumId="29">
    <w:nsid w:val="51EAD36B"/>
    <w:multiLevelType w:val="hybridMultilevel"/>
    <w:lvl w:ilvl="0">
      <w:lvlJc w:val="left"/>
      <w:lvlText w:val="•"/>
      <w:numFmt w:val="bullet"/>
      <w:start w:val="1"/>
    </w:lvl>
  </w:abstractNum>
  <w:abstractNum w:abstractNumId="30">
    <w:nsid w:val="2D517796"/>
    <w:multiLevelType w:val="hybridMultilevel"/>
    <w:lvl w:ilvl="0">
      <w:lvlJc w:val="left"/>
      <w:lvlText w:val="(%1)"/>
      <w:numFmt w:val="decimal"/>
      <w:start w:val="1"/>
    </w:lvl>
  </w:abstractNum>
  <w:abstractNum w:abstractNumId="31">
    <w:nsid w:val="580BD78F"/>
    <w:multiLevelType w:val="hybridMultilevel"/>
    <w:lvl w:ilvl="0">
      <w:lvlJc w:val="left"/>
      <w:lvlText w:val="(%1)"/>
      <w:numFmt w:val="decimal"/>
      <w:start w:val="1"/>
    </w:lvl>
  </w:abstractNum>
  <w:abstractNum w:abstractNumId="32">
    <w:nsid w:val="153EA438"/>
    <w:multiLevelType w:val="hybridMultilevel"/>
    <w:lvl w:ilvl="0">
      <w:lvlJc w:val="left"/>
      <w:lvlText w:val="(%1)"/>
      <w:numFmt w:val="decimal"/>
      <w:start w:val="1"/>
    </w:lvl>
  </w:abstractNum>
  <w:abstractNum w:abstractNumId="33">
    <w:nsid w:val="3855585C"/>
    <w:multiLevelType w:val="hybridMultilevel"/>
    <w:lvl w:ilvl="0">
      <w:lvlJc w:val="left"/>
      <w:lvlText w:val="(%1)"/>
      <w:numFmt w:val="decimal"/>
      <w:start w:val="1"/>
    </w:lvl>
  </w:abstractNum>
  <w:abstractNum w:abstractNumId="34">
    <w:nsid w:val="70A64E2A"/>
    <w:multiLevelType w:val="hybridMultilevel"/>
    <w:lvl w:ilvl="0">
      <w:lvlJc w:val="left"/>
      <w:lvlText w:val="(%1)"/>
      <w:numFmt w:val="decimal"/>
      <w:start w:val="1"/>
    </w:lvl>
  </w:abstractNum>
  <w:abstractNum w:abstractNumId="35">
    <w:nsid w:val="6A2342EC"/>
    <w:multiLevelType w:val="hybridMultilevel"/>
    <w:lvl w:ilvl="0">
      <w:lvlJc w:val="left"/>
      <w:lvlText w:val="(%1)"/>
      <w:numFmt w:val="decimal"/>
      <w:start w:val="11"/>
    </w:lvl>
  </w:abstractNum>
  <w:abstractNum w:abstractNumId="36">
    <w:nsid w:val="2A487CB0"/>
    <w:multiLevelType w:val="hybridMultilevel"/>
    <w:lvl w:ilvl="0">
      <w:lvlJc w:val="left"/>
      <w:lvlText w:val="(%1)"/>
      <w:numFmt w:val="decimal"/>
      <w:start w:val="1"/>
    </w:lvl>
  </w:abstractNum>
  <w:abstractNum w:abstractNumId="37">
    <w:nsid w:val="1D4ED43B"/>
    <w:multiLevelType w:val="hybridMultilevel"/>
    <w:lvl w:ilvl="0">
      <w:lvlJc w:val="left"/>
      <w:lvlText w:val="(%1)"/>
      <w:numFmt w:val="decimal"/>
      <w:start w:val="2"/>
    </w:lvl>
  </w:abstractNum>
  <w:abstractNum w:abstractNumId="38">
    <w:nsid w:val="725A06FB"/>
    <w:multiLevelType w:val="hybridMultilevel"/>
    <w:lvl w:ilvl="0">
      <w:lvlJc w:val="left"/>
      <w:lvlText w:val="(%1)"/>
      <w:numFmt w:val="lowerRoman"/>
      <w:start w:val="10"/>
    </w:lvl>
  </w:abstractNum>
  <w:abstractNum w:abstractNumId="39">
    <w:nsid w:val="2CD89A32"/>
    <w:multiLevelType w:val="hybridMultilevel"/>
    <w:lvl w:ilvl="0">
      <w:lvlJc w:val="left"/>
      <w:lvlText w:val="(%1)"/>
      <w:numFmt w:val="decimal"/>
      <w:start w:val="1"/>
    </w:lvl>
  </w:abstractNum>
  <w:abstractNum w:abstractNumId="40">
    <w:nsid w:val="57E4CCAF"/>
    <w:multiLevelType w:val="hybridMultilevel"/>
    <w:lvl w:ilvl="0">
      <w:lvlJc w:val="left"/>
      <w:lvlText w:val="•"/>
      <w:numFmt w:val="bullet"/>
      <w:start w:val="1"/>
    </w:lvl>
  </w:abstractNum>
  <w:abstractNum w:abstractNumId="41">
    <w:nsid w:val="7A6D8D3C"/>
    <w:multiLevelType w:val="hybridMultilevel"/>
    <w:lvl w:ilvl="0">
      <w:lvlJc w:val="left"/>
      <w:lvlText w:val="*"/>
      <w:numFmt w:val="bullet"/>
      <w:start w:val="1"/>
    </w:lvl>
  </w:abstractNum>
  <w:abstractNum w:abstractNumId="42">
    <w:nsid w:val="4B588F54"/>
    <w:multiLevelType w:val="hybridMultilevel"/>
    <w:lvl w:ilvl="0">
      <w:lvlJc w:val="left"/>
      <w:lvlText w:val="(%1)"/>
      <w:numFmt w:val="decimal"/>
      <w:start w:val="1"/>
    </w:lvl>
  </w:abstractNum>
  <w:abstractNum w:abstractNumId="43">
    <w:nsid w:val="542289EC"/>
    <w:multiLevelType w:val="hybridMultilevel"/>
    <w:lvl w:ilvl="0">
      <w:lvlJc w:val="left"/>
      <w:lvlText w:val="•"/>
      <w:numFmt w:val="bullet"/>
      <w:start w:val="1"/>
    </w:lvl>
    <w:lvl w:ilvl="1">
      <w:lvlJc w:val="left"/>
      <w:lvlText w:val="•"/>
      <w:numFmt w:val="bullet"/>
      <w:start w:val="1"/>
    </w:lvl>
  </w:abstractNum>
  <w:abstractNum w:abstractNumId="44">
    <w:nsid w:val="6DE91B18"/>
    <w:multiLevelType w:val="hybridMultilevel"/>
    <w:lvl w:ilvl="0">
      <w:lvlJc w:val="left"/>
      <w:lvlText w:val="•"/>
      <w:numFmt w:val="bullet"/>
      <w:start w:val="1"/>
    </w:lvl>
  </w:abstractNum>
  <w:abstractNum w:abstractNumId="45">
    <w:nsid w:val="38437FDB"/>
    <w:multiLevelType w:val="hybridMultilevel"/>
    <w:lvl w:ilvl="0">
      <w:lvlJc w:val="left"/>
      <w:lvlText w:val="•"/>
      <w:numFmt w:val="bullet"/>
      <w:start w:val="1"/>
    </w:lvl>
  </w:abstractNum>
  <w:abstractNum w:abstractNumId="46">
    <w:nsid w:val="7644A45C"/>
    <w:multiLevelType w:val="hybridMultilevel"/>
    <w:lvl w:ilvl="0">
      <w:lvlJc w:val="left"/>
      <w:lvlText w:val="•"/>
      <w:numFmt w:val="bullet"/>
      <w:start w:val="1"/>
    </w:lvl>
  </w:abstractNum>
  <w:abstractNum w:abstractNumId="47">
    <w:nsid w:val="32FFF902"/>
    <w:multiLevelType w:val="hybridMultilevel"/>
    <w:lvl w:ilvl="0">
      <w:lvlJc w:val="left"/>
      <w:lvlText w:val="(%1)"/>
      <w:numFmt w:val="decimal"/>
      <w:start w:val="1"/>
    </w:lvl>
  </w:abstractNum>
  <w:abstractNum w:abstractNumId="48">
    <w:nsid w:val="684A481A"/>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jpe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jpe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jpe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2022-03-25T07:03:45Z</dcterms:created>
  <dcterms:modified xsi:type="dcterms:W3CDTF">2022-03-25T07:03:45Z</dcterms:modified>
</cp:coreProperties>
</file>