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SEC Form 4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1"/>
          <w:szCs w:val="11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31115</wp:posOffset>
            </wp:positionH>
            <wp:positionV relativeFrom="paragraph">
              <wp:posOffset>-224790</wp:posOffset>
            </wp:positionV>
            <wp:extent cx="126365" cy="1263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6200" w:type="dxa"/>
            <w:vAlign w:val="bottom"/>
          </w:tcPr>
          <w:p>
            <w:pPr>
              <w:jc w:val="center"/>
              <w:ind w:right="2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8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00" w:type="dxa"/>
            <w:vAlign w:val="bottom"/>
            <w:vMerge w:val="restart"/>
          </w:tcPr>
          <w:p>
            <w:pPr>
              <w:jc w:val="center"/>
              <w:ind w:right="299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62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6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00" w:type="dxa"/>
            <w:vAlign w:val="bottom"/>
            <w:vMerge w:val="restart"/>
          </w:tcPr>
          <w:p>
            <w:pPr>
              <w:jc w:val="center"/>
              <w:ind w:right="299"/>
              <w:spacing w:after="0" w:line="18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8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6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OMB Number: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6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6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Estimated average burden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6200" w:type="dxa"/>
            <w:vAlign w:val="bottom"/>
            <w:vMerge w:val="restart"/>
          </w:tcPr>
          <w:p>
            <w:pPr>
              <w:jc w:val="center"/>
              <w:ind w:right="2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hours per response: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2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5243830</wp:posOffset>
            </wp:positionH>
            <wp:positionV relativeFrom="paragraph">
              <wp:posOffset>-583565</wp:posOffset>
            </wp:positionV>
            <wp:extent cx="7620" cy="5842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3933190</wp:posOffset>
            </wp:positionH>
            <wp:positionV relativeFrom="paragraph">
              <wp:posOffset>-591820</wp:posOffset>
            </wp:positionV>
            <wp:extent cx="7620" cy="5924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5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3956685</wp:posOffset>
            </wp:positionH>
            <wp:positionV relativeFrom="paragraph">
              <wp:posOffset>-567690</wp:posOffset>
            </wp:positionV>
            <wp:extent cx="1271270" cy="5448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54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-1689100</wp:posOffset>
            </wp:positionH>
            <wp:positionV relativeFrom="paragraph">
              <wp:posOffset>31115</wp:posOffset>
            </wp:positionV>
            <wp:extent cx="6972935" cy="16821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935" cy="168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180" w:space="480"/>
            <w:col w:w="8420"/>
          </w:cols>
          <w:pgMar w:left="460" w:top="220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1. Name and Address of Reporting Person</w:t>
      </w:r>
      <w:r>
        <w:rPr>
          <w:rFonts w:ascii="Arial" w:cs="Arial" w:eastAsia="Arial" w:hAnsi="Arial"/>
          <w:sz w:val="20"/>
          <w:szCs w:val="20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0"/>
          <w:szCs w:val="20"/>
          <w:u w:val="single" w:color="auto"/>
          <w:color w:val="0000EE"/>
        </w:rPr>
      </w:pPr>
      <w:hyperlink r:id="rId13">
        <w:r>
          <w:rPr>
            <w:rFonts w:ascii="Arial" w:cs="Arial" w:eastAsia="Arial" w:hAnsi="Arial"/>
            <w:sz w:val="20"/>
            <w:szCs w:val="20"/>
            <w:u w:val="single" w:color="auto"/>
            <w:color w:val="0000EE"/>
          </w:rPr>
          <w:t>Patel Chirag K.</w:t>
        </w:r>
      </w:hyperlink>
    </w:p>
    <w:p>
      <w:pPr>
        <w:spacing w:after="0" w:line="295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5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C/O AMNEAL PHARMACEUTICALS, INC.</w:t>
      </w:r>
    </w:p>
    <w:p>
      <w:pPr>
        <w:spacing w:after="0" w:line="76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400 CROSSING BOULEVARD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2. Issuer Name 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18"/>
          <w:szCs w:val="18"/>
          <w:color w:val="0000EE"/>
        </w:rPr>
      </w:pPr>
      <w:hyperlink r:id="rId14">
        <w:r>
          <w:rPr>
            <w:rFonts w:ascii="Arial" w:cs="Arial" w:eastAsia="Arial" w:hAnsi="Arial"/>
            <w:sz w:val="18"/>
            <w:szCs w:val="18"/>
            <w:u w:val="single" w:color="auto"/>
            <w:color w:val="0000EE"/>
          </w:rPr>
          <w:t>Amneal Pharmaceuticals, Inc.</w:t>
        </w:r>
        <w:r>
          <w:rPr>
            <w:rFonts w:ascii="Arial" w:cs="Arial" w:eastAsia="Arial" w:hAnsi="Arial"/>
            <w:sz w:val="18"/>
            <w:szCs w:val="18"/>
            <w:color w:val="0000EE"/>
          </w:rPr>
          <w:t xml:space="preserve"> </w:t>
        </w:r>
      </w:hyperlink>
      <w:r>
        <w:rPr>
          <w:rFonts w:ascii="Arial" w:cs="Arial" w:eastAsia="Arial" w:hAnsi="Arial"/>
          <w:sz w:val="18"/>
          <w:szCs w:val="18"/>
          <w:color w:val="000000"/>
        </w:rPr>
        <w:t>[</w:t>
      </w:r>
      <w:r>
        <w:rPr>
          <w:rFonts w:ascii="Arial" w:cs="Arial" w:eastAsia="Arial" w:hAnsi="Arial"/>
          <w:sz w:val="18"/>
          <w:szCs w:val="18"/>
          <w:color w:val="0000EE"/>
        </w:rPr>
        <w:t xml:space="preserve"> </w:t>
      </w:r>
      <w:r>
        <w:rPr>
          <w:rFonts w:ascii="Arial" w:cs="Arial" w:eastAsia="Arial" w:hAnsi="Arial"/>
          <w:sz w:val="14"/>
          <w:szCs w:val="14"/>
          <w:color w:val="0000FF"/>
        </w:rPr>
        <w:t>AMRX</w:t>
      </w:r>
      <w:r>
        <w:rPr>
          <w:rFonts w:ascii="Arial" w:cs="Arial" w:eastAsia="Arial" w:hAnsi="Arial"/>
          <w:sz w:val="18"/>
          <w:szCs w:val="18"/>
          <w:color w:val="0000EE"/>
        </w:rPr>
        <w:t xml:space="preserve"> </w:t>
      </w:r>
      <w:r>
        <w:rPr>
          <w:rFonts w:ascii="Arial" w:cs="Arial" w:eastAsia="Arial" w:hAnsi="Arial"/>
          <w:sz w:val="18"/>
          <w:szCs w:val="18"/>
          <w:color w:val="000000"/>
        </w:rPr>
        <w:t>]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03/01/2021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5" w:right="720" w:hanging="5"/>
        <w:spacing w:after="0" w:line="256" w:lineRule="auto"/>
        <w:tabs>
          <w:tab w:leader="none" w:pos="14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Relationship of Reporting Person(s) to Issuer (Check all applicable)</w:t>
      </w:r>
    </w:p>
    <w:p>
      <w:pPr>
        <w:spacing w:after="0" w:line="8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6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X</w:t>
            </w:r>
          </w:p>
        </w:tc>
        <w:tc>
          <w:tcPr>
            <w:tcW w:w="1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Director</w:t>
            </w:r>
          </w:p>
        </w:tc>
        <w:tc>
          <w:tcPr>
            <w:tcW w:w="11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X</w:t>
            </w:r>
          </w:p>
        </w:tc>
        <w:tc>
          <w:tcPr>
            <w:tcW w:w="1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Officer (give title</w:t>
            </w:r>
          </w:p>
        </w:tc>
        <w:tc>
          <w:tcPr>
            <w:tcW w:w="11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90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President &amp; Co-CEO</w:t>
      </w:r>
    </w:p>
    <w:p>
      <w:pPr>
        <w:spacing w:after="0" w:line="51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180" w:space="720"/>
            <w:col w:w="3160" w:space="675"/>
            <w:col w:w="3345"/>
          </w:cols>
          <w:pgMar w:left="460" w:top="220" w:right="359" w:bottom="1440" w:gutter="0" w:footer="0" w:header="0"/>
          <w:type w:val="continuous"/>
        </w:sectPr>
      </w:pPr>
    </w:p>
    <w:p>
      <w:pPr>
        <w:spacing w:after="0" w:line="8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(Street)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720" w:type="dxa"/>
            <w:vAlign w:val="bottom"/>
            <w:gridSpan w:val="6"/>
          </w:tcPr>
          <w:p>
            <w:pPr>
              <w:jc w:val="center"/>
              <w:ind w:right="2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4. If Amendment, Date of Original Filed (Month/Day/Year)</w:t>
            </w:r>
          </w:p>
        </w:tc>
        <w:tc>
          <w:tcPr>
            <w:tcW w:w="3600" w:type="dxa"/>
            <w:vAlign w:val="bottom"/>
            <w:gridSpan w:val="1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6. Individual or Joint/Group Filing (Check Applicable Line)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0000FF"/>
                <w:w w:val="99"/>
              </w:rPr>
              <w:t>BRIDGEWATER NJ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08807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X</w:t>
            </w:r>
          </w:p>
        </w:tc>
        <w:tc>
          <w:tcPr>
            <w:tcW w:w="216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Form filed by One Reporting Person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80" w:type="dxa"/>
            <w:vAlign w:val="bottom"/>
            <w:gridSpan w:val="8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Form filed by More than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(City)</w:t>
            </w:r>
          </w:p>
        </w:tc>
        <w:tc>
          <w:tcPr>
            <w:tcW w:w="1740" w:type="dxa"/>
            <w:vAlign w:val="bottom"/>
            <w:gridSpan w:val="2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(State)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(Zip)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top w:val="single" w:sz="8" w:color="2C2C2C"/>
            </w:tcBorders>
            <w:gridSpan w:val="12"/>
          </w:tcPr>
          <w:p>
            <w:pPr>
              <w:jc w:val="center"/>
              <w:ind w:left="5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5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3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7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3.</w:t>
            </w:r>
          </w:p>
        </w:tc>
        <w:tc>
          <w:tcPr>
            <w:tcW w:w="194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2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ind w:left="4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40" w:type="dxa"/>
            <w:vAlign w:val="bottom"/>
            <w:gridSpan w:val="4"/>
          </w:tcPr>
          <w:p>
            <w:pPr>
              <w:jc w:val="center"/>
              <w:ind w:right="4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</w:tcPr>
          <w:p>
            <w:pPr>
              <w:ind w:left="82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4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if any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ind w:left="4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8)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8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8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  V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</w:tcPr>
          <w:p>
            <w:pPr>
              <w:ind w:left="24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(A) or</w:t>
            </w: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Price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8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91"/>
              </w:rPr>
              <w:t>(D)</w:t>
            </w: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520" w:type="dxa"/>
            <w:vAlign w:val="bottom"/>
            <w:tcBorders>
              <w:bottom w:val="single" w:sz="8" w:color="2C2C2C"/>
            </w:tcBorders>
            <w:gridSpan w:val="9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40" w:type="dxa"/>
            <w:vAlign w:val="bottom"/>
            <w:tcBorders>
              <w:top w:val="single" w:sz="8" w:color="2C2C2C"/>
            </w:tcBorders>
            <w:gridSpan w:val="11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5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540" w:type="dxa"/>
            <w:vAlign w:val="bottom"/>
            <w:gridSpan w:val="10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2.</w:t>
            </w:r>
          </w:p>
        </w:tc>
        <w:tc>
          <w:tcPr>
            <w:tcW w:w="10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4.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5. Number of</w:t>
            </w:r>
          </w:p>
        </w:tc>
        <w:tc>
          <w:tcPr>
            <w:tcW w:w="14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00" w:type="dxa"/>
            <w:vAlign w:val="bottom"/>
          </w:tcPr>
          <w:p>
            <w:pPr>
              <w:ind w:left="6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12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gridSpan w:val="2"/>
          </w:tcPr>
          <w:p>
            <w:pPr>
              <w:ind w:left="4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40" w:type="dxa"/>
            <w:vAlign w:val="bottom"/>
            <w:gridSpan w:val="5"/>
          </w:tcPr>
          <w:p>
            <w:pPr>
              <w:ind w:left="8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Ownership 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00" w:type="dxa"/>
            <w:vAlign w:val="bottom"/>
          </w:tcPr>
          <w:p>
            <w:pPr>
              <w:ind w:left="6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12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gridSpan w:val="2"/>
          </w:tcPr>
          <w:p>
            <w:pPr>
              <w:ind w:left="4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20" w:type="dxa"/>
            <w:vAlign w:val="bottom"/>
          </w:tcPr>
          <w:p>
            <w:pPr>
              <w:ind w:left="8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6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12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8)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12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Acquired (A) or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20" w:type="dxa"/>
            <w:vAlign w:val="bottom"/>
          </w:tcPr>
          <w:p>
            <w:pPr>
              <w:ind w:left="8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6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Disposed of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2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Owned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8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96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6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ind w:left="12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(D) (Instr. 3, 4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1440" w:type="dxa"/>
            <w:vAlign w:val="bottom"/>
            <w:gridSpan w:val="5"/>
          </w:tcPr>
          <w:p>
            <w:pPr>
              <w:ind w:left="8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and 5)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2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99"/>
              </w:rPr>
              <w:t>Reported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vMerge w:val="restart"/>
          </w:tcPr>
          <w:p>
            <w:pPr>
              <w:ind w:left="2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2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or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4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Number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 V</w:t>
            </w: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(A)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of Shares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98"/>
              </w:rPr>
              <w:t>Performance-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91"/>
              </w:rPr>
              <w:t>Class A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Based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008000"/>
              </w:rPr>
              <w:t>(1)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120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926,640</w:t>
            </w:r>
            <w:r>
              <w:rPr>
                <w:rFonts w:ascii="Arial" w:cs="Arial" w:eastAsia="Arial" w:hAnsi="Arial"/>
                <w:sz w:val="20"/>
                <w:szCs w:val="20"/>
                <w:color w:val="008000"/>
                <w:vertAlign w:val="superscript"/>
              </w:rPr>
              <w:t>(2)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008000"/>
              </w:rPr>
              <w:t>(3)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008000"/>
              </w:rPr>
              <w:t>(3)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0000FF"/>
                <w:w w:val="96"/>
              </w:rPr>
              <w:t>926,640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  <w:vMerge w:val="restart"/>
          </w:tcPr>
          <w:p>
            <w:pPr>
              <w:jc w:val="right"/>
              <w:ind w:right="118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03/01/2021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A</w:t>
            </w: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Common</w:t>
            </w: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1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0.00</w:t>
            </w:r>
          </w:p>
        </w:tc>
        <w:tc>
          <w:tcPr>
            <w:tcW w:w="840" w:type="dxa"/>
            <w:vAlign w:val="bottom"/>
            <w:gridSpan w:val="2"/>
            <w:vMerge w:val="restart"/>
          </w:tcPr>
          <w:p>
            <w:pPr>
              <w:ind w:left="2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926,640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ind w:left="3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Restricted</w:t>
            </w: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jc w:val="center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93"/>
              </w:rPr>
              <w:t>Stock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Stock Units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-2588895</wp:posOffset>
            </wp:positionV>
            <wp:extent cx="7036435" cy="26295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435" cy="262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Explanation of Responses:</w:t>
      </w:r>
    </w:p>
    <w:p>
      <w:pPr>
        <w:spacing w:after="0" w:line="54" w:lineRule="exact"/>
        <w:rPr>
          <w:sz w:val="24"/>
          <w:szCs w:val="24"/>
          <w:color w:val="auto"/>
        </w:rPr>
      </w:pPr>
    </w:p>
    <w:p>
      <w:pPr>
        <w:ind w:left="160" w:hanging="123"/>
        <w:spacing w:after="0"/>
        <w:tabs>
          <w:tab w:leader="none" w:pos="160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Each performance-based restricted stock unit represents a contingent right to receive one share of the Issuer's Class A Common Stock.</w:t>
      </w:r>
    </w:p>
    <w:p>
      <w:pPr>
        <w:spacing w:after="0" w:line="48" w:lineRule="exact"/>
        <w:rPr>
          <w:rFonts w:ascii="Arial" w:cs="Arial" w:eastAsia="Arial" w:hAnsi="Arial"/>
          <w:sz w:val="12"/>
          <w:szCs w:val="12"/>
          <w:color w:val="008000"/>
        </w:rPr>
      </w:pPr>
    </w:p>
    <w:p>
      <w:pPr>
        <w:ind w:left="160" w:hanging="123"/>
        <w:spacing w:after="0"/>
        <w:tabs>
          <w:tab w:leader="none" w:pos="160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Represents the maximum number of shares issuable under the performance-based restricted stock units.</w:t>
      </w:r>
    </w:p>
    <w:p>
      <w:pPr>
        <w:spacing w:after="0" w:line="48" w:lineRule="exact"/>
        <w:rPr>
          <w:rFonts w:ascii="Arial" w:cs="Arial" w:eastAsia="Arial" w:hAnsi="Arial"/>
          <w:sz w:val="12"/>
          <w:szCs w:val="12"/>
          <w:color w:val="008000"/>
        </w:rPr>
      </w:pPr>
    </w:p>
    <w:p>
      <w:pPr>
        <w:ind w:left="40" w:right="220" w:hanging="3"/>
        <w:spacing w:after="0" w:line="246" w:lineRule="auto"/>
        <w:tabs>
          <w:tab w:leader="none" w:pos="164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50% of the performance-based restricted stock units are earned and eligible to vest upon the Issuer's Class A Common Stock achieving an average closing price per share of $8 or higher for 60 consecutive calendar days during the three-year performance period. Additional performance-based restricted stock units are earned at higher levels and eligible to vest upon the Issuer's Class A Common Stock achieving an average closing price per share of $10 (75%), $12 (100%), $14 (125%), $16 (150%), $18 (175%) and $20 (200%), respectively, for 60 consecutive calendar days during the three-year performance period. For average 60-day closing stock prices between $12 and $20 per share, the number of performance-based restricted stock units that become earned will be determined using straight line interpolation. Any earned performance-based restricted stock units vest in full on February 29,2024, the last day of the performance period.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Remarks:</w:t>
      </w:r>
    </w:p>
    <w:p>
      <w:pPr>
        <w:spacing w:after="0" w:line="102" w:lineRule="exact"/>
        <w:rPr>
          <w:sz w:val="24"/>
          <w:szCs w:val="24"/>
          <w:color w:val="auto"/>
        </w:rPr>
      </w:pPr>
    </w:p>
    <w:tbl>
      <w:tblPr>
        <w:tblLayout w:type="fixed"/>
        <w:tblInd w:w="6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4"/>
        </w:trPr>
        <w:tc>
          <w:tcPr>
            <w:tcW w:w="2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0000FF"/>
                <w:w w:val="94"/>
              </w:rPr>
              <w:t>/s/ Meredith Cook, Attorney-in-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0000FF"/>
                <w:w w:val="87"/>
              </w:rPr>
              <w:t>03/03/2021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2200" w:type="dxa"/>
            <w:vAlign w:val="bottom"/>
            <w:gridSpan w:val="3"/>
            <w:vMerge w:val="restart"/>
          </w:tcPr>
          <w:p>
            <w:pPr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Fact</w:t>
            </w: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4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22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** Signature of Reporting Person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Reminder: Report on a separate line for each class of securities beneficially owned directly or indirectly.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4 (b)(v).</w:t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jc w:val="both"/>
        <w:ind w:left="40" w:right="3860" w:hanging="3"/>
        <w:spacing w:after="0" w:line="322" w:lineRule="auto"/>
        <w:tabs>
          <w:tab w:leader="none" w:pos="171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0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3" Type="http://schemas.openxmlformats.org/officeDocument/2006/relationships/hyperlink" Target="http://www.sec.gov/cgi-bin/browse-edgar?action=getcompany&amp;CIK=0001738701" TargetMode="External"/><Relationship Id="rId14" Type="http://schemas.openxmlformats.org/officeDocument/2006/relationships/hyperlink" Target="http://www.sec.gov/cgi-bin/browse-edgar?action=getcompany&amp;CIK=00017231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2021-03-03T16:10:42Z</dcterms:created>
  <dcterms:modified xsi:type="dcterms:W3CDTF">2021-03-03T16:10:42Z</dcterms:modified>
</cp:coreProperties>
</file>