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9700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97002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Kiely John</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960" w:type="dxa"/>
            <w:vAlign w:val="bottom"/>
            <w:tcBorders>
              <w:top w:val="single" w:sz="8" w:color="0000EE"/>
              <w:bottom w:val="single" w:sz="8" w:color="9A9A9A"/>
            </w:tcBorders>
          </w:tcPr>
          <w:p>
            <w:pPr>
              <w:spacing w:after="0"/>
              <w:rPr>
                <w:sz w:val="15"/>
                <w:szCs w:val="15"/>
                <w:color w:val="auto"/>
              </w:rPr>
            </w:pPr>
          </w:p>
        </w:tc>
        <w:tc>
          <w:tcPr>
            <w:tcW w:w="226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12/14/2019</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18"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4"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454"/>
        <w:spacing w:after="0" w:line="268" w:lineRule="auto"/>
        <w:rPr>
          <w:sz w:val="20"/>
          <w:szCs w:val="20"/>
          <w:color w:val="auto"/>
        </w:rPr>
      </w:pPr>
      <w:r>
        <w:rPr>
          <w:rFonts w:ascii="Arial" w:cs="Arial" w:eastAsia="Arial" w:hAnsi="Arial"/>
          <w:sz w:val="18"/>
          <w:szCs w:val="18"/>
          <w:color w:val="0000FF"/>
        </w:rPr>
        <w:t>C/O AMNEAL PHARMACEUTICALS, INC.</w:t>
      </w:r>
    </w:p>
    <w:p>
      <w:pPr>
        <w:spacing w:after="0" w:line="24"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400 CROSSING BOULEVARD</w:t>
      </w:r>
    </w:p>
    <w:p>
      <w:pPr>
        <w:spacing w:after="0" w:line="300"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920" w:type="dxa"/>
            <w:vAlign w:val="bottom"/>
          </w:tcPr>
          <w:p>
            <w:pPr>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4"/>
                <w:szCs w:val="14"/>
                <w:color w:val="auto"/>
              </w:rPr>
            </w:pPr>
          </w:p>
        </w:tc>
      </w:tr>
      <w:tr>
        <w:trPr>
          <w:trHeight w:val="242"/>
        </w:trPr>
        <w:tc>
          <w:tcPr>
            <w:tcW w:w="1920" w:type="dxa"/>
            <w:vAlign w:val="bottom"/>
          </w:tcPr>
          <w:p>
            <w:pPr>
              <w:ind w:left="40"/>
              <w:spacing w:after="0"/>
              <w:rPr>
                <w:sz w:val="20"/>
                <w:szCs w:val="20"/>
                <w:color w:val="auto"/>
              </w:rPr>
            </w:pPr>
            <w:r>
              <w:rPr>
                <w:rFonts w:ascii="Arial" w:cs="Arial" w:eastAsia="Arial" w:hAnsi="Arial"/>
                <w:sz w:val="18"/>
                <w:szCs w:val="18"/>
                <w:color w:val="0000FF"/>
              </w:rPr>
              <w:t>BRIDGEWATER NJ</w:t>
            </w:r>
          </w:p>
        </w:tc>
        <w:tc>
          <w:tcPr>
            <w:tcW w:w="820" w:type="dxa"/>
            <w:vAlign w:val="bottom"/>
          </w:tcPr>
          <w:p>
            <w:pPr>
              <w:jc w:val="right"/>
              <w:spacing w:after="0"/>
              <w:rPr>
                <w:sz w:val="20"/>
                <w:szCs w:val="20"/>
                <w:color w:val="auto"/>
              </w:rPr>
            </w:pPr>
            <w:r>
              <w:rPr>
                <w:rFonts w:ascii="Arial" w:cs="Arial" w:eastAsia="Arial" w:hAnsi="Arial"/>
                <w:sz w:val="18"/>
                <w:szCs w:val="18"/>
                <w:color w:val="0000FF"/>
              </w:rPr>
              <w:t>08806</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38"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66"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3520" w:type="dxa"/>
            <w:vAlign w:val="bottom"/>
          </w:tcPr>
          <w:p>
            <w:pPr>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480" w:type="dxa"/>
            <w:vAlign w:val="bottom"/>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480" w:type="dxa"/>
            <w:vAlign w:val="bottom"/>
          </w:tcPr>
          <w:p>
            <w:pPr>
              <w:ind w:left="100"/>
              <w:spacing w:after="0" w:line="149" w:lineRule="exact"/>
              <w:rPr>
                <w:sz w:val="20"/>
                <w:szCs w:val="20"/>
                <w:color w:val="auto"/>
              </w:rPr>
            </w:pPr>
            <w:r>
              <w:rPr>
                <w:rFonts w:ascii="Arial" w:cs="Arial" w:eastAsia="Arial" w:hAnsi="Arial"/>
                <w:sz w:val="14"/>
                <w:szCs w:val="14"/>
                <w:b w:val="1"/>
                <w:bCs w:val="1"/>
                <w:color w:val="auto"/>
                <w:w w:val="95"/>
              </w:rPr>
              <w:t>Beneficial Ownership</w:t>
            </w: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2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480" w:type="dxa"/>
            <w:vAlign w:val="bottom"/>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52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240" w:type="dxa"/>
            <w:vAlign w:val="bottom"/>
            <w:tcBorders>
              <w:bottom w:val="single" w:sz="8" w:color="2C2C2C"/>
            </w:tcBorders>
          </w:tcPr>
          <w:p>
            <w:pPr>
              <w:spacing w:after="0"/>
              <w:rPr>
                <w:sz w:val="6"/>
                <w:szCs w:val="6"/>
                <w:color w:val="auto"/>
              </w:rPr>
            </w:pPr>
          </w:p>
        </w:tc>
        <w:tc>
          <w:tcPr>
            <w:tcW w:w="1480" w:type="dxa"/>
            <w:vAlign w:val="bottom"/>
            <w:tcBorders>
              <w:bottom w:val="single" w:sz="8" w:color="2C2C2C"/>
            </w:tcBorders>
          </w:tcPr>
          <w:p>
            <w:pPr>
              <w:spacing w:after="0"/>
              <w:rPr>
                <w:sz w:val="6"/>
                <w:szCs w:val="6"/>
                <w:color w:val="auto"/>
              </w:rPr>
            </w:pP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4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52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480" w:type="dxa"/>
            <w:vAlign w:val="bottom"/>
            <w:vMerge w:val="restart"/>
          </w:tcPr>
          <w:p>
            <w:pPr>
              <w:ind w:left="88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4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80" w:type="dxa"/>
            <w:vAlign w:val="bottom"/>
            <w:vMerge w:val="continue"/>
          </w:tcPr>
          <w:p>
            <w:pPr>
              <w:spacing w:after="0"/>
              <w:rPr>
                <w:sz w:val="12"/>
                <w:szCs w:val="12"/>
                <w:color w:val="auto"/>
              </w:rPr>
            </w:pP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80" w:type="dxa"/>
            <w:vAlign w:val="bottom"/>
          </w:tcPr>
          <w:p>
            <w:pPr>
              <w:ind w:left="88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80" w:type="dxa"/>
            <w:vAlign w:val="bottom"/>
          </w:tcPr>
          <w:p>
            <w:pPr>
              <w:ind w:left="88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240" w:type="dxa"/>
            <w:vAlign w:val="bottom"/>
          </w:tcPr>
          <w:p>
            <w:pPr>
              <w:spacing w:after="0"/>
              <w:rPr>
                <w:sz w:val="12"/>
                <w:szCs w:val="12"/>
                <w:color w:val="auto"/>
              </w:rPr>
            </w:pPr>
          </w:p>
        </w:tc>
        <w:tc>
          <w:tcPr>
            <w:tcW w:w="1480" w:type="dxa"/>
            <w:vAlign w:val="bottom"/>
          </w:tcPr>
          <w:p>
            <w:pPr>
              <w:ind w:left="88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52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24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480" w:type="dxa"/>
            <w:vAlign w:val="bottom"/>
          </w:tcPr>
          <w:p>
            <w:pPr>
              <w:ind w:left="88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39"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Exhibit 24 - Power of Attorney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No securities are beneficially owned.</w:t>
      </w:r>
    </w:p>
    <w:p>
      <w:pPr>
        <w:ind w:left="6860"/>
        <w:spacing w:after="0" w:line="183" w:lineRule="auto"/>
        <w:rPr>
          <w:sz w:val="20"/>
          <w:szCs w:val="20"/>
          <w:color w:val="auto"/>
        </w:rPr>
      </w:pPr>
      <w:r>
        <w:rPr>
          <w:rFonts w:ascii="Arial" w:cs="Arial" w:eastAsia="Arial" w:hAnsi="Arial"/>
          <w:sz w:val="18"/>
          <w:szCs w:val="18"/>
          <w:color w:val="0000FF"/>
        </w:rPr>
        <w:t xml:space="preserve">Brian P. Spitser, as attorney-in- </w:t>
      </w:r>
      <w:r>
        <w:rPr>
          <w:rFonts w:ascii="Arial" w:cs="Arial" w:eastAsia="Arial" w:hAnsi="Arial"/>
          <w:sz w:val="35"/>
          <w:szCs w:val="35"/>
          <w:color w:val="0000FF"/>
          <w:vertAlign w:val="subscript"/>
        </w:rPr>
        <w:t>12/16/2019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-28575</wp:posOffset>
            </wp:positionV>
            <wp:extent cx="13887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388745"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6700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67005"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20"/>
          <w:szCs w:val="20"/>
          <w:color w:val="auto"/>
        </w:rPr>
        <w:t>POWER OF ATTORNEY</w:t>
      </w:r>
    </w:p>
    <w:p>
      <w:pPr>
        <w:spacing w:after="0" w:line="243" w:lineRule="exact"/>
        <w:rPr>
          <w:sz w:val="20"/>
          <w:szCs w:val="20"/>
          <w:color w:val="auto"/>
        </w:rPr>
      </w:pPr>
    </w:p>
    <w:p>
      <w:pPr>
        <w:jc w:val="both"/>
        <w:ind w:firstLine="648"/>
        <w:spacing w:after="0" w:line="310" w:lineRule="auto"/>
        <w:rPr>
          <w:sz w:val="20"/>
          <w:szCs w:val="20"/>
          <w:color w:val="auto"/>
        </w:rPr>
      </w:pPr>
      <w:r>
        <w:rPr>
          <w:rFonts w:ascii="Arial" w:cs="Arial" w:eastAsia="Arial" w:hAnsi="Arial"/>
          <w:sz w:val="18"/>
          <w:szCs w:val="18"/>
          <w:color w:val="auto"/>
        </w:rPr>
        <w:t>Know all by these presents, that the undersigned hereby constitutes and appoints each of (i) the Chief Legal Officer of Amneal Pharmaceuticals, Inc., a Delaware corporation (the “Company”) and who is currently David A. Buchen, (ii) the Company's Chief Financial Officer, who is currently Todd P. Branning, (iii) the Company’s Assistant Secretary, who is currently Brian P. Spitser, and (iv) 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p>
      <w:pPr>
        <w:spacing w:after="0" w:line="162" w:lineRule="exact"/>
        <w:rPr>
          <w:sz w:val="20"/>
          <w:szCs w:val="20"/>
          <w:color w:val="auto"/>
        </w:rPr>
      </w:pPr>
    </w:p>
    <w:p>
      <w:pPr>
        <w:jc w:val="both"/>
        <w:ind w:left="660" w:hanging="328"/>
        <w:spacing w:after="0" w:line="274" w:lineRule="auto"/>
        <w:tabs>
          <w:tab w:leader="none" w:pos="660" w:val="left"/>
        </w:tabs>
        <w:numPr>
          <w:ilvl w:val="0"/>
          <w:numId w:val="5"/>
        </w:numPr>
        <w:rPr>
          <w:rFonts w:ascii="Arial" w:cs="Arial" w:eastAsia="Arial" w:hAnsi="Arial"/>
          <w:sz w:val="20"/>
          <w:szCs w:val="20"/>
          <w:color w:val="auto"/>
        </w:rPr>
      </w:pPr>
      <w:r>
        <w:rPr>
          <w:rFonts w:ascii="Arial" w:cs="Arial" w:eastAsia="Arial" w:hAnsi="Arial"/>
          <w:sz w:val="20"/>
          <w:szCs w:val="20"/>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192" w:lineRule="exact"/>
        <w:rPr>
          <w:rFonts w:ascii="Arial" w:cs="Arial" w:eastAsia="Arial" w:hAnsi="Arial"/>
          <w:sz w:val="20"/>
          <w:szCs w:val="20"/>
          <w:color w:val="auto"/>
        </w:rPr>
      </w:pPr>
    </w:p>
    <w:p>
      <w:pPr>
        <w:jc w:val="both"/>
        <w:ind w:left="660" w:hanging="328"/>
        <w:spacing w:after="0" w:line="278" w:lineRule="auto"/>
        <w:tabs>
          <w:tab w:leader="none" w:pos="660" w:val="left"/>
        </w:tabs>
        <w:numPr>
          <w:ilvl w:val="0"/>
          <w:numId w:val="5"/>
        </w:numPr>
        <w:rPr>
          <w:rFonts w:ascii="Arial" w:cs="Arial" w:eastAsia="Arial" w:hAnsi="Arial"/>
          <w:sz w:val="20"/>
          <w:szCs w:val="20"/>
          <w:color w:val="auto"/>
        </w:rPr>
      </w:pPr>
      <w:r>
        <w:rPr>
          <w:rFonts w:ascii="Arial" w:cs="Arial" w:eastAsia="Arial" w:hAnsi="Arial"/>
          <w:sz w:val="20"/>
          <w:szCs w:val="20"/>
          <w:color w:val="auto"/>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p>
      <w:pPr>
        <w:spacing w:after="0" w:line="186" w:lineRule="exact"/>
        <w:rPr>
          <w:rFonts w:ascii="Arial" w:cs="Arial" w:eastAsia="Arial" w:hAnsi="Arial"/>
          <w:sz w:val="20"/>
          <w:szCs w:val="20"/>
          <w:color w:val="auto"/>
        </w:rPr>
      </w:pPr>
    </w:p>
    <w:p>
      <w:pPr>
        <w:jc w:val="both"/>
        <w:ind w:left="660" w:hanging="328"/>
        <w:spacing w:after="0" w:line="278" w:lineRule="auto"/>
        <w:tabs>
          <w:tab w:leader="none" w:pos="660" w:val="left"/>
        </w:tabs>
        <w:numPr>
          <w:ilvl w:val="0"/>
          <w:numId w:val="5"/>
        </w:numPr>
        <w:rPr>
          <w:rFonts w:ascii="Arial" w:cs="Arial" w:eastAsia="Arial" w:hAnsi="Arial"/>
          <w:sz w:val="20"/>
          <w:szCs w:val="20"/>
          <w:color w:val="auto"/>
        </w:rPr>
      </w:pPr>
      <w:r>
        <w:rPr>
          <w:rFonts w:ascii="Arial" w:cs="Arial" w:eastAsia="Arial" w:hAnsi="Arial"/>
          <w:sz w:val="20"/>
          <w:szCs w:val="20"/>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186" w:lineRule="exact"/>
        <w:rPr>
          <w:rFonts w:ascii="Arial" w:cs="Arial" w:eastAsia="Arial" w:hAnsi="Arial"/>
          <w:sz w:val="20"/>
          <w:szCs w:val="20"/>
          <w:color w:val="auto"/>
        </w:rPr>
      </w:pPr>
    </w:p>
    <w:p>
      <w:pPr>
        <w:jc w:val="both"/>
        <w:ind w:left="660" w:hanging="328"/>
        <w:spacing w:after="0" w:line="293" w:lineRule="auto"/>
        <w:tabs>
          <w:tab w:leader="none" w:pos="660" w:val="left"/>
        </w:tabs>
        <w:numPr>
          <w:ilvl w:val="0"/>
          <w:numId w:val="5"/>
        </w:numPr>
        <w:rPr>
          <w:rFonts w:ascii="Arial" w:cs="Arial" w:eastAsia="Arial" w:hAnsi="Arial"/>
          <w:sz w:val="19"/>
          <w:szCs w:val="19"/>
          <w:color w:val="auto"/>
        </w:rPr>
      </w:pPr>
      <w:r>
        <w:rPr>
          <w:rFonts w:ascii="Arial" w:cs="Arial" w:eastAsia="Arial" w:hAnsi="Arial"/>
          <w:sz w:val="19"/>
          <w:szCs w:val="19"/>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76"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183"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IN WITNESS WHEREOF, the undersigned has caused this Power of Attorney to</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be executed as of this 7</w:t>
      </w:r>
      <w:r>
        <w:rPr>
          <w:rFonts w:ascii="Arial" w:cs="Arial" w:eastAsia="Arial" w:hAnsi="Arial"/>
          <w:sz w:val="25"/>
          <w:szCs w:val="25"/>
          <w:color w:val="auto"/>
          <w:vertAlign w:val="superscript"/>
        </w:rPr>
        <w:t>th</w:t>
      </w:r>
      <w:r>
        <w:rPr>
          <w:rFonts w:ascii="Arial" w:cs="Arial" w:eastAsia="Arial" w:hAnsi="Arial"/>
          <w:sz w:val="20"/>
          <w:szCs w:val="20"/>
          <w:color w:val="auto"/>
        </w:rPr>
        <w:t xml:space="preserve"> day of December, 2019.</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/s/ John Kiely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2475230</wp:posOffset>
            </wp:positionH>
            <wp:positionV relativeFrom="paragraph">
              <wp:posOffset>-14605</wp:posOffset>
            </wp:positionV>
            <wp:extent cx="145224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452245" cy="8890"/>
                    </a:xfrm>
                    <a:prstGeom prst="rect">
                      <a:avLst/>
                    </a:prstGeom>
                    <a:noFill/>
                  </pic:spPr>
                </pic:pic>
              </a:graphicData>
            </a:graphic>
          </wp:anchor>
        </w:drawing>
      </w:r>
    </w:p>
    <w:p>
      <w:pPr>
        <w:ind w:left="3900"/>
        <w:spacing w:after="0"/>
        <w:rPr>
          <w:sz w:val="20"/>
          <w:szCs w:val="20"/>
          <w:color w:val="auto"/>
        </w:rPr>
      </w:pPr>
      <w:r>
        <w:rPr>
          <w:rFonts w:ascii="Arial" w:cs="Arial" w:eastAsia="Arial" w:hAnsi="Arial"/>
          <w:sz w:val="20"/>
          <w:szCs w:val="20"/>
          <w:color w:val="auto"/>
        </w:rPr>
        <w:t>By: John Kiely</w:t>
      </w:r>
    </w:p>
    <w:sectPr>
      <w:pgSz w:w="11900" w:h="16838" w:orient="portrait"/>
      <w:cols w:equalWidth="0" w:num="1">
        <w:col w:w="11420"/>
      </w:cols>
      <w:pgMar w:left="240" w:top="35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1" Type="http://schemas.openxmlformats.org/officeDocument/2006/relationships/hyperlink" Target="http://www.sec.gov/cgi-bin/browse-edgar?action=getcompany&amp;CIK=0001781149" TargetMode="External"/><Relationship Id="rId12"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2019-12-17T02:00:32Z</dcterms:created>
  <dcterms:modified xsi:type="dcterms:W3CDTF">2019-12-17T02:00:32Z</dcterms:modified>
</cp:coreProperties>
</file>