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59"/>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Washington, DC 20549</w:t>
      </w:r>
    </w:p>
    <w:p>
      <w:pPr>
        <w:spacing w:after="0" w:line="288" w:lineRule="exact"/>
        <w:rPr>
          <w:sz w:val="24"/>
          <w:szCs w:val="24"/>
          <w:color w:val="auto"/>
        </w:rPr>
      </w:pPr>
    </w:p>
    <w:p>
      <w:pPr>
        <w:jc w:val="center"/>
        <w:ind w:right="-59"/>
        <w:spacing w:after="0"/>
        <w:rPr>
          <w:sz w:val="20"/>
          <w:szCs w:val="20"/>
          <w:color w:val="auto"/>
        </w:rPr>
      </w:pPr>
      <w:r>
        <w:rPr>
          <w:rFonts w:ascii="Arial" w:cs="Arial" w:eastAsia="Arial" w:hAnsi="Arial"/>
          <w:sz w:val="25"/>
          <w:szCs w:val="25"/>
          <w:color w:val="auto"/>
        </w:rPr>
        <w:t>FORM 8-K</w:t>
      </w:r>
    </w:p>
    <w:p>
      <w:pPr>
        <w:spacing w:after="0" w:line="307" w:lineRule="exact"/>
        <w:rPr>
          <w:sz w:val="24"/>
          <w:szCs w:val="24"/>
          <w:color w:val="auto"/>
        </w:rPr>
      </w:pPr>
    </w:p>
    <w:p>
      <w:pPr>
        <w:jc w:val="center"/>
        <w:spacing w:after="0"/>
        <w:rPr>
          <w:sz w:val="20"/>
          <w:szCs w:val="20"/>
          <w:color w:val="auto"/>
        </w:rPr>
      </w:pPr>
      <w:r>
        <w:rPr>
          <w:rFonts w:ascii="Arial" w:cs="Arial" w:eastAsia="Arial" w:hAnsi="Arial"/>
          <w:sz w:val="25"/>
          <w:szCs w:val="25"/>
          <w:color w:val="auto"/>
        </w:rPr>
        <w:t>CURRENT REPORT</w:t>
      </w:r>
    </w:p>
    <w:p>
      <w:pPr>
        <w:spacing w:after="0" w:line="35" w:lineRule="exact"/>
        <w:rPr>
          <w:sz w:val="24"/>
          <w:szCs w:val="24"/>
          <w:color w:val="auto"/>
        </w:rPr>
      </w:pPr>
    </w:p>
    <w:p>
      <w:pPr>
        <w:ind w:left="3480"/>
        <w:spacing w:after="0"/>
        <w:rPr>
          <w:sz w:val="20"/>
          <w:szCs w:val="20"/>
          <w:color w:val="auto"/>
        </w:rPr>
      </w:pPr>
      <w:r>
        <w:rPr>
          <w:rFonts w:ascii="Arial" w:cs="Arial" w:eastAsia="Arial" w:hAnsi="Arial"/>
          <w:sz w:val="22"/>
          <w:szCs w:val="22"/>
          <w:color w:val="auto"/>
        </w:rPr>
        <w:t>PURSUANT TO SECTION 13 OR 15(d) OF THE</w:t>
      </w:r>
    </w:p>
    <w:p>
      <w:pPr>
        <w:spacing w:after="0" w:line="41" w:lineRule="exact"/>
        <w:rPr>
          <w:sz w:val="24"/>
          <w:szCs w:val="24"/>
          <w:color w:val="auto"/>
        </w:rPr>
      </w:pPr>
    </w:p>
    <w:p>
      <w:pPr>
        <w:ind w:left="3820"/>
        <w:spacing w:after="0"/>
        <w:rPr>
          <w:sz w:val="20"/>
          <w:szCs w:val="20"/>
          <w:color w:val="auto"/>
        </w:rPr>
      </w:pPr>
      <w:r>
        <w:rPr>
          <w:rFonts w:ascii="Arial" w:cs="Arial" w:eastAsia="Arial" w:hAnsi="Arial"/>
          <w:sz w:val="22"/>
          <w:szCs w:val="22"/>
          <w:color w:val="auto"/>
        </w:rPr>
        <w:t>SECURITIES EXCHANGE ACT OF 1934</w:t>
      </w:r>
    </w:p>
    <w:p>
      <w:pPr>
        <w:spacing w:after="0" w:line="281" w:lineRule="exact"/>
        <w:rPr>
          <w:sz w:val="24"/>
          <w:szCs w:val="24"/>
          <w:color w:val="auto"/>
        </w:rPr>
      </w:pPr>
    </w:p>
    <w:p>
      <w:pPr>
        <w:ind w:left="3100"/>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b w:val="1"/>
          <w:bCs w:val="1"/>
          <w:color w:val="auto"/>
        </w:rPr>
        <w:t>August 5, 2019</w:t>
      </w:r>
    </w:p>
    <w:p>
      <w:pPr>
        <w:spacing w:after="0" w:line="125" w:lineRule="exact"/>
        <w:rPr>
          <w:sz w:val="24"/>
          <w:szCs w:val="24"/>
          <w:color w:val="auto"/>
        </w:rPr>
      </w:pPr>
    </w:p>
    <w:p>
      <w:pPr>
        <w:jc w:val="center"/>
        <w:ind w:left="340"/>
        <w:spacing w:after="0"/>
        <w:rPr>
          <w:sz w:val="20"/>
          <w:szCs w:val="20"/>
          <w:color w:val="auto"/>
        </w:rPr>
      </w:pPr>
      <w:r>
        <w:rPr>
          <w:rFonts w:ascii="Arial" w:cs="Arial" w:eastAsia="Arial" w:hAnsi="Arial"/>
          <w:sz w:val="32"/>
          <w:szCs w:val="32"/>
          <w:b w:val="1"/>
          <w:bCs w:val="1"/>
          <w:color w:val="auto"/>
        </w:rPr>
        <w:t>AMNEAL PHARMACEUTICALS, INC.</w:t>
      </w:r>
    </w:p>
    <w:p>
      <w:pPr>
        <w:spacing w:after="0" w:line="165" w:lineRule="exact"/>
        <w:rPr>
          <w:sz w:val="24"/>
          <w:szCs w:val="24"/>
          <w:color w:val="auto"/>
        </w:rPr>
      </w:pPr>
    </w:p>
    <w:p>
      <w:pPr>
        <w:ind w:left="3680"/>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243" w:lineRule="exact"/>
        <w:rPr>
          <w:sz w:val="24"/>
          <w:szCs w:val="24"/>
          <w:color w:val="auto"/>
        </w:rPr>
      </w:pPr>
    </w:p>
    <w:tbl>
      <w:tblPr>
        <w:tblLayout w:type="fixed"/>
        <w:tblInd w:w="420" w:type="dxa"/>
        <w:tblCellMar>
          <w:top w:w="0" w:type="dxa"/>
          <w:left w:w="0" w:type="dxa"/>
          <w:bottom w:w="0" w:type="dxa"/>
          <w:right w:w="0" w:type="dxa"/>
        </w:tblCellMar>
      </w:tblPr>
      <w:tr>
        <w:trPr>
          <w:trHeight w:val="281"/>
        </w:trPr>
        <w:tc>
          <w:tcPr>
            <w:tcW w:w="4240" w:type="dxa"/>
            <w:vAlign w:val="bottom"/>
            <w:gridSpan w:val="2"/>
          </w:tcPr>
          <w:p>
            <w:pPr>
              <w:jc w:val="center"/>
              <w:ind w:right="600"/>
              <w:spacing w:after="0"/>
              <w:rPr>
                <w:sz w:val="20"/>
                <w:szCs w:val="20"/>
                <w:color w:val="auto"/>
              </w:rPr>
            </w:pPr>
            <w:r>
              <w:rPr>
                <w:rFonts w:ascii="Arial" w:cs="Arial" w:eastAsia="Arial" w:hAnsi="Arial"/>
                <w:sz w:val="22"/>
                <w:szCs w:val="22"/>
                <w:b w:val="1"/>
                <w:bCs w:val="1"/>
                <w:color w:val="auto"/>
                <w:w w:val="91"/>
              </w:rPr>
              <w:t>Delaware</w:t>
            </w:r>
          </w:p>
        </w:tc>
        <w:tc>
          <w:tcPr>
            <w:tcW w:w="2880" w:type="dxa"/>
            <w:vAlign w:val="bottom"/>
          </w:tcPr>
          <w:p>
            <w:pPr>
              <w:jc w:val="right"/>
              <w:ind w:right="861"/>
              <w:spacing w:after="0"/>
              <w:rPr>
                <w:sz w:val="20"/>
                <w:szCs w:val="20"/>
                <w:color w:val="auto"/>
              </w:rPr>
            </w:pPr>
            <w:r>
              <w:rPr>
                <w:rFonts w:ascii="Arial" w:cs="Arial" w:eastAsia="Arial" w:hAnsi="Arial"/>
                <w:sz w:val="22"/>
                <w:szCs w:val="22"/>
                <w:b w:val="1"/>
                <w:bCs w:val="1"/>
                <w:color w:val="auto"/>
              </w:rPr>
              <w:t>001-38485</w:t>
            </w:r>
          </w:p>
        </w:tc>
        <w:tc>
          <w:tcPr>
            <w:tcW w:w="620" w:type="dxa"/>
            <w:vAlign w:val="bottom"/>
          </w:tcPr>
          <w:p>
            <w:pPr>
              <w:spacing w:after="0"/>
              <w:rPr>
                <w:sz w:val="24"/>
                <w:szCs w:val="24"/>
                <w:color w:val="auto"/>
              </w:rPr>
            </w:pPr>
          </w:p>
        </w:tc>
        <w:tc>
          <w:tcPr>
            <w:tcW w:w="2840" w:type="dxa"/>
            <w:vAlign w:val="bottom"/>
          </w:tcPr>
          <w:p>
            <w:pPr>
              <w:jc w:val="center"/>
              <w:spacing w:after="0"/>
              <w:rPr>
                <w:sz w:val="20"/>
                <w:szCs w:val="20"/>
                <w:color w:val="auto"/>
              </w:rPr>
            </w:pPr>
            <w:r>
              <w:rPr>
                <w:rFonts w:ascii="Arial" w:cs="Arial" w:eastAsia="Arial" w:hAnsi="Arial"/>
                <w:sz w:val="22"/>
                <w:szCs w:val="22"/>
                <w:b w:val="1"/>
                <w:bCs w:val="1"/>
                <w:color w:val="auto"/>
                <w:w w:val="90"/>
              </w:rPr>
              <w:t>32-0546926</w:t>
            </w:r>
          </w:p>
        </w:tc>
      </w:tr>
      <w:tr>
        <w:trPr>
          <w:trHeight w:val="31"/>
        </w:trPr>
        <w:tc>
          <w:tcPr>
            <w:tcW w:w="3620" w:type="dxa"/>
            <w:vAlign w:val="bottom"/>
            <w:tcBorders>
              <w:bottom w:val="single" w:sz="8" w:color="auto"/>
            </w:tcBorders>
          </w:tcPr>
          <w:p>
            <w:pPr>
              <w:spacing w:after="0"/>
              <w:rPr>
                <w:sz w:val="2"/>
                <w:szCs w:val="2"/>
                <w:color w:val="auto"/>
              </w:rPr>
            </w:pPr>
          </w:p>
        </w:tc>
        <w:tc>
          <w:tcPr>
            <w:tcW w:w="620" w:type="dxa"/>
            <w:vAlign w:val="bottom"/>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c>
          <w:tcPr>
            <w:tcW w:w="620" w:type="dxa"/>
            <w:vAlign w:val="bottom"/>
          </w:tcPr>
          <w:p>
            <w:pPr>
              <w:spacing w:after="0"/>
              <w:rPr>
                <w:sz w:val="2"/>
                <w:szCs w:val="2"/>
                <w:color w:val="auto"/>
              </w:rPr>
            </w:pPr>
          </w:p>
        </w:tc>
        <w:tc>
          <w:tcPr>
            <w:tcW w:w="2840" w:type="dxa"/>
            <w:vAlign w:val="bottom"/>
            <w:tcBorders>
              <w:bottom w:val="single" w:sz="8" w:color="auto"/>
            </w:tcBorders>
          </w:tcPr>
          <w:p>
            <w:pPr>
              <w:spacing w:after="0"/>
              <w:rPr>
                <w:sz w:val="2"/>
                <w:szCs w:val="2"/>
                <w:color w:val="auto"/>
              </w:rPr>
            </w:pPr>
          </w:p>
        </w:tc>
      </w:tr>
      <w:tr>
        <w:trPr>
          <w:trHeight w:val="222"/>
        </w:trPr>
        <w:tc>
          <w:tcPr>
            <w:tcW w:w="4240" w:type="dxa"/>
            <w:vAlign w:val="bottom"/>
            <w:gridSpan w:val="2"/>
          </w:tcPr>
          <w:p>
            <w:pPr>
              <w:jc w:val="center"/>
              <w:ind w:right="640"/>
              <w:spacing w:after="0"/>
              <w:rPr>
                <w:sz w:val="20"/>
                <w:szCs w:val="20"/>
                <w:color w:val="auto"/>
              </w:rPr>
            </w:pPr>
            <w:r>
              <w:rPr>
                <w:rFonts w:ascii="Arial" w:cs="Arial" w:eastAsia="Arial" w:hAnsi="Arial"/>
                <w:sz w:val="18"/>
                <w:szCs w:val="18"/>
                <w:color w:val="auto"/>
                <w:w w:val="91"/>
              </w:rPr>
              <w:t>(State or other jurisdiction</w:t>
            </w:r>
          </w:p>
        </w:tc>
        <w:tc>
          <w:tcPr>
            <w:tcW w:w="3500" w:type="dxa"/>
            <w:vAlign w:val="bottom"/>
            <w:gridSpan w:val="2"/>
          </w:tcPr>
          <w:p>
            <w:pPr>
              <w:jc w:val="center"/>
              <w:ind w:right="600"/>
              <w:spacing w:after="0"/>
              <w:rPr>
                <w:sz w:val="20"/>
                <w:szCs w:val="20"/>
                <w:color w:val="auto"/>
              </w:rPr>
            </w:pPr>
            <w:r>
              <w:rPr>
                <w:rFonts w:ascii="Arial" w:cs="Arial" w:eastAsia="Arial" w:hAnsi="Arial"/>
                <w:sz w:val="18"/>
                <w:szCs w:val="18"/>
                <w:color w:val="auto"/>
                <w:w w:val="92"/>
              </w:rPr>
              <w:t>(Commission File Number)</w:t>
            </w:r>
          </w:p>
        </w:tc>
        <w:tc>
          <w:tcPr>
            <w:tcW w:w="2840" w:type="dxa"/>
            <w:vAlign w:val="bottom"/>
          </w:tcPr>
          <w:p>
            <w:pPr>
              <w:jc w:val="center"/>
              <w:spacing w:after="0"/>
              <w:rPr>
                <w:sz w:val="20"/>
                <w:szCs w:val="20"/>
                <w:color w:val="auto"/>
              </w:rPr>
            </w:pPr>
            <w:r>
              <w:rPr>
                <w:rFonts w:ascii="Arial" w:cs="Arial" w:eastAsia="Arial" w:hAnsi="Arial"/>
                <w:sz w:val="18"/>
                <w:szCs w:val="18"/>
                <w:color w:val="auto"/>
                <w:w w:val="93"/>
              </w:rPr>
              <w:t>(IRS Employer</w:t>
            </w:r>
          </w:p>
        </w:tc>
      </w:tr>
      <w:tr>
        <w:trPr>
          <w:trHeight w:val="230"/>
        </w:trPr>
        <w:tc>
          <w:tcPr>
            <w:tcW w:w="4240" w:type="dxa"/>
            <w:vAlign w:val="bottom"/>
            <w:gridSpan w:val="2"/>
          </w:tcPr>
          <w:p>
            <w:pPr>
              <w:jc w:val="center"/>
              <w:ind w:right="580"/>
              <w:spacing w:after="0"/>
              <w:rPr>
                <w:sz w:val="20"/>
                <w:szCs w:val="20"/>
                <w:color w:val="auto"/>
              </w:rPr>
            </w:pPr>
            <w:r>
              <w:rPr>
                <w:rFonts w:ascii="Arial" w:cs="Arial" w:eastAsia="Arial" w:hAnsi="Arial"/>
                <w:sz w:val="18"/>
                <w:szCs w:val="18"/>
                <w:color w:val="auto"/>
                <w:w w:val="93"/>
              </w:rPr>
              <w:t>of incorporation)</w:t>
            </w:r>
          </w:p>
        </w:tc>
        <w:tc>
          <w:tcPr>
            <w:tcW w:w="28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4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27" w:lineRule="exact"/>
        <w:rPr>
          <w:sz w:val="24"/>
          <w:szCs w:val="24"/>
          <w:color w:val="auto"/>
        </w:rPr>
      </w:pPr>
    </w:p>
    <w:p>
      <w:pPr>
        <w:ind w:left="4880"/>
        <w:spacing w:after="0"/>
        <w:rPr>
          <w:sz w:val="20"/>
          <w:szCs w:val="20"/>
          <w:color w:val="auto"/>
        </w:rPr>
      </w:pPr>
      <w:r>
        <w:rPr>
          <w:rFonts w:ascii="Arial" w:cs="Arial" w:eastAsia="Arial" w:hAnsi="Arial"/>
          <w:sz w:val="22"/>
          <w:szCs w:val="22"/>
          <w:b w:val="1"/>
          <w:bCs w:val="1"/>
          <w:color w:val="auto"/>
        </w:rPr>
        <w:t>400 Crossing Blvd</w:t>
      </w:r>
    </w:p>
    <w:p>
      <w:pPr>
        <w:spacing w:after="0" w:line="28" w:lineRule="exact"/>
        <w:rPr>
          <w:sz w:val="24"/>
          <w:szCs w:val="24"/>
          <w:color w:val="auto"/>
        </w:rPr>
      </w:pPr>
    </w:p>
    <w:p>
      <w:pPr>
        <w:ind w:left="4680"/>
        <w:spacing w:after="0"/>
        <w:rPr>
          <w:sz w:val="20"/>
          <w:szCs w:val="20"/>
          <w:color w:val="auto"/>
        </w:rPr>
      </w:pPr>
      <w:r>
        <w:rPr>
          <w:rFonts w:ascii="Arial" w:cs="Arial" w:eastAsia="Arial" w:hAnsi="Arial"/>
          <w:sz w:val="22"/>
          <w:szCs w:val="22"/>
          <w:b w:val="1"/>
          <w:bCs w:val="1"/>
          <w:color w:val="auto"/>
        </w:rPr>
        <w:t>Bridgewater, NJ 08807</w:t>
      </w:r>
    </w:p>
    <w:p>
      <w:pPr>
        <w:spacing w:after="0" w:line="4" w:lineRule="exact"/>
        <w:rPr>
          <w:sz w:val="24"/>
          <w:szCs w:val="24"/>
          <w:color w:val="auto"/>
        </w:rPr>
      </w:pPr>
    </w:p>
    <w:p>
      <w:pPr>
        <w:ind w:left="3660"/>
        <w:spacing w:after="0"/>
        <w:rPr>
          <w:sz w:val="20"/>
          <w:szCs w:val="20"/>
          <w:color w:val="auto"/>
        </w:rPr>
      </w:pPr>
      <w:r>
        <w:rPr>
          <w:rFonts w:ascii="Arial" w:cs="Arial" w:eastAsia="Arial" w:hAnsi="Arial"/>
          <w:sz w:val="22"/>
          <w:szCs w:val="22"/>
          <w:color w:val="auto"/>
        </w:rPr>
        <w:t>(Address of principal executive offices) (Zip Code)</w:t>
      </w:r>
    </w:p>
    <w:p>
      <w:pPr>
        <w:spacing w:after="0" w:line="236" w:lineRule="exact"/>
        <w:rPr>
          <w:sz w:val="24"/>
          <w:szCs w:val="24"/>
          <w:color w:val="auto"/>
        </w:rPr>
      </w:pPr>
    </w:p>
    <w:p>
      <w:pPr>
        <w:jc w:val="center"/>
        <w:ind w:left="340"/>
        <w:spacing w:after="0"/>
        <w:rPr>
          <w:sz w:val="20"/>
          <w:szCs w:val="20"/>
          <w:color w:val="auto"/>
        </w:rPr>
      </w:pPr>
      <w:r>
        <w:rPr>
          <w:rFonts w:ascii="Arial" w:cs="Arial" w:eastAsia="Arial" w:hAnsi="Arial"/>
          <w:sz w:val="22"/>
          <w:szCs w:val="22"/>
          <w:color w:val="auto"/>
        </w:rPr>
        <w:t xml:space="preserve">Registrant’s telephone number, including area code: </w:t>
      </w:r>
      <w:r>
        <w:rPr>
          <w:rFonts w:ascii="Arial" w:cs="Arial" w:eastAsia="Arial" w:hAnsi="Arial"/>
          <w:sz w:val="22"/>
          <w:szCs w:val="22"/>
          <w:b w:val="1"/>
          <w:bCs w:val="1"/>
          <w:color w:val="auto"/>
        </w:rPr>
        <w:t>(908) 947-3120</w:t>
      </w:r>
    </w:p>
    <w:p>
      <w:pPr>
        <w:spacing w:after="0" w:line="28" w:lineRule="exact"/>
        <w:rPr>
          <w:sz w:val="24"/>
          <w:szCs w:val="24"/>
          <w:color w:val="auto"/>
        </w:rPr>
      </w:pPr>
    </w:p>
    <w:p>
      <w:pPr>
        <w:jc w:val="center"/>
        <w:ind w:left="340"/>
        <w:spacing w:after="0"/>
        <w:rPr>
          <w:sz w:val="20"/>
          <w:szCs w:val="20"/>
          <w:color w:val="auto"/>
        </w:rPr>
      </w:pPr>
      <w:r>
        <w:rPr>
          <w:rFonts w:ascii="Arial" w:cs="Arial" w:eastAsia="Arial" w:hAnsi="Arial"/>
          <w:sz w:val="22"/>
          <w:szCs w:val="22"/>
          <w:b w:val="1"/>
          <w:bCs w:val="1"/>
          <w:color w:val="auto"/>
        </w:rPr>
        <w:t>N/A</w:t>
      </w:r>
    </w:p>
    <w:p>
      <w:pPr>
        <w:spacing w:after="0" w:line="4" w:lineRule="exact"/>
        <w:rPr>
          <w:sz w:val="24"/>
          <w:szCs w:val="24"/>
          <w:color w:val="auto"/>
        </w:rPr>
      </w:pPr>
    </w:p>
    <w:p>
      <w:pPr>
        <w:jc w:val="center"/>
        <w:ind w:left="340"/>
        <w:spacing w:after="0"/>
        <w:rPr>
          <w:sz w:val="20"/>
          <w:szCs w:val="20"/>
          <w:color w:val="auto"/>
        </w:rPr>
      </w:pPr>
      <w:r>
        <w:rPr>
          <w:rFonts w:ascii="Arial" w:cs="Arial" w:eastAsia="Arial" w:hAnsi="Arial"/>
          <w:sz w:val="22"/>
          <w:szCs w:val="22"/>
          <w:color w:val="auto"/>
        </w:rPr>
        <w:t>(Former Name or Former Address, if Changed Since Last Report)</w:t>
      </w:r>
    </w:p>
    <w:p>
      <w:pPr>
        <w:spacing w:after="0" w:line="195"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360"/>
          </w:cols>
          <w:pgMar w:left="240" w:top="684" w:right="299" w:bottom="1440" w:gutter="0" w:footer="0" w:header="0"/>
        </w:sectPr>
      </w:pPr>
    </w:p>
    <w:p>
      <w:pPr>
        <w:spacing w:after="0" w:line="171" w:lineRule="exact"/>
        <w:rPr>
          <w:sz w:val="24"/>
          <w:szCs w:val="24"/>
          <w:color w:val="auto"/>
        </w:rPr>
      </w:pPr>
    </w:p>
    <w:p>
      <w:pPr>
        <w:jc w:val="center"/>
        <w:ind w:left="860"/>
        <w:spacing w:after="0"/>
        <w:rPr>
          <w:sz w:val="20"/>
          <w:szCs w:val="20"/>
          <w:color w:val="auto"/>
        </w:rPr>
      </w:pPr>
      <w:r>
        <w:rPr>
          <w:rFonts w:ascii="Arial" w:cs="Arial" w:eastAsia="Arial" w:hAnsi="Arial"/>
          <w:sz w:val="16"/>
          <w:szCs w:val="16"/>
          <w:color w:val="auto"/>
        </w:rPr>
        <w:t>Title of each class</w:t>
      </w:r>
    </w:p>
    <w:p>
      <w:pPr>
        <w:spacing w:after="0" w:line="20" w:lineRule="exact"/>
        <w:rPr>
          <w:sz w:val="24"/>
          <w:szCs w:val="24"/>
          <w:color w:val="auto"/>
        </w:rPr>
      </w:pPr>
      <w:r>
        <w:rPr>
          <w:sz w:val="24"/>
          <w:szCs w:val="24"/>
          <w:color w:val="auto"/>
        </w:rPr>
        <w:br w:type="column"/>
      </w:r>
    </w:p>
    <w:p>
      <w:pPr>
        <w:spacing w:after="0" w:line="151" w:lineRule="exact"/>
        <w:rPr>
          <w:sz w:val="24"/>
          <w:szCs w:val="24"/>
          <w:color w:val="auto"/>
        </w:rPr>
      </w:pPr>
    </w:p>
    <w:p>
      <w:pPr>
        <w:spacing w:after="0"/>
        <w:rPr>
          <w:sz w:val="20"/>
          <w:szCs w:val="20"/>
          <w:color w:val="auto"/>
        </w:rPr>
      </w:pPr>
      <w:r>
        <w:rPr>
          <w:rFonts w:ascii="Arial" w:cs="Arial" w:eastAsia="Arial" w:hAnsi="Arial"/>
          <w:sz w:val="16"/>
          <w:szCs w:val="16"/>
          <w:color w:val="auto"/>
        </w:rPr>
        <w:t>Trading Symbol(s)</w:t>
      </w:r>
    </w:p>
    <w:p>
      <w:pPr>
        <w:spacing w:after="0" w:line="20" w:lineRule="exact"/>
        <w:rPr>
          <w:sz w:val="24"/>
          <w:szCs w:val="24"/>
          <w:color w:val="auto"/>
        </w:rPr>
      </w:pPr>
      <w:r>
        <w:rPr>
          <w:sz w:val="24"/>
          <w:szCs w:val="24"/>
          <w:color w:val="auto"/>
        </w:rPr>
        <w:br w:type="column"/>
      </w:r>
    </w:p>
    <w:p>
      <w:pPr>
        <w:spacing w:after="0" w:line="151" w:lineRule="exact"/>
        <w:rPr>
          <w:sz w:val="24"/>
          <w:szCs w:val="24"/>
          <w:color w:val="auto"/>
        </w:rPr>
      </w:pPr>
    </w:p>
    <w:p>
      <w:pPr>
        <w:spacing w:after="0"/>
        <w:rPr>
          <w:sz w:val="20"/>
          <w:szCs w:val="20"/>
          <w:color w:val="auto"/>
        </w:rPr>
      </w:pPr>
      <w:r>
        <w:rPr>
          <w:rFonts w:ascii="Arial" w:cs="Arial" w:eastAsia="Arial" w:hAnsi="Arial"/>
          <w:sz w:val="16"/>
          <w:szCs w:val="16"/>
          <w:color w:val="auto"/>
        </w:rPr>
        <w:t>Name of each exchange on which registered</w:t>
      </w:r>
    </w:p>
    <w:p>
      <w:pPr>
        <w:spacing w:after="0" w:line="86" w:lineRule="exact"/>
        <w:rPr>
          <w:sz w:val="24"/>
          <w:szCs w:val="24"/>
          <w:color w:val="auto"/>
        </w:rPr>
      </w:pPr>
    </w:p>
    <w:p>
      <w:pPr>
        <w:sectPr>
          <w:pgSz w:w="11900" w:h="16838" w:orient="portrait"/>
          <w:cols w:equalWidth="0" w:num="3">
            <w:col w:w="4720" w:space="720"/>
            <w:col w:w="1460" w:space="720"/>
            <w:col w:w="3740"/>
          </w:cols>
          <w:pgMar w:left="240" w:top="684" w:right="299" w:bottom="1440" w:gutter="0" w:footer="0" w:header="0"/>
          <w:type w:val="continuous"/>
        </w:sectPr>
      </w:pPr>
    </w:p>
    <w:p>
      <w:pPr>
        <w:ind w:left="980"/>
        <w:spacing w:after="0"/>
        <w:rPr>
          <w:sz w:val="20"/>
          <w:szCs w:val="20"/>
          <w:color w:val="auto"/>
        </w:rPr>
      </w:pPr>
      <w:r>
        <w:rPr>
          <w:rFonts w:ascii="Arial" w:cs="Arial" w:eastAsia="Arial" w:hAnsi="Arial"/>
          <w:sz w:val="16"/>
          <w:szCs w:val="16"/>
          <w:color w:val="auto"/>
        </w:rPr>
        <w:t>Class A Common Stock, par value $0.01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AMRX</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New York Stock Exchange</w:t>
      </w:r>
    </w:p>
    <w:p>
      <w:pPr>
        <w:spacing w:after="0" w:line="222" w:lineRule="exact"/>
        <w:rPr>
          <w:sz w:val="24"/>
          <w:szCs w:val="24"/>
          <w:color w:val="auto"/>
        </w:rPr>
      </w:pPr>
    </w:p>
    <w:p>
      <w:pPr>
        <w:sectPr>
          <w:pgSz w:w="11900" w:h="16838" w:orient="portrait"/>
          <w:cols w:equalWidth="0" w:num="3">
            <w:col w:w="5120" w:space="720"/>
            <w:col w:w="1680" w:space="720"/>
            <w:col w:w="3120"/>
          </w:cols>
          <w:pgMar w:left="240" w:top="684" w:right="299" w:bottom="1440" w:gutter="0" w:footer="0" w:header="0"/>
          <w:type w:val="continuous"/>
        </w:sectPr>
      </w:pPr>
    </w:p>
    <w:p>
      <w:pPr>
        <w:spacing w:after="0" w:line="120" w:lineRule="exact"/>
        <w:rPr>
          <w:sz w:val="24"/>
          <w:szCs w:val="24"/>
          <w:color w:val="auto"/>
        </w:rPr>
      </w:pPr>
    </w:p>
    <w:p>
      <w:pPr>
        <w:ind w:right="60"/>
        <w:spacing w:after="0" w:line="301"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r>
        <w:rPr>
          <w:rFonts w:ascii="Arial" w:cs="Arial" w:eastAsia="Arial" w:hAnsi="Arial"/>
          <w:sz w:val="21"/>
          <w:szCs w:val="21"/>
          <w:color w:val="auto"/>
        </w:rPr>
        <w:t>:</w:t>
      </w:r>
    </w:p>
    <w:p>
      <w:pPr>
        <w:spacing w:after="0" w:line="194"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84"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360"/>
          </w:cols>
          <w:pgMar w:left="240" w:top="684" w:right="299" w:bottom="1440" w:gutter="0" w:footer="0" w:header="0"/>
          <w:type w:val="continuous"/>
        </w:sectPr>
      </w:pPr>
    </w:p>
    <w:bookmarkStart w:id="1" w:name="page2"/>
    <w:bookmarkEnd w:id="1"/>
    <w:p>
      <w:pPr>
        <w:spacing w:after="0"/>
        <w:tabs>
          <w:tab w:leader="none" w:pos="8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29"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On August 5, 2019, Amneal Pharmaceuticals, Inc. (the “Company”) issued a press release announcing its results for the second quarter ended June 30, 2019. A copy of the press release is attached hereto as Exhibit 99.1 and incorporated by reference herein.</w:t>
      </w:r>
    </w:p>
    <w:p>
      <w:pPr>
        <w:spacing w:after="0" w:line="170"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auto"/>
        </w:rPr>
        <w:t>The information in this report furnished pursuant to Item 2.02, including Exhibit 99.1 attached hereto, shall not be deemed “filed” for the purposes of Section 18 of the Securities Exchange Act of 1934, as amended (the “Exchange Act”), or otherwise subject to the liabilities of that section. It may only be incorporated by reference in another filing under the Exchange Act or the Securities Act of 1933, as amended (the "Securities Act"), if such subsequent filing specifically references the information furnished pursuant to Item 2.02 of this report.</w:t>
      </w:r>
    </w:p>
    <w:p>
      <w:pPr>
        <w:spacing w:after="0" w:line="23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w:t>
      </w:r>
    </w:p>
    <w:p>
      <w:pPr>
        <w:spacing w:after="0" w:line="270"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The Company announced that the conference call discussing the Company’s financial results for the second quarter ended June 30, 2019 (the “Earnings Call”) originally scheduled to be held on Thursday, August 8, 2019 at 8:30 a.m. Eastern Time was being moved to Monday, August 5, 2019 at 8:30 a.m. Eastern Time. To access the Earnings Call through a conference line, dial (844) 746-0741 (in the U.S.) and (412) 317-5273 (international callers). The webcast of the Earnings Call will be accessible through the Investor Relations section of the Company's website at https://investors.amneal.com.</w:t>
      </w:r>
    </w:p>
    <w:p>
      <w:pPr>
        <w:spacing w:after="0" w:line="154"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The Company intends to reference an investor presentation during the Earnings Call. A copy of the presentation can be accessed at the investors section of the Company’s website, https://investors.amneal.com, under the “Events &amp; Presentations” heading.</w:t>
      </w:r>
    </w:p>
    <w:p>
      <w:pPr>
        <w:spacing w:after="0" w:line="170" w:lineRule="exact"/>
        <w:rPr>
          <w:sz w:val="20"/>
          <w:szCs w:val="20"/>
          <w:color w:val="auto"/>
        </w:rPr>
      </w:pPr>
    </w:p>
    <w:p>
      <w:pPr>
        <w:ind w:right="220" w:firstLine="648"/>
        <w:spacing w:after="0" w:line="286" w:lineRule="auto"/>
        <w:rPr>
          <w:sz w:val="20"/>
          <w:szCs w:val="20"/>
          <w:color w:val="auto"/>
        </w:rPr>
      </w:pPr>
      <w:r>
        <w:rPr>
          <w:rFonts w:ascii="Arial" w:cs="Arial" w:eastAsia="Arial" w:hAnsi="Arial"/>
          <w:sz w:val="17"/>
          <w:szCs w:val="17"/>
          <w:color w:val="auto"/>
        </w:rPr>
        <w:t>The information in this report furnished pursuant to Item 7.01 shall not be deemed “filed” for the purposes of Section 18 of the Exchange Act or otherwise subject to the liabilities of that section. It may only be incorporated by reference in another filing under the Exchange Act or the Securities Act if such subsequent filing specifically references the information furnished pursuant to Item 7.01 of this report.</w:t>
      </w:r>
    </w:p>
    <w:p>
      <w:pPr>
        <w:spacing w:after="0" w:line="20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ind w:left="440" w:hanging="432"/>
        <w:spacing w:after="0"/>
        <w:tabs>
          <w:tab w:leader="none" w:pos="4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following exhibit is furnished herewith</w:t>
      </w:r>
    </w:p>
    <w:p>
      <w:pPr>
        <w:spacing w:after="0" w:line="167" w:lineRule="exact"/>
        <w:rPr>
          <w:sz w:val="20"/>
          <w:szCs w:val="20"/>
          <w:color w:val="auto"/>
        </w:rPr>
      </w:pPr>
    </w:p>
    <w:p>
      <w:pPr>
        <w:ind w:left="940"/>
        <w:spacing w:after="0"/>
        <w:tabs>
          <w:tab w:leader="none" w:pos="2160" w:val="left"/>
        </w:tabs>
        <w:rPr>
          <w:sz w:val="20"/>
          <w:szCs w:val="20"/>
          <w:color w:val="auto"/>
        </w:rPr>
      </w:pPr>
      <w:r>
        <w:rPr>
          <w:rFonts w:ascii="Arial" w:cs="Arial" w:eastAsia="Arial" w:hAnsi="Arial"/>
          <w:sz w:val="18"/>
          <w:szCs w:val="18"/>
          <w:b w:val="1"/>
          <w:bCs w:val="1"/>
          <w:u w:val="single" w:color="auto"/>
          <w:color w:val="auto"/>
        </w:rPr>
        <w:t>Exhibit No.</w:t>
      </w:r>
      <w:r>
        <w:rPr>
          <w:sz w:val="20"/>
          <w:szCs w:val="20"/>
          <w:color w:val="auto"/>
        </w:rPr>
        <w:tab/>
      </w:r>
      <w:r>
        <w:rPr>
          <w:rFonts w:ascii="Arial" w:cs="Arial" w:eastAsia="Arial" w:hAnsi="Arial"/>
          <w:sz w:val="16"/>
          <w:szCs w:val="16"/>
          <w:b w:val="1"/>
          <w:bCs w:val="1"/>
          <w:u w:val="single" w:color="auto"/>
          <w:color w:val="auto"/>
        </w:rPr>
        <w:t>Description</w:t>
      </w:r>
    </w:p>
    <w:p>
      <w:pPr>
        <w:spacing w:after="0" w:line="67" w:lineRule="exact"/>
        <w:rPr>
          <w:sz w:val="20"/>
          <w:szCs w:val="20"/>
          <w:color w:val="auto"/>
        </w:rPr>
      </w:pPr>
    </w:p>
    <w:p>
      <w:pPr>
        <w:ind w:left="1380"/>
        <w:spacing w:after="0"/>
        <w:tabs>
          <w:tab w:leader="none" w:pos="2160" w:val="left"/>
        </w:tabs>
        <w:rPr>
          <w:sz w:val="20"/>
          <w:szCs w:val="20"/>
          <w:color w:val="auto"/>
        </w:rPr>
      </w:pPr>
      <w:r>
        <w:rPr>
          <w:rFonts w:ascii="Arial" w:cs="Arial" w:eastAsia="Arial" w:hAnsi="Arial"/>
          <w:sz w:val="18"/>
          <w:szCs w:val="18"/>
          <w:u w:val="single" w:color="auto"/>
          <w:color w:val="0000FF"/>
        </w:rPr>
        <w:t>99.1</w:t>
      </w:r>
      <w:r>
        <w:rPr>
          <w:sz w:val="20"/>
          <w:szCs w:val="20"/>
          <w:color w:val="auto"/>
        </w:rPr>
        <w:tab/>
      </w:r>
      <w:r>
        <w:rPr>
          <w:rFonts w:ascii="Arial" w:cs="Arial" w:eastAsia="Arial" w:hAnsi="Arial"/>
          <w:sz w:val="15"/>
          <w:szCs w:val="15"/>
          <w:u w:val="single" w:color="auto"/>
          <w:color w:val="0000FF"/>
        </w:rPr>
        <w:t>Press release issued August 5, 2019.</w:t>
      </w:r>
    </w:p>
    <w:p>
      <w:pPr>
        <w:sectPr>
          <w:pgSz w:w="11900" w:h="16838" w:orient="portrait"/>
          <w:cols w:equalWidth="0" w:num="1">
            <w:col w:w="11400"/>
          </w:cols>
          <w:pgMar w:left="240" w:top="796" w:right="25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22"/>
          <w:szCs w:val="22"/>
          <w:b w:val="1"/>
          <w:bCs w:val="1"/>
          <w:color w:val="auto"/>
        </w:rPr>
        <w:t>SIGNATURES</w:t>
      </w:r>
    </w:p>
    <w:p>
      <w:pPr>
        <w:spacing w:after="0" w:line="260"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73" w:lineRule="exact"/>
        <w:rPr>
          <w:sz w:val="20"/>
          <w:szCs w:val="20"/>
          <w:color w:val="auto"/>
        </w:rPr>
      </w:pPr>
    </w:p>
    <w:tbl>
      <w:tblPr>
        <w:tblLayout w:type="fixed"/>
        <w:tblInd w:w="1240" w:type="dxa"/>
        <w:tblCellMar>
          <w:top w:w="0" w:type="dxa"/>
          <w:left w:w="0" w:type="dxa"/>
          <w:bottom w:w="0" w:type="dxa"/>
          <w:right w:w="0" w:type="dxa"/>
        </w:tblCellMar>
      </w:tblPr>
      <w:tr>
        <w:trPr>
          <w:trHeight w:val="230"/>
        </w:trPr>
        <w:tc>
          <w:tcPr>
            <w:tcW w:w="4220" w:type="dxa"/>
            <w:vAlign w:val="bottom"/>
          </w:tcPr>
          <w:p>
            <w:pPr>
              <w:spacing w:after="0"/>
              <w:rPr>
                <w:sz w:val="20"/>
                <w:szCs w:val="20"/>
                <w:color w:val="auto"/>
              </w:rPr>
            </w:pPr>
            <w:r>
              <w:rPr>
                <w:rFonts w:ascii="Arial" w:cs="Arial" w:eastAsia="Arial" w:hAnsi="Arial"/>
                <w:sz w:val="18"/>
                <w:szCs w:val="18"/>
                <w:color w:val="auto"/>
              </w:rPr>
              <w:t>Date: August 5, 2019</w:t>
            </w:r>
          </w:p>
        </w:tc>
        <w:tc>
          <w:tcPr>
            <w:tcW w:w="4420" w:type="dxa"/>
            <w:vAlign w:val="bottom"/>
            <w:gridSpan w:val="2"/>
          </w:tcPr>
          <w:p>
            <w:pPr>
              <w:ind w:left="20"/>
              <w:spacing w:after="0"/>
              <w:rPr>
                <w:sz w:val="20"/>
                <w:szCs w:val="20"/>
                <w:color w:val="auto"/>
              </w:rPr>
            </w:pPr>
            <w:r>
              <w:rPr>
                <w:rFonts w:ascii="Arial" w:cs="Arial" w:eastAsia="Arial" w:hAnsi="Arial"/>
                <w:sz w:val="18"/>
                <w:szCs w:val="18"/>
                <w:color w:val="auto"/>
              </w:rPr>
              <w:t>AMNEAL PHARMACEUTICALS, INC.</w:t>
            </w:r>
          </w:p>
        </w:tc>
      </w:tr>
      <w:tr>
        <w:trPr>
          <w:trHeight w:val="594"/>
        </w:trPr>
        <w:tc>
          <w:tcPr>
            <w:tcW w:w="4220" w:type="dxa"/>
            <w:vAlign w:val="bottom"/>
          </w:tcPr>
          <w:p>
            <w:pPr>
              <w:spacing w:after="0"/>
              <w:rPr>
                <w:sz w:val="24"/>
                <w:szCs w:val="24"/>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By:</w:t>
            </w:r>
          </w:p>
        </w:tc>
        <w:tc>
          <w:tcPr>
            <w:tcW w:w="3760" w:type="dxa"/>
            <w:vAlign w:val="bottom"/>
          </w:tcPr>
          <w:p>
            <w:pPr>
              <w:ind w:left="160"/>
              <w:spacing w:after="0"/>
              <w:rPr>
                <w:sz w:val="20"/>
                <w:szCs w:val="20"/>
                <w:color w:val="auto"/>
              </w:rPr>
            </w:pPr>
            <w:r>
              <w:rPr>
                <w:rFonts w:ascii="Arial" w:cs="Arial" w:eastAsia="Arial" w:hAnsi="Arial"/>
                <w:sz w:val="18"/>
                <w:szCs w:val="18"/>
                <w:color w:val="auto"/>
              </w:rPr>
              <w:t>/s/ Todd P. Branning</w:t>
            </w:r>
          </w:p>
        </w:tc>
      </w:tr>
      <w:tr>
        <w:trPr>
          <w:trHeight w:val="27"/>
        </w:trPr>
        <w:tc>
          <w:tcPr>
            <w:tcW w:w="422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760" w:type="dxa"/>
            <w:vAlign w:val="bottom"/>
            <w:tcBorders>
              <w:bottom w:val="single" w:sz="8" w:color="auto"/>
            </w:tcBorders>
          </w:tcPr>
          <w:p>
            <w:pPr>
              <w:spacing w:after="0"/>
              <w:rPr>
                <w:sz w:val="2"/>
                <w:szCs w:val="2"/>
                <w:color w:val="auto"/>
              </w:rPr>
            </w:pPr>
          </w:p>
        </w:tc>
      </w:tr>
      <w:tr>
        <w:trPr>
          <w:trHeight w:val="237"/>
        </w:trPr>
        <w:tc>
          <w:tcPr>
            <w:tcW w:w="4220" w:type="dxa"/>
            <w:vAlign w:val="bottom"/>
          </w:tcPr>
          <w:p>
            <w:pPr>
              <w:spacing w:after="0"/>
              <w:rPr>
                <w:sz w:val="20"/>
                <w:szCs w:val="20"/>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Name:</w:t>
            </w:r>
          </w:p>
        </w:tc>
        <w:tc>
          <w:tcPr>
            <w:tcW w:w="3760" w:type="dxa"/>
            <w:vAlign w:val="bottom"/>
          </w:tcPr>
          <w:p>
            <w:pPr>
              <w:ind w:left="160"/>
              <w:spacing w:after="0"/>
              <w:rPr>
                <w:sz w:val="20"/>
                <w:szCs w:val="20"/>
                <w:color w:val="auto"/>
              </w:rPr>
            </w:pPr>
            <w:r>
              <w:rPr>
                <w:rFonts w:ascii="Arial" w:cs="Arial" w:eastAsia="Arial" w:hAnsi="Arial"/>
                <w:sz w:val="18"/>
                <w:szCs w:val="18"/>
                <w:color w:val="auto"/>
              </w:rPr>
              <w:t>Todd P. Branning</w:t>
            </w:r>
          </w:p>
        </w:tc>
      </w:tr>
      <w:tr>
        <w:trPr>
          <w:trHeight w:val="256"/>
        </w:trPr>
        <w:tc>
          <w:tcPr>
            <w:tcW w:w="4220" w:type="dxa"/>
            <w:vAlign w:val="bottom"/>
          </w:tcPr>
          <w:p>
            <w:pPr>
              <w:spacing w:after="0"/>
              <w:rPr>
                <w:sz w:val="22"/>
                <w:szCs w:val="22"/>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Title:</w:t>
            </w:r>
          </w:p>
        </w:tc>
        <w:tc>
          <w:tcPr>
            <w:tcW w:w="3760" w:type="dxa"/>
            <w:vAlign w:val="bottom"/>
          </w:tcPr>
          <w:p>
            <w:pPr>
              <w:ind w:left="160"/>
              <w:spacing w:after="0"/>
              <w:rPr>
                <w:sz w:val="20"/>
                <w:szCs w:val="20"/>
                <w:color w:val="auto"/>
              </w:rPr>
            </w:pPr>
            <w:r>
              <w:rPr>
                <w:rFonts w:ascii="Arial" w:cs="Arial" w:eastAsia="Arial" w:hAnsi="Arial"/>
                <w:sz w:val="18"/>
                <w:szCs w:val="18"/>
                <w:color w:val="auto"/>
              </w:rPr>
              <w:t>Senior Vice President and Chief Financial</w:t>
            </w:r>
          </w:p>
        </w:tc>
      </w:tr>
      <w:tr>
        <w:trPr>
          <w:trHeight w:val="230"/>
        </w:trPr>
        <w:tc>
          <w:tcPr>
            <w:tcW w:w="4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3760" w:type="dxa"/>
            <w:vAlign w:val="bottom"/>
          </w:tcPr>
          <w:p>
            <w:pPr>
              <w:ind w:left="160"/>
              <w:spacing w:after="0"/>
              <w:rPr>
                <w:sz w:val="20"/>
                <w:szCs w:val="20"/>
                <w:color w:val="auto"/>
              </w:rPr>
            </w:pPr>
            <w:r>
              <w:rPr>
                <w:rFonts w:ascii="Arial" w:cs="Arial" w:eastAsia="Arial" w:hAnsi="Arial"/>
                <w:sz w:val="18"/>
                <w:szCs w:val="18"/>
                <w:color w:val="auto"/>
              </w:rPr>
              <w:t>Officer</w:t>
            </w:r>
          </w:p>
        </w:tc>
      </w:tr>
    </w:tbl>
    <w:p>
      <w:pPr>
        <w:sectPr>
          <w:pgSz w:w="11900" w:h="16838" w:orient="portrait"/>
          <w:cols w:equalWidth="0" w:num="1">
            <w:col w:w="10940"/>
          </w:cols>
          <w:pgMar w:left="580" w:top="841" w:right="37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3862070</wp:posOffset>
            </wp:positionH>
            <wp:positionV relativeFrom="page">
              <wp:posOffset>88900</wp:posOffset>
            </wp:positionV>
            <wp:extent cx="1217930" cy="523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217930" cy="523240"/>
                    </a:xfrm>
                    <a:prstGeom prst="rect">
                      <a:avLst/>
                    </a:prstGeom>
                    <a:noFill/>
                  </pic:spPr>
                </pic:pic>
              </a:graphicData>
            </a:graphic>
          </wp:anchor>
        </w:drawing>
        <w:t>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Mark Donohue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(908) 409-6718</w:t>
      </w:r>
    </w:p>
    <w:p>
      <w:pPr>
        <w:spacing w:after="0" w:line="229" w:lineRule="exact"/>
        <w:rPr>
          <w:sz w:val="20"/>
          <w:szCs w:val="20"/>
          <w:color w:val="auto"/>
        </w:rPr>
      </w:pPr>
    </w:p>
    <w:p>
      <w:pPr>
        <w:jc w:val="center"/>
        <w:ind w:right="20"/>
        <w:spacing w:after="0"/>
        <w:rPr>
          <w:sz w:val="20"/>
          <w:szCs w:val="20"/>
          <w:color w:val="auto"/>
        </w:rPr>
      </w:pPr>
      <w:r>
        <w:rPr>
          <w:rFonts w:ascii="Arial" w:cs="Arial" w:eastAsia="Arial" w:hAnsi="Arial"/>
          <w:sz w:val="20"/>
          <w:szCs w:val="20"/>
          <w:b w:val="1"/>
          <w:bCs w:val="1"/>
          <w:color w:val="auto"/>
        </w:rPr>
        <w:t>AMNEAL REPORTS SECOND QUARTER 2019 FINANCIAL RESULTS</w:t>
      </w:r>
    </w:p>
    <w:p>
      <w:pPr>
        <w:spacing w:after="0" w:line="162"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 Q2 2019 Net Revenue of $405 Million; GAAP Loss per share of $0.13; Combined Adjusted Diluted EPS</w:t>
      </w:r>
      <w:r>
        <w:rPr>
          <w:rFonts w:ascii="Arial" w:cs="Arial" w:eastAsia="Arial" w:hAnsi="Arial"/>
          <w:sz w:val="25"/>
          <w:szCs w:val="25"/>
          <w:i w:val="1"/>
          <w:iCs w:val="1"/>
          <w:color w:val="auto"/>
          <w:vertAlign w:val="superscript"/>
        </w:rPr>
        <w:t>(1)</w:t>
      </w:r>
      <w:r>
        <w:rPr>
          <w:rFonts w:ascii="Arial" w:cs="Arial" w:eastAsia="Arial" w:hAnsi="Arial"/>
          <w:sz w:val="18"/>
          <w:szCs w:val="18"/>
          <w:i w:val="1"/>
          <w:iCs w:val="1"/>
          <w:color w:val="auto"/>
        </w:rPr>
        <w:t xml:space="preserve"> of $0.09 ‒</w:t>
      </w:r>
    </w:p>
    <w:p>
      <w:pPr>
        <w:jc w:val="center"/>
        <w:ind w:right="20"/>
        <w:spacing w:after="0"/>
        <w:rPr>
          <w:sz w:val="20"/>
          <w:szCs w:val="20"/>
          <w:color w:val="auto"/>
        </w:rPr>
      </w:pPr>
      <w:r>
        <w:rPr>
          <w:rFonts w:ascii="Arial" w:cs="Arial" w:eastAsia="Arial" w:hAnsi="Arial"/>
          <w:sz w:val="18"/>
          <w:szCs w:val="18"/>
          <w:i w:val="1"/>
          <w:iCs w:val="1"/>
          <w:color w:val="auto"/>
        </w:rPr>
        <w:t>‒ Positive cash flow from operations of $21 million ‒</w:t>
      </w:r>
    </w:p>
    <w:p>
      <w:pPr>
        <w:spacing w:after="0" w:line="16"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 Reaffirms Full Year 2019 EBITDA Guidance ‒</w:t>
      </w:r>
    </w:p>
    <w:p>
      <w:pPr>
        <w:spacing w:after="0" w:line="2"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 Investor Call at 8:30 a.m. ET to Discuss Second Quarter 2019 Earnings Results ‒</w:t>
      </w:r>
    </w:p>
    <w:p>
      <w:pPr>
        <w:spacing w:after="0" w:line="212" w:lineRule="exact"/>
        <w:rPr>
          <w:sz w:val="20"/>
          <w:szCs w:val="20"/>
          <w:color w:val="auto"/>
        </w:rPr>
      </w:pPr>
    </w:p>
    <w:p>
      <w:pPr>
        <w:ind w:right="20"/>
        <w:spacing w:after="0" w:line="282" w:lineRule="auto"/>
        <w:rPr>
          <w:sz w:val="20"/>
          <w:szCs w:val="20"/>
          <w:color w:val="auto"/>
        </w:rPr>
      </w:pPr>
      <w:r>
        <w:rPr>
          <w:rFonts w:ascii="Arial" w:cs="Arial" w:eastAsia="Arial" w:hAnsi="Arial"/>
          <w:sz w:val="18"/>
          <w:szCs w:val="18"/>
          <w:b w:val="1"/>
          <w:bCs w:val="1"/>
          <w:color w:val="auto"/>
        </w:rPr>
        <w:t xml:space="preserve">BRIDGEWATER, NJ, August 5, 2019 - Amneal Pharmaceuticals, Inc. (NYSE: AMRX) </w:t>
      </w:r>
      <w:r>
        <w:rPr>
          <w:rFonts w:ascii="Arial" w:cs="Arial" w:eastAsia="Arial" w:hAnsi="Arial"/>
          <w:sz w:val="18"/>
          <w:szCs w:val="18"/>
          <w:color w:val="auto"/>
        </w:rPr>
        <w:t>(the “Company”) announced its results today for the second</w:t>
      </w:r>
      <w:r>
        <w:rPr>
          <w:rFonts w:ascii="Arial" w:cs="Arial" w:eastAsia="Arial" w:hAnsi="Arial"/>
          <w:sz w:val="18"/>
          <w:szCs w:val="18"/>
          <w:b w:val="1"/>
          <w:bCs w:val="1"/>
          <w:color w:val="auto"/>
        </w:rPr>
        <w:t xml:space="preserve"> </w:t>
      </w:r>
      <w:r>
        <w:rPr>
          <w:rFonts w:ascii="Arial" w:cs="Arial" w:eastAsia="Arial" w:hAnsi="Arial"/>
          <w:sz w:val="18"/>
          <w:szCs w:val="18"/>
          <w:color w:val="auto"/>
        </w:rPr>
        <w:t>quarter ended June 30, 2019.</w:t>
      </w: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GAAP and Non-GAAP Combined and Adjusted Results</w:t>
      </w:r>
    </w:p>
    <w:p>
      <w:pPr>
        <w:spacing w:after="0" w:line="32"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166" w:lineRule="exact"/>
        <w:rPr>
          <w:sz w:val="20"/>
          <w:szCs w:val="20"/>
          <w:color w:val="auto"/>
        </w:rPr>
      </w:pPr>
    </w:p>
    <w:tbl>
      <w:tblPr>
        <w:tblLayout w:type="fixed"/>
        <w:tblInd w:w="30" w:type="dxa"/>
        <w:tblCellMar>
          <w:top w:w="0" w:type="dxa"/>
          <w:left w:w="0" w:type="dxa"/>
          <w:bottom w:w="0" w:type="dxa"/>
          <w:right w:w="0" w:type="dxa"/>
        </w:tblCellMar>
      </w:tblPr>
      <w:tr>
        <w:trPr>
          <w:trHeight w:val="251"/>
        </w:trPr>
        <w:tc>
          <w:tcPr>
            <w:tcW w:w="7040" w:type="dxa"/>
            <w:vAlign w:val="bottom"/>
            <w:tcBorders>
              <w:top w:val="single" w:sz="8" w:color="auto"/>
              <w:left w:val="single" w:sz="8" w:color="auto"/>
            </w:tcBorders>
          </w:tcPr>
          <w:p>
            <w:pPr>
              <w:spacing w:after="0"/>
              <w:rPr>
                <w:sz w:val="21"/>
                <w:szCs w:val="21"/>
                <w:color w:val="auto"/>
              </w:rPr>
            </w:pPr>
          </w:p>
        </w:tc>
        <w:tc>
          <w:tcPr>
            <w:tcW w:w="180" w:type="dxa"/>
            <w:vAlign w:val="bottom"/>
            <w:tcBorders>
              <w:top w:val="single" w:sz="8" w:color="auto"/>
            </w:tcBorders>
          </w:tcPr>
          <w:p>
            <w:pPr>
              <w:spacing w:after="0"/>
              <w:rPr>
                <w:sz w:val="21"/>
                <w:szCs w:val="21"/>
                <w:color w:val="auto"/>
              </w:rPr>
            </w:pPr>
          </w:p>
        </w:tc>
        <w:tc>
          <w:tcPr>
            <w:tcW w:w="2960" w:type="dxa"/>
            <w:vAlign w:val="bottom"/>
            <w:tcBorders>
              <w:top w:val="single" w:sz="8" w:color="auto"/>
            </w:tcBorders>
            <w:gridSpan w:val="5"/>
          </w:tcPr>
          <w:p>
            <w:pPr>
              <w:ind w:left="600"/>
              <w:spacing w:after="0"/>
              <w:rPr>
                <w:sz w:val="20"/>
                <w:szCs w:val="20"/>
                <w:color w:val="auto"/>
              </w:rPr>
            </w:pPr>
            <w:r>
              <w:rPr>
                <w:rFonts w:ascii="Arial" w:cs="Arial" w:eastAsia="Arial" w:hAnsi="Arial"/>
                <w:sz w:val="16"/>
                <w:szCs w:val="16"/>
                <w:b w:val="1"/>
                <w:bCs w:val="1"/>
                <w:color w:val="auto"/>
              </w:rPr>
              <w:t>Three Months Ended</w:t>
            </w:r>
          </w:p>
        </w:tc>
        <w:tc>
          <w:tcPr>
            <w:tcW w:w="1240" w:type="dxa"/>
            <w:vAlign w:val="bottom"/>
            <w:tcBorders>
              <w:top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3"/>
        </w:trPr>
        <w:tc>
          <w:tcPr>
            <w:tcW w:w="7040" w:type="dxa"/>
            <w:vAlign w:val="bottom"/>
            <w:tcBorders>
              <w:lef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Borders>
              <w:right w:val="single" w:sz="8" w:color="auto"/>
            </w:tcBorders>
            <w:vMerge w:val="restart"/>
          </w:tcPr>
          <w:p>
            <w:pPr>
              <w:jc w:val="right"/>
              <w:ind w:right="199"/>
              <w:spacing w:after="0"/>
              <w:rPr>
                <w:sz w:val="20"/>
                <w:szCs w:val="20"/>
                <w:color w:val="auto"/>
              </w:rPr>
            </w:pPr>
            <w:r>
              <w:rPr>
                <w:rFonts w:ascii="Arial" w:cs="Arial" w:eastAsia="Arial" w:hAnsi="Arial"/>
                <w:sz w:val="16"/>
                <w:szCs w:val="16"/>
                <w:b w:val="1"/>
                <w:bCs w:val="1"/>
                <w:color w:val="auto"/>
              </w:rPr>
              <w:t>Year/ Year</w:t>
            </w:r>
          </w:p>
        </w:tc>
        <w:tc>
          <w:tcPr>
            <w:tcW w:w="0" w:type="dxa"/>
            <w:vAlign w:val="bottom"/>
          </w:tcPr>
          <w:p>
            <w:pPr>
              <w:spacing w:after="0"/>
              <w:rPr>
                <w:sz w:val="1"/>
                <w:szCs w:val="1"/>
                <w:color w:val="auto"/>
              </w:rPr>
            </w:pPr>
          </w:p>
        </w:tc>
      </w:tr>
      <w:tr>
        <w:trPr>
          <w:trHeight w:val="196"/>
        </w:trPr>
        <w:tc>
          <w:tcPr>
            <w:tcW w:w="7040" w:type="dxa"/>
            <w:vAlign w:val="bottom"/>
            <w:tcBorders>
              <w:left w:val="single" w:sz="8" w:color="auto"/>
            </w:tcBorders>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40" w:type="dxa"/>
            <w:vAlign w:val="bottom"/>
            <w:tcBorders>
              <w:left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380" w:type="dxa"/>
            <w:vAlign w:val="bottom"/>
            <w:gridSpan w:val="2"/>
          </w:tcPr>
          <w:p>
            <w:pPr>
              <w:ind w:left="60"/>
              <w:spacing w:after="0"/>
              <w:rPr>
                <w:sz w:val="20"/>
                <w:szCs w:val="20"/>
                <w:color w:val="auto"/>
              </w:rPr>
            </w:pPr>
            <w:r>
              <w:rPr>
                <w:rFonts w:ascii="Arial" w:cs="Arial" w:eastAsia="Arial" w:hAnsi="Arial"/>
                <w:sz w:val="16"/>
                <w:szCs w:val="16"/>
                <w:b w:val="1"/>
                <w:bCs w:val="1"/>
                <w:color w:val="auto"/>
              </w:rPr>
              <w:t>June 30, 2019</w:t>
            </w:r>
          </w:p>
        </w:tc>
        <w:tc>
          <w:tcPr>
            <w:tcW w:w="180" w:type="dxa"/>
            <w:vAlign w:val="bottom"/>
          </w:tcPr>
          <w:p>
            <w:pPr>
              <w:spacing w:after="0"/>
              <w:rPr>
                <w:sz w:val="18"/>
                <w:szCs w:val="18"/>
                <w:color w:val="auto"/>
              </w:rPr>
            </w:pPr>
          </w:p>
        </w:tc>
        <w:tc>
          <w:tcPr>
            <w:tcW w:w="1400" w:type="dxa"/>
            <w:vAlign w:val="bottom"/>
            <w:gridSpan w:val="2"/>
          </w:tcPr>
          <w:p>
            <w:pPr>
              <w:ind w:left="80"/>
              <w:spacing w:after="0"/>
              <w:rPr>
                <w:sz w:val="20"/>
                <w:szCs w:val="20"/>
                <w:color w:val="auto"/>
              </w:rPr>
            </w:pPr>
            <w:r>
              <w:rPr>
                <w:rFonts w:ascii="Arial" w:cs="Arial" w:eastAsia="Arial" w:hAnsi="Arial"/>
                <w:sz w:val="16"/>
                <w:szCs w:val="16"/>
                <w:b w:val="1"/>
                <w:bCs w:val="1"/>
                <w:color w:val="auto"/>
              </w:rPr>
              <w:t>June 30, 2018</w:t>
            </w:r>
          </w:p>
        </w:tc>
        <w:tc>
          <w:tcPr>
            <w:tcW w:w="1240" w:type="dxa"/>
            <w:vAlign w:val="bottom"/>
            <w:tcBorders>
              <w:right w:val="single" w:sz="8" w:color="auto"/>
            </w:tcBorders>
          </w:tcPr>
          <w:p>
            <w:pPr>
              <w:jc w:val="right"/>
              <w:ind w:right="259"/>
              <w:spacing w:after="0"/>
              <w:rPr>
                <w:sz w:val="20"/>
                <w:szCs w:val="20"/>
                <w:color w:val="auto"/>
              </w:rPr>
            </w:pPr>
            <w:r>
              <w:rPr>
                <w:rFonts w:ascii="Arial" w:cs="Arial" w:eastAsia="Arial" w:hAnsi="Arial"/>
                <w:sz w:val="16"/>
                <w:szCs w:val="16"/>
                <w:b w:val="1"/>
                <w:bCs w:val="1"/>
                <w:color w:val="auto"/>
              </w:rPr>
              <w:t>Variance</w:t>
            </w:r>
          </w:p>
        </w:tc>
        <w:tc>
          <w:tcPr>
            <w:tcW w:w="0" w:type="dxa"/>
            <w:vAlign w:val="bottom"/>
          </w:tcPr>
          <w:p>
            <w:pPr>
              <w:spacing w:after="0"/>
              <w:rPr>
                <w:sz w:val="1"/>
                <w:szCs w:val="1"/>
                <w:color w:val="auto"/>
              </w:rPr>
            </w:pPr>
          </w:p>
        </w:tc>
      </w:tr>
      <w:tr>
        <w:trPr>
          <w:trHeight w:val="33"/>
        </w:trPr>
        <w:tc>
          <w:tcPr>
            <w:tcW w:w="7040" w:type="dxa"/>
            <w:vAlign w:val="bottom"/>
            <w:tcBorders>
              <w:left w:val="single" w:sz="8" w:color="auto"/>
            </w:tcBorders>
            <w:vMerge w:val="restart"/>
          </w:tcPr>
          <w:p>
            <w:pPr>
              <w:ind w:left="40"/>
              <w:spacing w:after="0"/>
              <w:rPr>
                <w:sz w:val="20"/>
                <w:szCs w:val="20"/>
                <w:color w:val="auto"/>
              </w:rPr>
            </w:pPr>
            <w:r>
              <w:rPr>
                <w:rFonts w:ascii="Arial" w:cs="Arial" w:eastAsia="Arial" w:hAnsi="Arial"/>
                <w:sz w:val="16"/>
                <w:szCs w:val="16"/>
                <w:b w:val="1"/>
                <w:bCs w:val="1"/>
                <w:color w:val="auto"/>
              </w:rPr>
              <w:t>GAAP Results</w:t>
            </w:r>
            <w:r>
              <w:rPr>
                <w:rFonts w:ascii="Arial" w:cs="Arial" w:eastAsia="Arial" w:hAnsi="Arial"/>
                <w:sz w:val="21"/>
                <w:szCs w:val="21"/>
                <w:b w:val="1"/>
                <w:bCs w:val="1"/>
                <w:color w:val="auto"/>
                <w:vertAlign w:val="superscript"/>
              </w:rPr>
              <w:t>(2)</w:t>
            </w: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4"/>
        </w:trPr>
        <w:tc>
          <w:tcPr>
            <w:tcW w:w="7040" w:type="dxa"/>
            <w:vAlign w:val="bottom"/>
            <w:tcBorders>
              <w:left w:val="single" w:sz="8" w:color="auto"/>
            </w:tcBorders>
            <w:vMerge w:val="continue"/>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Net revenue</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404,642</w:t>
            </w:r>
          </w:p>
        </w:tc>
        <w:tc>
          <w:tcPr>
            <w:tcW w:w="100" w:type="dxa"/>
            <w:vAlign w:val="bottom"/>
          </w:tcPr>
          <w:p>
            <w:pPr>
              <w:spacing w:after="0"/>
              <w:rPr>
                <w:sz w:val="17"/>
                <w:szCs w:val="17"/>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413,787</w:t>
            </w:r>
          </w:p>
        </w:tc>
        <w:tc>
          <w:tcPr>
            <w:tcW w:w="120" w:type="dxa"/>
            <w:vAlign w:val="bottom"/>
          </w:tcPr>
          <w:p>
            <w:pPr>
              <w:spacing w:after="0"/>
              <w:rPr>
                <w:sz w:val="17"/>
                <w:szCs w:val="17"/>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70"/>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Net loss attributable to Amneal Pharmaceuticals, Inc.</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(16,902)</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(19,104)</w:t>
            </w:r>
          </w:p>
        </w:tc>
        <w:tc>
          <w:tcPr>
            <w:tcW w:w="120" w:type="dxa"/>
            <w:vAlign w:val="bottom"/>
          </w:tcPr>
          <w:p>
            <w:pPr>
              <w:spacing w:after="0"/>
              <w:rPr>
                <w:sz w:val="23"/>
                <w:szCs w:val="23"/>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11.5 %</w:t>
            </w:r>
          </w:p>
        </w:tc>
        <w:tc>
          <w:tcPr>
            <w:tcW w:w="0" w:type="dxa"/>
            <w:vAlign w:val="bottom"/>
          </w:tcPr>
          <w:p>
            <w:pPr>
              <w:spacing w:after="0"/>
              <w:rPr>
                <w:sz w:val="1"/>
                <w:szCs w:val="1"/>
                <w:color w:val="auto"/>
              </w:rPr>
            </w:pPr>
          </w:p>
        </w:tc>
      </w:tr>
      <w:tr>
        <w:trPr>
          <w:trHeight w:val="270"/>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Diluted loss per share attributable to Amneal Pharmaceuticals, Inc.</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(0.13)</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(0.15)</w:t>
            </w:r>
          </w:p>
        </w:tc>
        <w:tc>
          <w:tcPr>
            <w:tcW w:w="120" w:type="dxa"/>
            <w:vAlign w:val="bottom"/>
          </w:tcPr>
          <w:p>
            <w:pPr>
              <w:spacing w:after="0"/>
              <w:rPr>
                <w:sz w:val="23"/>
                <w:szCs w:val="23"/>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13.3 %</w:t>
            </w:r>
          </w:p>
        </w:tc>
        <w:tc>
          <w:tcPr>
            <w:tcW w:w="0" w:type="dxa"/>
            <w:vAlign w:val="bottom"/>
          </w:tcPr>
          <w:p>
            <w:pPr>
              <w:spacing w:after="0"/>
              <w:rPr>
                <w:sz w:val="1"/>
                <w:szCs w:val="1"/>
                <w:color w:val="auto"/>
              </w:rPr>
            </w:pPr>
          </w:p>
        </w:tc>
      </w:tr>
      <w:tr>
        <w:trPr>
          <w:trHeight w:val="455"/>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b w:val="1"/>
                <w:bCs w:val="1"/>
                <w:color w:val="auto"/>
              </w:rPr>
              <w:t>Non-GAAP Results</w:t>
            </w:r>
            <w:r>
              <w:rPr>
                <w:rFonts w:ascii="Arial" w:cs="Arial" w:eastAsia="Arial" w:hAnsi="Arial"/>
                <w:sz w:val="21"/>
                <w:szCs w:val="21"/>
                <w:b w:val="1"/>
                <w:bCs w:val="1"/>
                <w:color w:val="auto"/>
                <w:vertAlign w:val="superscript"/>
              </w:rPr>
              <w:t>(1)(3)</w:t>
            </w: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Combined net revenue</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404,642</w:t>
            </w:r>
          </w:p>
        </w:tc>
        <w:tc>
          <w:tcPr>
            <w:tcW w:w="100" w:type="dxa"/>
            <w:vAlign w:val="bottom"/>
          </w:tcPr>
          <w:p>
            <w:pPr>
              <w:spacing w:after="0"/>
              <w:rPr>
                <w:sz w:val="17"/>
                <w:szCs w:val="17"/>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462,328</w:t>
            </w:r>
          </w:p>
        </w:tc>
        <w:tc>
          <w:tcPr>
            <w:tcW w:w="120" w:type="dxa"/>
            <w:vAlign w:val="bottom"/>
          </w:tcPr>
          <w:p>
            <w:pPr>
              <w:spacing w:after="0"/>
              <w:rPr>
                <w:sz w:val="17"/>
                <w:szCs w:val="17"/>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(12.5)%</w:t>
            </w:r>
          </w:p>
        </w:tc>
        <w:tc>
          <w:tcPr>
            <w:tcW w:w="0" w:type="dxa"/>
            <w:vAlign w:val="bottom"/>
          </w:tcPr>
          <w:p>
            <w:pPr>
              <w:spacing w:after="0"/>
              <w:rPr>
                <w:sz w:val="1"/>
                <w:szCs w:val="1"/>
                <w:color w:val="auto"/>
              </w:rPr>
            </w:pPr>
          </w:p>
        </w:tc>
      </w:tr>
      <w:tr>
        <w:trPr>
          <w:trHeight w:val="270"/>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Combined adjusted net income</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26,669</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69,895</w:t>
            </w:r>
          </w:p>
        </w:tc>
        <w:tc>
          <w:tcPr>
            <w:tcW w:w="120" w:type="dxa"/>
            <w:vAlign w:val="bottom"/>
          </w:tcPr>
          <w:p>
            <w:pPr>
              <w:spacing w:after="0"/>
              <w:rPr>
                <w:sz w:val="23"/>
                <w:szCs w:val="23"/>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(61.8)%</w:t>
            </w:r>
          </w:p>
        </w:tc>
        <w:tc>
          <w:tcPr>
            <w:tcW w:w="0" w:type="dxa"/>
            <w:vAlign w:val="bottom"/>
          </w:tcPr>
          <w:p>
            <w:pPr>
              <w:spacing w:after="0"/>
              <w:rPr>
                <w:sz w:val="1"/>
                <w:szCs w:val="1"/>
                <w:color w:val="auto"/>
              </w:rPr>
            </w:pPr>
          </w:p>
        </w:tc>
      </w:tr>
      <w:tr>
        <w:trPr>
          <w:trHeight w:val="270"/>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Combined adjusted EBITDA</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92,081</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138,622</w:t>
            </w:r>
          </w:p>
        </w:tc>
        <w:tc>
          <w:tcPr>
            <w:tcW w:w="120" w:type="dxa"/>
            <w:vAlign w:val="bottom"/>
          </w:tcPr>
          <w:p>
            <w:pPr>
              <w:spacing w:after="0"/>
              <w:rPr>
                <w:sz w:val="23"/>
                <w:szCs w:val="23"/>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(33.6)%</w:t>
            </w:r>
          </w:p>
        </w:tc>
        <w:tc>
          <w:tcPr>
            <w:tcW w:w="0" w:type="dxa"/>
            <w:vAlign w:val="bottom"/>
          </w:tcPr>
          <w:p>
            <w:pPr>
              <w:spacing w:after="0"/>
              <w:rPr>
                <w:sz w:val="1"/>
                <w:szCs w:val="1"/>
                <w:color w:val="auto"/>
              </w:rPr>
            </w:pPr>
          </w:p>
        </w:tc>
      </w:tr>
      <w:tr>
        <w:trPr>
          <w:trHeight w:val="270"/>
        </w:trPr>
        <w:tc>
          <w:tcPr>
            <w:tcW w:w="7040" w:type="dxa"/>
            <w:vAlign w:val="bottom"/>
            <w:tcBorders>
              <w:left w:val="single" w:sz="8" w:color="auto"/>
            </w:tcBorders>
          </w:tcPr>
          <w:p>
            <w:pPr>
              <w:ind w:left="40"/>
              <w:spacing w:after="0"/>
              <w:rPr>
                <w:sz w:val="20"/>
                <w:szCs w:val="20"/>
                <w:color w:val="auto"/>
              </w:rPr>
            </w:pPr>
            <w:r>
              <w:rPr>
                <w:rFonts w:ascii="Arial" w:cs="Arial" w:eastAsia="Arial" w:hAnsi="Arial"/>
                <w:sz w:val="16"/>
                <w:szCs w:val="16"/>
                <w:color w:val="auto"/>
              </w:rPr>
              <w:t>Combined adjusted diluted EPS</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0.09</w:t>
            </w:r>
          </w:p>
        </w:tc>
        <w:tc>
          <w:tcPr>
            <w:tcW w:w="100" w:type="dxa"/>
            <w:vAlign w:val="bottom"/>
          </w:tcPr>
          <w:p>
            <w:pPr>
              <w:spacing w:after="0"/>
              <w:rPr>
                <w:sz w:val="23"/>
                <w:szCs w:val="23"/>
                <w:color w:val="auto"/>
              </w:rPr>
            </w:pP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39"/>
              <w:spacing w:after="0"/>
              <w:rPr>
                <w:sz w:val="20"/>
                <w:szCs w:val="20"/>
                <w:color w:val="auto"/>
              </w:rPr>
            </w:pPr>
            <w:r>
              <w:rPr>
                <w:rFonts w:ascii="Arial" w:cs="Arial" w:eastAsia="Arial" w:hAnsi="Arial"/>
                <w:sz w:val="16"/>
                <w:szCs w:val="16"/>
                <w:color w:val="auto"/>
              </w:rPr>
              <w:t>0.23</w:t>
            </w:r>
          </w:p>
        </w:tc>
        <w:tc>
          <w:tcPr>
            <w:tcW w:w="120" w:type="dxa"/>
            <w:vAlign w:val="bottom"/>
          </w:tcPr>
          <w:p>
            <w:pPr>
              <w:spacing w:after="0"/>
              <w:rPr>
                <w:sz w:val="23"/>
                <w:szCs w:val="23"/>
                <w:color w:val="auto"/>
              </w:rPr>
            </w:pPr>
          </w:p>
        </w:tc>
        <w:tc>
          <w:tcPr>
            <w:tcW w:w="12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(60.9)%</w:t>
            </w:r>
          </w:p>
        </w:tc>
        <w:tc>
          <w:tcPr>
            <w:tcW w:w="0" w:type="dxa"/>
            <w:vAlign w:val="bottom"/>
          </w:tcPr>
          <w:p>
            <w:pPr>
              <w:spacing w:after="0"/>
              <w:rPr>
                <w:sz w:val="1"/>
                <w:szCs w:val="1"/>
                <w:color w:val="auto"/>
              </w:rPr>
            </w:pPr>
          </w:p>
        </w:tc>
      </w:tr>
      <w:tr>
        <w:trPr>
          <w:trHeight w:val="33"/>
        </w:trPr>
        <w:tc>
          <w:tcPr>
            <w:tcW w:w="7040" w:type="dxa"/>
            <w:vAlign w:val="bottom"/>
            <w:tcBorders>
              <w:left w:val="single" w:sz="8" w:color="auto"/>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97" w:lineRule="exact"/>
        <w:rPr>
          <w:sz w:val="20"/>
          <w:szCs w:val="20"/>
          <w:color w:val="auto"/>
        </w:rPr>
      </w:pPr>
    </w:p>
    <w:p>
      <w:pPr>
        <w:ind w:left="140" w:hanging="132"/>
        <w:spacing w:after="0"/>
        <w:tabs>
          <w:tab w:leader="none" w:pos="140" w:val="left"/>
        </w:tabs>
        <w:numPr>
          <w:ilvl w:val="0"/>
          <w:numId w:val="3"/>
        </w:numPr>
        <w:rPr>
          <w:rFonts w:ascii="Arial" w:cs="Arial" w:eastAsia="Arial" w:hAnsi="Arial"/>
          <w:sz w:val="9"/>
          <w:szCs w:val="9"/>
          <w:color w:val="auto"/>
        </w:rPr>
      </w:pPr>
      <w:r>
        <w:rPr>
          <w:rFonts w:ascii="Arial" w:cs="Arial" w:eastAsia="Arial" w:hAnsi="Arial"/>
          <w:sz w:val="14"/>
          <w:szCs w:val="14"/>
          <w:color w:val="auto"/>
        </w:rPr>
        <w:t>See “Non-GAAP Financial Measures” below.</w:t>
      </w:r>
    </w:p>
    <w:p>
      <w:pPr>
        <w:spacing w:after="0" w:line="13" w:lineRule="exact"/>
        <w:rPr>
          <w:rFonts w:ascii="Arial" w:cs="Arial" w:eastAsia="Arial" w:hAnsi="Arial"/>
          <w:sz w:val="9"/>
          <w:szCs w:val="9"/>
          <w:color w:val="auto"/>
        </w:rPr>
      </w:pPr>
    </w:p>
    <w:p>
      <w:pPr>
        <w:ind w:left="140" w:hanging="132"/>
        <w:spacing w:after="0"/>
        <w:tabs>
          <w:tab w:leader="none" w:pos="140" w:val="left"/>
        </w:tabs>
        <w:numPr>
          <w:ilvl w:val="0"/>
          <w:numId w:val="3"/>
        </w:numPr>
        <w:rPr>
          <w:rFonts w:ascii="Arial" w:cs="Arial" w:eastAsia="Arial" w:hAnsi="Arial"/>
          <w:sz w:val="9"/>
          <w:szCs w:val="9"/>
          <w:color w:val="auto"/>
        </w:rPr>
      </w:pPr>
      <w:r>
        <w:rPr>
          <w:rFonts w:ascii="Arial" w:cs="Arial" w:eastAsia="Arial" w:hAnsi="Arial"/>
          <w:sz w:val="14"/>
          <w:szCs w:val="14"/>
          <w:color w:val="auto"/>
        </w:rPr>
        <w:t>Prior year financials reflect the results of Amneal Pharmaceuticals LLC consolidating the results of Impax Laboratories, LLC from the transaction closing date on May 4, 2018.</w:t>
      </w:r>
    </w:p>
    <w:p>
      <w:pPr>
        <w:spacing w:after="0" w:line="1" w:lineRule="exact"/>
        <w:rPr>
          <w:rFonts w:ascii="Arial" w:cs="Arial" w:eastAsia="Arial" w:hAnsi="Arial"/>
          <w:sz w:val="9"/>
          <w:szCs w:val="9"/>
          <w:color w:val="auto"/>
        </w:rPr>
      </w:pPr>
    </w:p>
    <w:p>
      <w:pPr>
        <w:ind w:right="20" w:firstLine="8"/>
        <w:spacing w:after="0" w:line="255" w:lineRule="auto"/>
        <w:tabs>
          <w:tab w:leader="none" w:pos="154" w:val="left"/>
        </w:tabs>
        <w:numPr>
          <w:ilvl w:val="0"/>
          <w:numId w:val="3"/>
        </w:numPr>
        <w:rPr>
          <w:rFonts w:ascii="Arial" w:cs="Arial" w:eastAsia="Arial" w:hAnsi="Arial"/>
          <w:sz w:val="9"/>
          <w:szCs w:val="9"/>
          <w:color w:val="auto"/>
        </w:rPr>
      </w:pPr>
      <w:r>
        <w:rPr>
          <w:rFonts w:ascii="Arial" w:cs="Arial" w:eastAsia="Arial" w:hAnsi="Arial"/>
          <w:sz w:val="14"/>
          <w:szCs w:val="14"/>
          <w:color w:val="auto"/>
        </w:rPr>
        <w:t>For the three months ended June 30, 2018, assumes the combination between Amneal Pharmaceuticals LLC and Impax Laboratories, LLC, and the acquisition of Gemini Laboratories, LLC, excluding the impact of financing and acquisition accounting adjustments, occurred on January 1, 2018.</w:t>
      </w:r>
    </w:p>
    <w:p>
      <w:pPr>
        <w:spacing w:after="0" w:line="1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Second Quarter 2019 Performance</w:t>
      </w:r>
    </w:p>
    <w:p>
      <w:pPr>
        <w:spacing w:after="0" w:line="229"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Net revenue in the second quarter of 2019 was $405 million, a decrease of 2.2% compared to the second quarter of 2018, due to lower Generics segment revenue partially offset by an increase in Specialty segment revenue. Net loss attributable to Amneal Pharmaceuticals, Inc. was $17 million in the second quarter of 2019 compared to a net loss of $19 million in the prior year period. Diluted EPS in the second quarter of 2019 was a loss of $0.13 compared to a loss of $0.15 in the prior year period.</w:t>
      </w:r>
    </w:p>
    <w:p>
      <w:pPr>
        <w:spacing w:after="0" w:line="187" w:lineRule="exact"/>
        <w:rPr>
          <w:sz w:val="20"/>
          <w:szCs w:val="20"/>
          <w:color w:val="auto"/>
        </w:rPr>
      </w:pPr>
    </w:p>
    <w:p>
      <w:pPr>
        <w:jc w:val="both"/>
        <w:ind w:right="20"/>
        <w:spacing w:after="0" w:line="233" w:lineRule="auto"/>
        <w:rPr>
          <w:sz w:val="20"/>
          <w:szCs w:val="20"/>
          <w:color w:val="auto"/>
        </w:rPr>
      </w:pPr>
      <w:r>
        <w:rPr>
          <w:rFonts w:ascii="Arial" w:cs="Arial" w:eastAsia="Arial" w:hAnsi="Arial"/>
          <w:sz w:val="16"/>
          <w:szCs w:val="16"/>
          <w:color w:val="auto"/>
        </w:rPr>
        <w:t>Combined net revenue</w:t>
      </w:r>
      <w:r>
        <w:rPr>
          <w:rFonts w:ascii="Arial" w:cs="Arial" w:eastAsia="Arial" w:hAnsi="Arial"/>
          <w:sz w:val="22"/>
          <w:szCs w:val="22"/>
          <w:color w:val="auto"/>
          <w:vertAlign w:val="superscript"/>
        </w:rPr>
        <w:t>(1)</w:t>
      </w:r>
      <w:r>
        <w:rPr>
          <w:rFonts w:ascii="Arial" w:cs="Arial" w:eastAsia="Arial" w:hAnsi="Arial"/>
          <w:sz w:val="16"/>
          <w:szCs w:val="16"/>
          <w:color w:val="auto"/>
        </w:rPr>
        <w:t xml:space="preserve"> in the second quarter of 2019 was $405 million, a decrease of 12.5% compared to the second quarter of 2018, due to a decline in revenue from both the Generics and Specialty segments. Combined adjusted net income</w:t>
      </w:r>
      <w:r>
        <w:rPr>
          <w:rFonts w:ascii="Arial" w:cs="Arial" w:eastAsia="Arial" w:hAnsi="Arial"/>
          <w:sz w:val="22"/>
          <w:szCs w:val="22"/>
          <w:color w:val="auto"/>
          <w:vertAlign w:val="superscript"/>
        </w:rPr>
        <w:t>(1)</w:t>
      </w:r>
      <w:r>
        <w:rPr>
          <w:rFonts w:ascii="Arial" w:cs="Arial" w:eastAsia="Arial" w:hAnsi="Arial"/>
          <w:sz w:val="16"/>
          <w:szCs w:val="16"/>
          <w:color w:val="auto"/>
        </w:rPr>
        <w:t xml:space="preserve"> in the second quarter of 2019 was $27 million, a decrease of 61.8% compared to the prior year period. Combined adjusted EBITDA</w:t>
      </w:r>
      <w:r>
        <w:rPr>
          <w:rFonts w:ascii="Arial" w:cs="Arial" w:eastAsia="Arial" w:hAnsi="Arial"/>
          <w:sz w:val="22"/>
          <w:szCs w:val="22"/>
          <w:color w:val="auto"/>
          <w:vertAlign w:val="superscript"/>
        </w:rPr>
        <w:t>(1)</w:t>
      </w:r>
      <w:r>
        <w:rPr>
          <w:rFonts w:ascii="Arial" w:cs="Arial" w:eastAsia="Arial" w:hAnsi="Arial"/>
          <w:sz w:val="16"/>
          <w:szCs w:val="16"/>
          <w:color w:val="auto"/>
        </w:rPr>
        <w:t xml:space="preserve"> in the second quarter of 2019 was $92 million, a decrease of 33.6% compared to the prior year period, due to lower revenue and lower gross margins, partially offset by lower operating expenses as a result of cost synergies from the business combination with Impax. Combined adjusted diluted EPS in the second quarter of 2019 was $0.09, compared to $0.23 for the prior year period.</w:t>
      </w:r>
    </w:p>
    <w:p>
      <w:pPr>
        <w:spacing w:after="0" w:line="166" w:lineRule="exact"/>
        <w:rPr>
          <w:sz w:val="20"/>
          <w:szCs w:val="20"/>
          <w:color w:val="auto"/>
        </w:rPr>
      </w:pPr>
    </w:p>
    <w:p>
      <w:pPr>
        <w:ind w:left="180" w:hanging="172"/>
        <w:spacing w:after="0"/>
        <w:tabs>
          <w:tab w:leader="none" w:pos="180" w:val="left"/>
        </w:tabs>
        <w:numPr>
          <w:ilvl w:val="0"/>
          <w:numId w:val="4"/>
        </w:numPr>
        <w:rPr>
          <w:rFonts w:ascii="Arial" w:cs="Arial" w:eastAsia="Arial" w:hAnsi="Arial"/>
          <w:sz w:val="21"/>
          <w:szCs w:val="21"/>
          <w:color w:val="auto"/>
          <w:vertAlign w:val="superscript"/>
        </w:rPr>
      </w:pPr>
      <w:r>
        <w:rPr>
          <w:rFonts w:ascii="Arial" w:cs="Arial" w:eastAsia="Arial" w:hAnsi="Arial"/>
          <w:sz w:val="12"/>
          <w:szCs w:val="12"/>
          <w:color w:val="auto"/>
        </w:rPr>
        <w:t>See “Non-GAAP Financial Measures” below.</w:t>
      </w:r>
    </w:p>
    <w:p>
      <w:pPr>
        <w:spacing w:after="0" w:line="250"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 of 23</w:t>
      </w:r>
    </w:p>
    <w:p>
      <w:pPr>
        <w:sectPr>
          <w:pgSz w:w="11900" w:h="16838" w:orient="portrait"/>
          <w:cols w:equalWidth="0" w:num="1">
            <w:col w:w="11440"/>
          </w:cols>
          <w:pgMar w:left="240" w:top="945" w:right="219" w:bottom="1440" w:gutter="0" w:footer="0" w:header="0"/>
        </w:sectPr>
      </w:pPr>
    </w:p>
    <w:bookmarkStart w:id="4" w:name="page5"/>
    <w:bookmarkEnd w:id="4"/>
    <w:p>
      <w:pPr>
        <w:jc w:val="center"/>
        <w:ind w:right="-11"/>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Reconciliation of Generics Operating Income (Loss) to Generics Combined Operating Income (Loss)</w:t>
      </w:r>
    </w:p>
    <w:p>
      <w:pPr>
        <w:spacing w:after="0" w:line="2" w:lineRule="exact"/>
        <w:rPr>
          <w:sz w:val="20"/>
          <w:szCs w:val="20"/>
          <w:color w:val="auto"/>
        </w:rPr>
      </w:pPr>
    </w:p>
    <w:p>
      <w:pPr>
        <w:jc w:val="center"/>
        <w:ind w:right="-11"/>
        <w:spacing w:after="0"/>
        <w:rPr>
          <w:sz w:val="20"/>
          <w:szCs w:val="20"/>
          <w:color w:val="auto"/>
        </w:rPr>
      </w:pPr>
      <w:r>
        <w:rPr>
          <w:rFonts w:ascii="Arial" w:cs="Arial" w:eastAsia="Arial" w:hAnsi="Arial"/>
          <w:sz w:val="14"/>
          <w:szCs w:val="14"/>
          <w:b w:val="1"/>
          <w:bCs w:val="1"/>
          <w:color w:val="auto"/>
        </w:rPr>
        <w:t>(Unaudited; In thousands)</w:t>
      </w:r>
    </w:p>
    <w:p>
      <w:pPr>
        <w:spacing w:after="0" w:line="332" w:lineRule="exact"/>
        <w:rPr>
          <w:sz w:val="20"/>
          <w:szCs w:val="20"/>
          <w:color w:val="auto"/>
        </w:rPr>
      </w:pPr>
    </w:p>
    <w:tbl>
      <w:tblPr>
        <w:tblLayout w:type="fixed"/>
        <w:tblInd w:w="32" w:type="dxa"/>
        <w:tblCellMar>
          <w:top w:w="0" w:type="dxa"/>
          <w:left w:w="0" w:type="dxa"/>
          <w:bottom w:w="0" w:type="dxa"/>
          <w:right w:w="0" w:type="dxa"/>
        </w:tblCellMar>
      </w:tblPr>
      <w:tr>
        <w:trPr>
          <w:trHeight w:val="210"/>
        </w:trPr>
        <w:tc>
          <w:tcPr>
            <w:tcW w:w="288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300" w:type="dxa"/>
            <w:vAlign w:val="bottom"/>
          </w:tcPr>
          <w:p>
            <w:pPr>
              <w:spacing w:after="0"/>
              <w:rPr>
                <w:sz w:val="18"/>
                <w:szCs w:val="18"/>
                <w:color w:val="auto"/>
              </w:rPr>
            </w:pPr>
          </w:p>
        </w:tc>
        <w:tc>
          <w:tcPr>
            <w:tcW w:w="398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300" w:type="dxa"/>
            <w:vAlign w:val="bottom"/>
          </w:tcPr>
          <w:p>
            <w:pPr>
              <w:spacing w:after="0"/>
              <w:rPr>
                <w:sz w:val="18"/>
                <w:szCs w:val="18"/>
                <w:color w:val="auto"/>
              </w:rPr>
            </w:pPr>
          </w:p>
        </w:tc>
        <w:tc>
          <w:tcPr>
            <w:tcW w:w="3900" w:type="dxa"/>
            <w:vAlign w:val="bottom"/>
            <w:gridSpan w:val="5"/>
          </w:tcPr>
          <w:p>
            <w:pPr>
              <w:jc w:val="center"/>
              <w:ind w:right="21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28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28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jc w:val="center"/>
              <w:ind w:right="79"/>
              <w:spacing w:after="0"/>
              <w:rPr>
                <w:sz w:val="20"/>
                <w:szCs w:val="20"/>
                <w:color w:val="auto"/>
              </w:rPr>
            </w:pPr>
            <w:r>
              <w:rPr>
                <w:rFonts w:ascii="Arial" w:cs="Arial" w:eastAsia="Arial" w:hAnsi="Arial"/>
                <w:sz w:val="16"/>
                <w:szCs w:val="16"/>
                <w:b w:val="1"/>
                <w:bCs w:val="1"/>
                <w:color w:val="auto"/>
                <w:w w:val="98"/>
              </w:rPr>
              <w:t>Add:</w:t>
            </w:r>
          </w:p>
        </w:tc>
        <w:tc>
          <w:tcPr>
            <w:tcW w:w="180" w:type="dxa"/>
            <w:vAlign w:val="bottom"/>
          </w:tcPr>
          <w:p>
            <w:pPr>
              <w:spacing w:after="0"/>
              <w:rPr>
                <w:sz w:val="20"/>
                <w:szCs w:val="20"/>
                <w:color w:val="auto"/>
              </w:rPr>
            </w:pPr>
          </w:p>
        </w:tc>
        <w:tc>
          <w:tcPr>
            <w:tcW w:w="132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6"/>
              </w:rPr>
              <w:t>(Non-GAAP)</w:t>
            </w: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60" w:type="dxa"/>
            <w:vAlign w:val="bottom"/>
          </w:tcPr>
          <w:p>
            <w:pPr>
              <w:jc w:val="center"/>
              <w:ind w:right="79"/>
              <w:spacing w:after="0"/>
              <w:rPr>
                <w:sz w:val="20"/>
                <w:szCs w:val="20"/>
                <w:color w:val="auto"/>
              </w:rPr>
            </w:pPr>
            <w:r>
              <w:rPr>
                <w:rFonts w:ascii="Arial" w:cs="Arial" w:eastAsia="Arial" w:hAnsi="Arial"/>
                <w:sz w:val="16"/>
                <w:szCs w:val="16"/>
                <w:b w:val="1"/>
                <w:bCs w:val="1"/>
                <w:color w:val="auto"/>
                <w:w w:val="93"/>
              </w:rPr>
              <w:t>Add:</w:t>
            </w:r>
          </w:p>
        </w:tc>
        <w:tc>
          <w:tcPr>
            <w:tcW w:w="180" w:type="dxa"/>
            <w:vAlign w:val="bottom"/>
          </w:tcPr>
          <w:p>
            <w:pPr>
              <w:spacing w:after="0"/>
              <w:rPr>
                <w:sz w:val="20"/>
                <w:szCs w:val="20"/>
                <w:color w:val="auto"/>
              </w:rPr>
            </w:pPr>
          </w:p>
        </w:tc>
        <w:tc>
          <w:tcPr>
            <w:tcW w:w="122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40" w:type="dxa"/>
            <w:vAlign w:val="bottom"/>
          </w:tcPr>
          <w:p>
            <w:pPr>
              <w:jc w:val="center"/>
              <w:ind w:right="79"/>
              <w:spacing w:after="0"/>
              <w:rPr>
                <w:sz w:val="20"/>
                <w:szCs w:val="20"/>
                <w:color w:val="auto"/>
              </w:rPr>
            </w:pPr>
            <w:r>
              <w:rPr>
                <w:rFonts w:ascii="Arial" w:cs="Arial" w:eastAsia="Arial" w:hAnsi="Arial"/>
                <w:sz w:val="16"/>
                <w:szCs w:val="16"/>
                <w:b w:val="1"/>
                <w:bCs w:val="1"/>
                <w:color w:val="auto"/>
                <w:w w:val="95"/>
              </w:rPr>
              <w:t>Impax/ Gemini</w:t>
            </w:r>
          </w:p>
        </w:tc>
        <w:tc>
          <w:tcPr>
            <w:tcW w:w="180" w:type="dxa"/>
            <w:vAlign w:val="bottom"/>
          </w:tcPr>
          <w:p>
            <w:pPr>
              <w:spacing w:after="0"/>
              <w:rPr>
                <w:sz w:val="23"/>
                <w:szCs w:val="23"/>
                <w:color w:val="auto"/>
              </w:rPr>
            </w:pPr>
          </w:p>
        </w:tc>
        <w:tc>
          <w:tcPr>
            <w:tcW w:w="132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60" w:type="dxa"/>
            <w:vAlign w:val="bottom"/>
          </w:tcPr>
          <w:p>
            <w:pPr>
              <w:jc w:val="center"/>
              <w:ind w:right="79"/>
              <w:spacing w:after="0"/>
              <w:rPr>
                <w:sz w:val="20"/>
                <w:szCs w:val="20"/>
                <w:color w:val="auto"/>
              </w:rPr>
            </w:pPr>
            <w:r>
              <w:rPr>
                <w:rFonts w:ascii="Arial" w:cs="Arial" w:eastAsia="Arial" w:hAnsi="Arial"/>
                <w:sz w:val="16"/>
                <w:szCs w:val="16"/>
                <w:b w:val="1"/>
                <w:bCs w:val="1"/>
                <w:color w:val="auto"/>
                <w:w w:val="96"/>
              </w:rPr>
              <w:t>Impax/ Gemini</w:t>
            </w:r>
          </w:p>
        </w:tc>
        <w:tc>
          <w:tcPr>
            <w:tcW w:w="180" w:type="dxa"/>
            <w:vAlign w:val="bottom"/>
          </w:tcPr>
          <w:p>
            <w:pPr>
              <w:spacing w:after="0"/>
              <w:rPr>
                <w:sz w:val="23"/>
                <w:szCs w:val="23"/>
                <w:color w:val="auto"/>
              </w:rPr>
            </w:pPr>
          </w:p>
        </w:tc>
        <w:tc>
          <w:tcPr>
            <w:tcW w:w="122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880" w:type="dxa"/>
            <w:vAlign w:val="bottom"/>
            <w:vMerge w:val="restart"/>
          </w:tcPr>
          <w:p>
            <w:pPr>
              <w:spacing w:after="0"/>
              <w:rPr>
                <w:sz w:val="20"/>
                <w:szCs w:val="20"/>
                <w:color w:val="auto"/>
              </w:rPr>
            </w:pPr>
            <w:r>
              <w:rPr>
                <w:rFonts w:ascii="Arial" w:cs="Arial" w:eastAsia="Arial" w:hAnsi="Arial"/>
                <w:sz w:val="16"/>
                <w:szCs w:val="16"/>
                <w:b w:val="1"/>
                <w:bCs w:val="1"/>
                <w:color w:val="auto"/>
              </w:rPr>
              <w:t>Net revenue - Generics</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335,064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335,064</w:t>
            </w:r>
          </w:p>
        </w:tc>
        <w:tc>
          <w:tcPr>
            <w:tcW w:w="12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361,770</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20,995</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382,765</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263,423</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263,423</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211,534</w:t>
            </w:r>
          </w:p>
        </w:tc>
        <w:tc>
          <w:tcPr>
            <w:tcW w:w="160" w:type="dxa"/>
            <w:vAlign w:val="bottom"/>
          </w:tcPr>
          <w:p>
            <w:pPr>
              <w:spacing w:after="0"/>
              <w:rPr>
                <w:sz w:val="23"/>
                <w:szCs w:val="23"/>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29,624</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241,158</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Cost of goods sold impairment charges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3,012</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3,012</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88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Gross profit</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8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68,629</w:t>
            </w:r>
          </w:p>
        </w:tc>
        <w:tc>
          <w:tcPr>
            <w:tcW w:w="160" w:type="dxa"/>
            <w:vAlign w:val="bottom"/>
          </w:tcPr>
          <w:p>
            <w:pPr>
              <w:spacing w:after="0"/>
              <w:rPr>
                <w:sz w:val="18"/>
                <w:szCs w:val="18"/>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68,629</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150,236</w:t>
            </w:r>
          </w:p>
        </w:tc>
        <w:tc>
          <w:tcPr>
            <w:tcW w:w="160" w:type="dxa"/>
            <w:vAlign w:val="bottom"/>
          </w:tcPr>
          <w:p>
            <w:pPr>
              <w:spacing w:after="0"/>
              <w:rPr>
                <w:sz w:val="18"/>
                <w:szCs w:val="18"/>
                <w:color w:val="auto"/>
              </w:rPr>
            </w:pPr>
          </w:p>
        </w:tc>
        <w:tc>
          <w:tcPr>
            <w:tcW w:w="1260" w:type="dxa"/>
            <w:vAlign w:val="bottom"/>
          </w:tcPr>
          <w:p>
            <w:pPr>
              <w:jc w:val="right"/>
              <w:ind w:right="79"/>
              <w:spacing w:after="0"/>
              <w:rPr>
                <w:sz w:val="20"/>
                <w:szCs w:val="20"/>
                <w:color w:val="auto"/>
              </w:rPr>
            </w:pPr>
            <w:r>
              <w:rPr>
                <w:rFonts w:ascii="Arial" w:cs="Arial" w:eastAsia="Arial" w:hAnsi="Arial"/>
                <w:sz w:val="16"/>
                <w:szCs w:val="16"/>
                <w:color w:val="auto"/>
              </w:rPr>
              <w:t>(8,629)</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141,607</w:t>
            </w:r>
          </w:p>
        </w:tc>
        <w:tc>
          <w:tcPr>
            <w:tcW w:w="0" w:type="dxa"/>
            <w:vAlign w:val="bottom"/>
          </w:tcPr>
          <w:p>
            <w:pPr>
              <w:spacing w:after="0"/>
              <w:rPr>
                <w:sz w:val="1"/>
                <w:szCs w:val="1"/>
                <w:color w:val="auto"/>
              </w:rPr>
            </w:pPr>
          </w:p>
        </w:tc>
      </w:tr>
      <w:tr>
        <w:trPr>
          <w:trHeight w:val="33"/>
        </w:trPr>
        <w:tc>
          <w:tcPr>
            <w:tcW w:w="28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8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14,379</w:t>
            </w:r>
          </w:p>
        </w:tc>
        <w:tc>
          <w:tcPr>
            <w:tcW w:w="160" w:type="dxa"/>
            <w:vAlign w:val="bottom"/>
          </w:tcPr>
          <w:p>
            <w:pPr>
              <w:spacing w:after="0"/>
              <w:rPr>
                <w:sz w:val="18"/>
                <w:szCs w:val="18"/>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14,379</w:t>
            </w:r>
          </w:p>
        </w:tc>
        <w:tc>
          <w:tcPr>
            <w:tcW w:w="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19,621</w:t>
            </w:r>
          </w:p>
        </w:tc>
        <w:tc>
          <w:tcPr>
            <w:tcW w:w="160" w:type="dxa"/>
            <w:vAlign w:val="bottom"/>
          </w:tcPr>
          <w:p>
            <w:pPr>
              <w:spacing w:after="0"/>
              <w:rPr>
                <w:sz w:val="18"/>
                <w:szCs w:val="18"/>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4,340</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23,961</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45,448</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45,448</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47,206</w:t>
            </w:r>
          </w:p>
        </w:tc>
        <w:tc>
          <w:tcPr>
            <w:tcW w:w="160" w:type="dxa"/>
            <w:vAlign w:val="bottom"/>
          </w:tcPr>
          <w:p>
            <w:pPr>
              <w:spacing w:after="0"/>
              <w:rPr>
                <w:sz w:val="23"/>
                <w:szCs w:val="23"/>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3,984</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51,190</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418</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418</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24,797</w:t>
            </w:r>
          </w:p>
        </w:tc>
        <w:tc>
          <w:tcPr>
            <w:tcW w:w="160" w:type="dxa"/>
            <w:vAlign w:val="bottom"/>
          </w:tcPr>
          <w:p>
            <w:pPr>
              <w:spacing w:after="0"/>
              <w:rPr>
                <w:sz w:val="23"/>
                <w:szCs w:val="23"/>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24,797</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Legal settlement gains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32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(3,000)</w:t>
            </w:r>
          </w:p>
        </w:tc>
        <w:tc>
          <w:tcPr>
            <w:tcW w:w="160" w:type="dxa"/>
            <w:vAlign w:val="bottom"/>
          </w:tcPr>
          <w:p>
            <w:pPr>
              <w:spacing w:after="0"/>
              <w:rPr>
                <w:sz w:val="23"/>
                <w:szCs w:val="23"/>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253"/>
        </w:trPr>
        <w:tc>
          <w:tcPr>
            <w:tcW w:w="288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880" w:type="dxa"/>
            <w:vAlign w:val="bottom"/>
          </w:tcPr>
          <w:p>
            <w:pPr>
              <w:spacing w:after="0"/>
              <w:rPr>
                <w:sz w:val="20"/>
                <w:szCs w:val="20"/>
                <w:color w:val="auto"/>
              </w:rPr>
            </w:pPr>
            <w:r>
              <w:rPr>
                <w:rFonts w:ascii="Arial" w:cs="Arial" w:eastAsia="Arial" w:hAnsi="Arial"/>
                <w:sz w:val="16"/>
                <w:szCs w:val="16"/>
                <w:color w:val="auto"/>
              </w:rPr>
              <w:t>expenses</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2,511</w:t>
            </w:r>
          </w:p>
        </w:tc>
        <w:tc>
          <w:tcPr>
            <w:tcW w:w="160" w:type="dxa"/>
            <w:vAlign w:val="bottom"/>
          </w:tcPr>
          <w:p>
            <w:pPr>
              <w:spacing w:after="0"/>
              <w:rPr>
                <w:sz w:val="17"/>
                <w:szCs w:val="17"/>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2,511</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4,004</w:t>
            </w:r>
          </w:p>
        </w:tc>
        <w:tc>
          <w:tcPr>
            <w:tcW w:w="160" w:type="dxa"/>
            <w:vAlign w:val="bottom"/>
          </w:tcPr>
          <w:p>
            <w:pPr>
              <w:spacing w:after="0"/>
              <w:rPr>
                <w:sz w:val="17"/>
                <w:szCs w:val="17"/>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4,004</w:t>
            </w:r>
          </w:p>
        </w:tc>
        <w:tc>
          <w:tcPr>
            <w:tcW w:w="0" w:type="dxa"/>
            <w:vAlign w:val="bottom"/>
          </w:tcPr>
          <w:p>
            <w:pPr>
              <w:spacing w:after="0"/>
              <w:rPr>
                <w:sz w:val="1"/>
                <w:szCs w:val="1"/>
                <w:color w:val="auto"/>
              </w:rPr>
            </w:pPr>
          </w:p>
        </w:tc>
      </w:tr>
      <w:tr>
        <w:trPr>
          <w:trHeight w:val="253"/>
        </w:trPr>
        <w:tc>
          <w:tcPr>
            <w:tcW w:w="2880" w:type="dxa"/>
            <w:vAlign w:val="bottom"/>
          </w:tcPr>
          <w:p>
            <w:pPr>
              <w:spacing w:after="0"/>
              <w:rPr>
                <w:sz w:val="20"/>
                <w:szCs w:val="20"/>
                <w:color w:val="auto"/>
              </w:rPr>
            </w:pPr>
            <w:r>
              <w:rPr>
                <w:rFonts w:ascii="Arial" w:cs="Arial" w:eastAsia="Arial" w:hAnsi="Arial"/>
                <w:sz w:val="16"/>
                <w:szCs w:val="16"/>
                <w:color w:val="auto"/>
              </w:rPr>
              <w:t>Acquisition, integration and transaction</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880" w:type="dxa"/>
            <w:vAlign w:val="bottom"/>
          </w:tcPr>
          <w:p>
            <w:pPr>
              <w:spacing w:after="0"/>
              <w:rPr>
                <w:sz w:val="20"/>
                <w:szCs w:val="20"/>
                <w:color w:val="auto"/>
              </w:rPr>
            </w:pPr>
            <w:r>
              <w:rPr>
                <w:rFonts w:ascii="Arial" w:cs="Arial" w:eastAsia="Arial" w:hAnsi="Arial"/>
                <w:sz w:val="16"/>
                <w:szCs w:val="16"/>
                <w:color w:val="auto"/>
              </w:rPr>
              <w:t>related expenses</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987</w:t>
            </w:r>
          </w:p>
        </w:tc>
        <w:tc>
          <w:tcPr>
            <w:tcW w:w="160" w:type="dxa"/>
            <w:vAlign w:val="bottom"/>
          </w:tcPr>
          <w:p>
            <w:pPr>
              <w:spacing w:after="0"/>
              <w:rPr>
                <w:sz w:val="17"/>
                <w:szCs w:val="17"/>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987</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114,622</w:t>
            </w:r>
          </w:p>
        </w:tc>
        <w:tc>
          <w:tcPr>
            <w:tcW w:w="160" w:type="dxa"/>
            <w:vAlign w:val="bottom"/>
          </w:tcPr>
          <w:p>
            <w:pPr>
              <w:spacing w:after="0"/>
              <w:rPr>
                <w:sz w:val="17"/>
                <w:szCs w:val="17"/>
                <w:color w:val="auto"/>
              </w:rPr>
            </w:pPr>
          </w:p>
        </w:tc>
        <w:tc>
          <w:tcPr>
            <w:tcW w:w="126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114,622</w:t>
            </w:r>
          </w:p>
        </w:tc>
        <w:tc>
          <w:tcPr>
            <w:tcW w:w="0" w:type="dxa"/>
            <w:vAlign w:val="bottom"/>
          </w:tcPr>
          <w:p>
            <w:pPr>
              <w:spacing w:after="0"/>
              <w:rPr>
                <w:sz w:val="1"/>
                <w:szCs w:val="1"/>
                <w:color w:val="auto"/>
              </w:rPr>
            </w:pPr>
          </w:p>
        </w:tc>
      </w:tr>
      <w:tr>
        <w:trPr>
          <w:trHeight w:val="33"/>
        </w:trPr>
        <w:tc>
          <w:tcPr>
            <w:tcW w:w="288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Operating income (loss)</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4,886</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4,886</w:t>
            </w:r>
          </w:p>
        </w:tc>
        <w:tc>
          <w:tcPr>
            <w:tcW w:w="12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(57,014)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79"/>
              <w:spacing w:after="0"/>
              <w:rPr>
                <w:sz w:val="20"/>
                <w:szCs w:val="20"/>
                <w:color w:val="auto"/>
              </w:rPr>
            </w:pPr>
            <w:r>
              <w:rPr>
                <w:rFonts w:ascii="Arial" w:cs="Arial" w:eastAsia="Arial" w:hAnsi="Arial"/>
                <w:sz w:val="16"/>
                <w:szCs w:val="16"/>
                <w:color w:val="auto"/>
              </w:rPr>
              <w:t>(16,953)</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(73,967)</w:t>
            </w:r>
          </w:p>
        </w:tc>
        <w:tc>
          <w:tcPr>
            <w:tcW w:w="0" w:type="dxa"/>
            <w:vAlign w:val="bottom"/>
          </w:tcPr>
          <w:p>
            <w:pPr>
              <w:spacing w:after="0"/>
              <w:rPr>
                <w:sz w:val="1"/>
                <w:szCs w:val="1"/>
                <w:color w:val="auto"/>
              </w:rPr>
            </w:pPr>
          </w:p>
        </w:tc>
      </w:tr>
      <w:tr>
        <w:trPr>
          <w:trHeight w:val="33"/>
        </w:trPr>
        <w:tc>
          <w:tcPr>
            <w:tcW w:w="2880" w:type="dxa"/>
            <w:vAlign w:val="bottom"/>
            <w:vMerge w:val="restart"/>
          </w:tcPr>
          <w:p>
            <w:pPr>
              <w:spacing w:after="0"/>
              <w:rPr>
                <w:sz w:val="20"/>
                <w:szCs w:val="20"/>
                <w:color w:val="auto"/>
              </w:rPr>
            </w:pPr>
            <w:r>
              <w:rPr>
                <w:rFonts w:ascii="Arial" w:cs="Arial" w:eastAsia="Arial" w:hAnsi="Arial"/>
                <w:sz w:val="16"/>
                <w:szCs w:val="16"/>
                <w:color w:val="auto"/>
              </w:rPr>
              <w:t>Gross margin</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880" w:type="dxa"/>
            <w:vAlign w:val="bottom"/>
            <w:vMerge w:val="continue"/>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3"/>
        </w:trPr>
        <w:tc>
          <w:tcPr>
            <w:tcW w:w="28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20.5%</w:t>
            </w:r>
          </w:p>
        </w:tc>
        <w:tc>
          <w:tcPr>
            <w:tcW w:w="160" w:type="dxa"/>
            <w:vAlign w:val="bottom"/>
          </w:tcPr>
          <w:p>
            <w:pPr>
              <w:spacing w:after="0"/>
              <w:rPr>
                <w:sz w:val="24"/>
                <w:szCs w:val="24"/>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20.5%</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41.5%</w:t>
            </w:r>
          </w:p>
        </w:tc>
        <w:tc>
          <w:tcPr>
            <w:tcW w:w="16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(41.1%)</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37.0%</w:t>
            </w:r>
          </w:p>
        </w:tc>
        <w:tc>
          <w:tcPr>
            <w:tcW w:w="0" w:type="dxa"/>
            <w:vAlign w:val="bottom"/>
          </w:tcPr>
          <w:p>
            <w:pPr>
              <w:spacing w:after="0"/>
              <w:rPr>
                <w:sz w:val="1"/>
                <w:szCs w:val="1"/>
                <w:color w:val="auto"/>
              </w:rPr>
            </w:pPr>
          </w:p>
        </w:tc>
      </w:tr>
      <w:tr>
        <w:trPr>
          <w:trHeight w:val="320"/>
        </w:trPr>
        <w:tc>
          <w:tcPr>
            <w:tcW w:w="2880" w:type="dxa"/>
            <w:vAlign w:val="bottom"/>
          </w:tcPr>
          <w:p>
            <w:pPr>
              <w:spacing w:after="0"/>
              <w:rPr>
                <w:sz w:val="20"/>
                <w:szCs w:val="20"/>
                <w:color w:val="auto"/>
              </w:rPr>
            </w:pPr>
            <w:r>
              <w:rPr>
                <w:rFonts w:ascii="Arial" w:cs="Arial" w:eastAsia="Arial" w:hAnsi="Arial"/>
                <w:sz w:val="16"/>
                <w:szCs w:val="16"/>
                <w:color w:val="auto"/>
              </w:rPr>
              <w:t>Adjusted gross profit (Non-GAAP)</w:t>
            </w:r>
            <w:r>
              <w:rPr>
                <w:rFonts w:ascii="Arial" w:cs="Arial" w:eastAsia="Arial" w:hAnsi="Arial"/>
                <w:sz w:val="21"/>
                <w:szCs w:val="21"/>
                <w:color w:val="auto"/>
                <w:vertAlign w:val="superscript"/>
              </w:rPr>
              <w:t>(4)</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115,434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115,434</w:t>
            </w:r>
          </w:p>
        </w:tc>
        <w:tc>
          <w:tcPr>
            <w:tcW w:w="120" w:type="dxa"/>
            <w:vAlign w:val="bottom"/>
          </w:tcPr>
          <w:p>
            <w:pPr>
              <w:spacing w:after="0"/>
              <w:rPr>
                <w:sz w:val="24"/>
                <w:szCs w:val="24"/>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186,848</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79"/>
              <w:spacing w:after="0"/>
              <w:rPr>
                <w:sz w:val="20"/>
                <w:szCs w:val="20"/>
                <w:color w:val="auto"/>
              </w:rPr>
            </w:pPr>
            <w:r>
              <w:rPr>
                <w:rFonts w:ascii="Arial" w:cs="Arial" w:eastAsia="Arial" w:hAnsi="Arial"/>
                <w:sz w:val="16"/>
                <w:szCs w:val="16"/>
                <w:color w:val="auto"/>
              </w:rPr>
              <w:t>(1,690)</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185,158</w:t>
            </w:r>
          </w:p>
        </w:tc>
        <w:tc>
          <w:tcPr>
            <w:tcW w:w="0" w:type="dxa"/>
            <w:vAlign w:val="bottom"/>
          </w:tcPr>
          <w:p>
            <w:pPr>
              <w:spacing w:after="0"/>
              <w:rPr>
                <w:sz w:val="1"/>
                <w:szCs w:val="1"/>
                <w:color w:val="auto"/>
              </w:rPr>
            </w:pPr>
          </w:p>
        </w:tc>
      </w:tr>
      <w:tr>
        <w:trPr>
          <w:trHeight w:val="270"/>
        </w:trPr>
        <w:tc>
          <w:tcPr>
            <w:tcW w:w="2880" w:type="dxa"/>
            <w:vAlign w:val="bottom"/>
          </w:tcPr>
          <w:p>
            <w:pPr>
              <w:spacing w:after="0"/>
              <w:rPr>
                <w:sz w:val="20"/>
                <w:szCs w:val="20"/>
                <w:color w:val="auto"/>
              </w:rPr>
            </w:pPr>
            <w:r>
              <w:rPr>
                <w:rFonts w:ascii="Arial" w:cs="Arial" w:eastAsia="Arial" w:hAnsi="Arial"/>
                <w:sz w:val="16"/>
                <w:szCs w:val="16"/>
                <w:color w:val="auto"/>
              </w:rPr>
              <w:t>Adjusted gross margin (Non-GAAP)</w:t>
            </w:r>
            <w:r>
              <w:rPr>
                <w:rFonts w:ascii="Arial" w:cs="Arial" w:eastAsia="Arial" w:hAnsi="Arial"/>
                <w:sz w:val="21"/>
                <w:szCs w:val="21"/>
                <w:color w:val="auto"/>
                <w:vertAlign w:val="superscript"/>
              </w:rPr>
              <w:t>(5)</w:t>
            </w: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34.5%</w:t>
            </w:r>
          </w:p>
        </w:tc>
        <w:tc>
          <w:tcPr>
            <w:tcW w:w="160" w:type="dxa"/>
            <w:vAlign w:val="bottom"/>
          </w:tcPr>
          <w:p>
            <w:pPr>
              <w:spacing w:after="0"/>
              <w:rPr>
                <w:sz w:val="23"/>
                <w:szCs w:val="23"/>
                <w:color w:val="auto"/>
              </w:rPr>
            </w:pP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34.5%</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51.6%</w:t>
            </w:r>
          </w:p>
        </w:tc>
        <w:tc>
          <w:tcPr>
            <w:tcW w:w="160" w:type="dxa"/>
            <w:vAlign w:val="bottom"/>
          </w:tcPr>
          <w:p>
            <w:pPr>
              <w:spacing w:after="0"/>
              <w:rPr>
                <w:sz w:val="23"/>
                <w:szCs w:val="23"/>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(8.0%)</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48.4%</w:t>
            </w:r>
          </w:p>
        </w:tc>
        <w:tc>
          <w:tcPr>
            <w:tcW w:w="0" w:type="dxa"/>
            <w:vAlign w:val="bottom"/>
          </w:tcPr>
          <w:p>
            <w:pPr>
              <w:spacing w:after="0"/>
              <w:rPr>
                <w:sz w:val="1"/>
                <w:szCs w:val="1"/>
                <w:color w:val="auto"/>
              </w:rPr>
            </w:pPr>
          </w:p>
        </w:tc>
      </w:tr>
      <w:tr>
        <w:trPr>
          <w:trHeight w:val="220"/>
        </w:trPr>
        <w:tc>
          <w:tcPr>
            <w:tcW w:w="288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64,748</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ind w:left="90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64,748</w:t>
            </w:r>
          </w:p>
        </w:tc>
        <w:tc>
          <w:tcPr>
            <w:tcW w:w="120" w:type="dxa"/>
            <w:vAlign w:val="bottom"/>
          </w:tcPr>
          <w:p>
            <w:pPr>
              <w:spacing w:after="0"/>
              <w:rPr>
                <w:sz w:val="19"/>
                <w:szCs w:val="19"/>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120,662</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79"/>
              <w:spacing w:after="0"/>
              <w:rPr>
                <w:sz w:val="20"/>
                <w:szCs w:val="20"/>
                <w:color w:val="auto"/>
              </w:rPr>
            </w:pPr>
            <w:r>
              <w:rPr>
                <w:rFonts w:ascii="Arial" w:cs="Arial" w:eastAsia="Arial" w:hAnsi="Arial"/>
                <w:sz w:val="16"/>
                <w:szCs w:val="16"/>
                <w:color w:val="auto"/>
              </w:rPr>
              <w:t>(11,339)</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109,323</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left="-8" w:right="80" w:firstLine="8"/>
        <w:spacing w:after="0"/>
        <w:tabs>
          <w:tab w:leader="none" w:pos="159" w:val="left"/>
        </w:tabs>
        <w:numPr>
          <w:ilvl w:val="0"/>
          <w:numId w:val="5"/>
        </w:numPr>
        <w:rPr>
          <w:rFonts w:ascii="Arial" w:cs="Arial" w:eastAsia="Arial" w:hAnsi="Arial"/>
          <w:sz w:val="19"/>
          <w:szCs w:val="19"/>
          <w:color w:val="auto"/>
          <w:vertAlign w:val="superscript"/>
        </w:rPr>
      </w:pPr>
      <w:r>
        <w:rPr>
          <w:rFonts w:ascii="Arial" w:cs="Arial" w:eastAsia="Arial" w:hAnsi="Arial"/>
          <w:sz w:val="15"/>
          <w:szCs w:val="15"/>
          <w:color w:val="auto"/>
        </w:rPr>
        <w:t>Adjusted gross profit is calculated as combined net revenue less adjusted cost of goods sold. See Non-GAAP reconciliations below for calculation of adjusted cost of goods sold.</w:t>
      </w:r>
    </w:p>
    <w:p>
      <w:pPr>
        <w:spacing w:after="0" w:line="1" w:lineRule="exact"/>
        <w:rPr>
          <w:rFonts w:ascii="Arial" w:cs="Arial" w:eastAsia="Arial" w:hAnsi="Arial"/>
          <w:sz w:val="19"/>
          <w:szCs w:val="19"/>
          <w:color w:val="auto"/>
          <w:vertAlign w:val="superscript"/>
        </w:rPr>
      </w:pPr>
    </w:p>
    <w:p>
      <w:pPr>
        <w:ind w:left="172" w:hanging="172"/>
        <w:spacing w:after="0" w:line="191" w:lineRule="auto"/>
        <w:tabs>
          <w:tab w:leader="none" w:pos="172" w:val="left"/>
        </w:tabs>
        <w:numPr>
          <w:ilvl w:val="0"/>
          <w:numId w:val="5"/>
        </w:numPr>
        <w:rPr>
          <w:rFonts w:ascii="Arial" w:cs="Arial" w:eastAsia="Arial" w:hAnsi="Arial"/>
          <w:sz w:val="21"/>
          <w:szCs w:val="21"/>
          <w:color w:val="auto"/>
          <w:vertAlign w:val="superscript"/>
        </w:rPr>
      </w:pPr>
      <w:r>
        <w:rPr>
          <w:rFonts w:ascii="Arial" w:cs="Arial" w:eastAsia="Arial" w:hAnsi="Arial"/>
          <w:sz w:val="15"/>
          <w:szCs w:val="15"/>
          <w:color w:val="auto"/>
        </w:rPr>
        <w:t>Adjusted gross margin is calculated as adjusted gross profit divided by combined net revenue.</w:t>
      </w:r>
    </w:p>
    <w:p>
      <w:pPr>
        <w:spacing w:after="0" w:line="217" w:lineRule="exact"/>
        <w:rPr>
          <w:sz w:val="20"/>
          <w:szCs w:val="20"/>
          <w:color w:val="auto"/>
        </w:rPr>
      </w:pPr>
    </w:p>
    <w:p>
      <w:pPr>
        <w:jc w:val="center"/>
        <w:ind w:right="-11"/>
        <w:spacing w:after="0"/>
        <w:rPr>
          <w:sz w:val="20"/>
          <w:szCs w:val="20"/>
          <w:color w:val="auto"/>
        </w:rPr>
      </w:pPr>
      <w:r>
        <w:rPr>
          <w:rFonts w:ascii="Arial" w:cs="Arial" w:eastAsia="Arial" w:hAnsi="Arial"/>
          <w:sz w:val="14"/>
          <w:szCs w:val="14"/>
          <w:color w:val="auto"/>
        </w:rPr>
        <w:t>Page 2 of 23</w:t>
      </w:r>
    </w:p>
    <w:p>
      <w:pPr>
        <w:sectPr>
          <w:pgSz w:w="11900" w:h="16838" w:orient="portrait"/>
          <w:cols w:equalWidth="0" w:num="1">
            <w:col w:w="11392"/>
          </w:cols>
          <w:pgMar w:left="248" w:top="526" w:right="25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Generics Operating (Loss) Income to Generics Combined Operating Loss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386"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286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300" w:type="dxa"/>
            <w:vAlign w:val="bottom"/>
          </w:tcPr>
          <w:p>
            <w:pPr>
              <w:spacing w:after="0"/>
              <w:rPr>
                <w:sz w:val="18"/>
                <w:szCs w:val="18"/>
                <w:color w:val="auto"/>
              </w:rPr>
            </w:pPr>
          </w:p>
        </w:tc>
        <w:tc>
          <w:tcPr>
            <w:tcW w:w="396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Six months ended June 30, 2019</w:t>
            </w:r>
          </w:p>
        </w:tc>
        <w:tc>
          <w:tcPr>
            <w:tcW w:w="300" w:type="dxa"/>
            <w:vAlign w:val="bottom"/>
          </w:tcPr>
          <w:p>
            <w:pPr>
              <w:spacing w:after="0"/>
              <w:rPr>
                <w:sz w:val="18"/>
                <w:szCs w:val="18"/>
                <w:color w:val="auto"/>
              </w:rPr>
            </w:pPr>
          </w:p>
        </w:tc>
        <w:tc>
          <w:tcPr>
            <w:tcW w:w="3940" w:type="dxa"/>
            <w:vAlign w:val="bottom"/>
            <w:gridSpan w:val="5"/>
          </w:tcPr>
          <w:p>
            <w:pPr>
              <w:jc w:val="center"/>
              <w:ind w:right="199"/>
              <w:spacing w:after="0"/>
              <w:rPr>
                <w:sz w:val="20"/>
                <w:szCs w:val="20"/>
                <w:color w:val="auto"/>
              </w:rPr>
            </w:pPr>
            <w:r>
              <w:rPr>
                <w:rFonts w:ascii="Arial" w:cs="Arial" w:eastAsia="Arial" w:hAnsi="Arial"/>
                <w:sz w:val="16"/>
                <w:szCs w:val="16"/>
                <w:b w:val="1"/>
                <w:bCs w:val="1"/>
                <w:color w:val="auto"/>
                <w:w w:val="90"/>
              </w:rPr>
              <w:t>Six months ended June 30, 2018</w:t>
            </w:r>
          </w:p>
        </w:tc>
        <w:tc>
          <w:tcPr>
            <w:tcW w:w="0" w:type="dxa"/>
            <w:vAlign w:val="bottom"/>
          </w:tcPr>
          <w:p>
            <w:pPr>
              <w:spacing w:after="0"/>
              <w:rPr>
                <w:sz w:val="1"/>
                <w:szCs w:val="1"/>
                <w:color w:val="auto"/>
              </w:rPr>
            </w:pPr>
          </w:p>
        </w:tc>
      </w:tr>
      <w:tr>
        <w:trPr>
          <w:trHeight w:val="33"/>
        </w:trPr>
        <w:tc>
          <w:tcPr>
            <w:tcW w:w="28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43"/>
        </w:trPr>
        <w:tc>
          <w:tcPr>
            <w:tcW w:w="28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center"/>
              <w:ind w:right="59"/>
              <w:spacing w:after="0"/>
              <w:rPr>
                <w:sz w:val="20"/>
                <w:szCs w:val="20"/>
                <w:color w:val="auto"/>
              </w:rPr>
            </w:pPr>
            <w:r>
              <w:rPr>
                <w:rFonts w:ascii="Arial" w:cs="Arial" w:eastAsia="Arial" w:hAnsi="Arial"/>
                <w:sz w:val="16"/>
                <w:szCs w:val="16"/>
                <w:b w:val="1"/>
                <w:bCs w:val="1"/>
                <w:color w:val="auto"/>
                <w:w w:val="98"/>
              </w:rPr>
              <w:t>Add:</w:t>
            </w:r>
          </w:p>
        </w:tc>
        <w:tc>
          <w:tcPr>
            <w:tcW w:w="2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jc w:val="center"/>
              <w:ind w:right="79"/>
              <w:spacing w:after="0"/>
              <w:rPr>
                <w:sz w:val="20"/>
                <w:szCs w:val="20"/>
                <w:color w:val="auto"/>
              </w:rPr>
            </w:pPr>
            <w:r>
              <w:rPr>
                <w:rFonts w:ascii="Arial" w:cs="Arial" w:eastAsia="Arial" w:hAnsi="Arial"/>
                <w:sz w:val="16"/>
                <w:szCs w:val="16"/>
                <w:b w:val="1"/>
                <w:bCs w:val="1"/>
                <w:color w:val="auto"/>
                <w:w w:val="98"/>
              </w:rPr>
              <w:t>Add:</w:t>
            </w: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20" w:type="dxa"/>
            <w:vAlign w:val="bottom"/>
          </w:tcPr>
          <w:p>
            <w:pPr>
              <w:jc w:val="center"/>
              <w:ind w:right="59"/>
              <w:spacing w:after="0"/>
              <w:rPr>
                <w:sz w:val="20"/>
                <w:szCs w:val="20"/>
                <w:color w:val="auto"/>
              </w:rPr>
            </w:pPr>
            <w:r>
              <w:rPr>
                <w:rFonts w:ascii="Arial" w:cs="Arial" w:eastAsia="Arial" w:hAnsi="Arial"/>
                <w:sz w:val="16"/>
                <w:szCs w:val="16"/>
                <w:b w:val="1"/>
                <w:bCs w:val="1"/>
                <w:color w:val="auto"/>
                <w:w w:val="95"/>
              </w:rPr>
              <w:t>Impax/ Gemini</w:t>
            </w:r>
          </w:p>
        </w:tc>
        <w:tc>
          <w:tcPr>
            <w:tcW w:w="20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10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80" w:type="dxa"/>
            <w:vAlign w:val="bottom"/>
          </w:tcPr>
          <w:p>
            <w:pPr>
              <w:jc w:val="center"/>
              <w:ind w:right="79"/>
              <w:spacing w:after="0"/>
              <w:rPr>
                <w:sz w:val="20"/>
                <w:szCs w:val="20"/>
                <w:color w:val="auto"/>
              </w:rPr>
            </w:pPr>
            <w:r>
              <w:rPr>
                <w:rFonts w:ascii="Arial" w:cs="Arial" w:eastAsia="Arial" w:hAnsi="Arial"/>
                <w:sz w:val="16"/>
                <w:szCs w:val="16"/>
                <w:b w:val="1"/>
                <w:bCs w:val="1"/>
                <w:color w:val="auto"/>
                <w:w w:val="95"/>
              </w:rPr>
              <w:t>Impax/ Gemini</w:t>
            </w:r>
          </w:p>
        </w:tc>
        <w:tc>
          <w:tcPr>
            <w:tcW w:w="180" w:type="dxa"/>
            <w:vAlign w:val="bottom"/>
          </w:tcPr>
          <w:p>
            <w:pPr>
              <w:spacing w:after="0"/>
              <w:rPr>
                <w:sz w:val="23"/>
                <w:szCs w:val="23"/>
                <w:color w:val="auto"/>
              </w:rPr>
            </w:pPr>
          </w:p>
        </w:tc>
        <w:tc>
          <w:tcPr>
            <w:tcW w:w="122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860" w:type="dxa"/>
            <w:vAlign w:val="bottom"/>
            <w:vMerge w:val="restart"/>
          </w:tcPr>
          <w:p>
            <w:pPr>
              <w:spacing w:after="0"/>
              <w:rPr>
                <w:sz w:val="20"/>
                <w:szCs w:val="20"/>
                <w:color w:val="auto"/>
              </w:rPr>
            </w:pPr>
            <w:r>
              <w:rPr>
                <w:rFonts w:ascii="Arial" w:cs="Arial" w:eastAsia="Arial" w:hAnsi="Arial"/>
                <w:sz w:val="16"/>
                <w:szCs w:val="16"/>
                <w:b w:val="1"/>
                <w:bCs w:val="1"/>
                <w:color w:val="auto"/>
              </w:rPr>
              <w:t>Net revenue - Generics</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6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717,541</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717,541</w:t>
            </w:r>
          </w:p>
        </w:tc>
        <w:tc>
          <w:tcPr>
            <w:tcW w:w="100" w:type="dxa"/>
            <w:vAlign w:val="bottom"/>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636,959</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102,237</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739,196</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542,301</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542,301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342,128</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122,761</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464,889</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Cost of goods sold impairment charges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56,309</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56,309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86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Gross profit</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6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118,931</w:t>
            </w:r>
          </w:p>
        </w:tc>
        <w:tc>
          <w:tcPr>
            <w:tcW w:w="16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118,931</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294,831</w:t>
            </w:r>
          </w:p>
        </w:tc>
        <w:tc>
          <w:tcPr>
            <w:tcW w:w="160" w:type="dxa"/>
            <w:vAlign w:val="bottom"/>
          </w:tcPr>
          <w:p>
            <w:pPr>
              <w:spacing w:after="0"/>
              <w:rPr>
                <w:sz w:val="18"/>
                <w:szCs w:val="18"/>
                <w:color w:val="auto"/>
              </w:rPr>
            </w:pPr>
          </w:p>
        </w:tc>
        <w:tc>
          <w:tcPr>
            <w:tcW w:w="1280" w:type="dxa"/>
            <w:vAlign w:val="bottom"/>
          </w:tcPr>
          <w:p>
            <w:pPr>
              <w:jc w:val="right"/>
              <w:ind w:right="79"/>
              <w:spacing w:after="0"/>
              <w:rPr>
                <w:sz w:val="20"/>
                <w:szCs w:val="20"/>
                <w:color w:val="auto"/>
              </w:rPr>
            </w:pPr>
            <w:r>
              <w:rPr>
                <w:rFonts w:ascii="Arial" w:cs="Arial" w:eastAsia="Arial" w:hAnsi="Arial"/>
                <w:sz w:val="16"/>
                <w:szCs w:val="16"/>
                <w:color w:val="auto"/>
              </w:rPr>
              <w:t>(20,524)</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274,307</w:t>
            </w:r>
          </w:p>
        </w:tc>
        <w:tc>
          <w:tcPr>
            <w:tcW w:w="0" w:type="dxa"/>
            <w:vAlign w:val="bottom"/>
          </w:tcPr>
          <w:p>
            <w:pPr>
              <w:spacing w:after="0"/>
              <w:rPr>
                <w:sz w:val="1"/>
                <w:szCs w:val="1"/>
                <w:color w:val="auto"/>
              </w:rPr>
            </w:pPr>
          </w:p>
        </w:tc>
      </w:tr>
      <w:tr>
        <w:trPr>
          <w:trHeight w:val="33"/>
        </w:trPr>
        <w:tc>
          <w:tcPr>
            <w:tcW w:w="286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6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38,527</w:t>
            </w:r>
          </w:p>
        </w:tc>
        <w:tc>
          <w:tcPr>
            <w:tcW w:w="160" w:type="dxa"/>
            <w:vAlign w:val="bottom"/>
          </w:tcPr>
          <w:p>
            <w:pPr>
              <w:spacing w:after="0"/>
              <w:rPr>
                <w:sz w:val="18"/>
                <w:szCs w:val="18"/>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38,527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30,824</w:t>
            </w:r>
          </w:p>
        </w:tc>
        <w:tc>
          <w:tcPr>
            <w:tcW w:w="160" w:type="dxa"/>
            <w:vAlign w:val="bottom"/>
          </w:tcPr>
          <w:p>
            <w:pPr>
              <w:spacing w:after="0"/>
              <w:rPr>
                <w:sz w:val="18"/>
                <w:szCs w:val="18"/>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7,334</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38,158</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95,599</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95,599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91,415</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13,623</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105,038</w:t>
            </w:r>
          </w:p>
        </w:tc>
        <w:tc>
          <w:tcPr>
            <w:tcW w:w="0" w:type="dxa"/>
            <w:vAlign w:val="bottom"/>
          </w:tcPr>
          <w:p>
            <w:pPr>
              <w:spacing w:after="0"/>
              <w:rPr>
                <w:sz w:val="1"/>
                <w:szCs w:val="1"/>
                <w:color w:val="auto"/>
              </w:rPr>
            </w:pPr>
          </w:p>
        </w:tc>
      </w:tr>
      <w:tr>
        <w:trPr>
          <w:trHeight w:val="253"/>
        </w:trPr>
        <w:tc>
          <w:tcPr>
            <w:tcW w:w="2860" w:type="dxa"/>
            <w:vAlign w:val="bottom"/>
          </w:tcPr>
          <w:p>
            <w:pPr>
              <w:spacing w:after="0"/>
              <w:rPr>
                <w:sz w:val="20"/>
                <w:szCs w:val="20"/>
                <w:color w:val="auto"/>
              </w:rPr>
            </w:pPr>
            <w:r>
              <w:rPr>
                <w:rFonts w:ascii="Arial" w:cs="Arial" w:eastAsia="Arial" w:hAnsi="Arial"/>
                <w:sz w:val="16"/>
                <w:szCs w:val="16"/>
                <w:color w:val="auto"/>
              </w:rPr>
              <w:t>In-process research and development</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860" w:type="dxa"/>
            <w:vAlign w:val="bottom"/>
          </w:tcPr>
          <w:p>
            <w:pPr>
              <w:spacing w:after="0"/>
              <w:rPr>
                <w:sz w:val="20"/>
                <w:szCs w:val="20"/>
                <w:color w:val="auto"/>
              </w:rPr>
            </w:pPr>
            <w:r>
              <w:rPr>
                <w:rFonts w:ascii="Arial" w:cs="Arial" w:eastAsia="Arial" w:hAnsi="Arial"/>
                <w:sz w:val="16"/>
                <w:szCs w:val="16"/>
                <w:color w:val="auto"/>
              </w:rPr>
              <w:t>impairment charges</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22,787</w:t>
            </w:r>
          </w:p>
        </w:tc>
        <w:tc>
          <w:tcPr>
            <w:tcW w:w="160" w:type="dxa"/>
            <w:vAlign w:val="bottom"/>
          </w:tcPr>
          <w:p>
            <w:pPr>
              <w:spacing w:after="0"/>
              <w:rPr>
                <w:sz w:val="17"/>
                <w:szCs w:val="17"/>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22,787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2,499</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2,499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24,797</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24,797</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w w:val="94"/>
              </w:rPr>
              <w:t>Litigation, settlements and related charges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89,159</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89,159</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Legal settlement gains</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30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(3,000)</w:t>
            </w:r>
          </w:p>
        </w:tc>
        <w:tc>
          <w:tcPr>
            <w:tcW w:w="160" w:type="dxa"/>
            <w:vAlign w:val="bottom"/>
          </w:tcPr>
          <w:p>
            <w:pPr>
              <w:spacing w:after="0"/>
              <w:rPr>
                <w:sz w:val="23"/>
                <w:szCs w:val="23"/>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253"/>
        </w:trPr>
        <w:tc>
          <w:tcPr>
            <w:tcW w:w="286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860" w:type="dxa"/>
            <w:vAlign w:val="bottom"/>
          </w:tcPr>
          <w:p>
            <w:pPr>
              <w:spacing w:after="0"/>
              <w:rPr>
                <w:sz w:val="20"/>
                <w:szCs w:val="20"/>
                <w:color w:val="auto"/>
              </w:rPr>
            </w:pPr>
            <w:r>
              <w:rPr>
                <w:rFonts w:ascii="Arial" w:cs="Arial" w:eastAsia="Arial" w:hAnsi="Arial"/>
                <w:sz w:val="16"/>
                <w:szCs w:val="16"/>
                <w:color w:val="auto"/>
              </w:rPr>
              <w:t>expenses</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5,632</w:t>
            </w:r>
          </w:p>
        </w:tc>
        <w:tc>
          <w:tcPr>
            <w:tcW w:w="160" w:type="dxa"/>
            <w:vAlign w:val="bottom"/>
          </w:tcPr>
          <w:p>
            <w:pPr>
              <w:spacing w:after="0"/>
              <w:rPr>
                <w:sz w:val="17"/>
                <w:szCs w:val="17"/>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5,632</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8,580</w:t>
            </w:r>
          </w:p>
        </w:tc>
        <w:tc>
          <w:tcPr>
            <w:tcW w:w="160" w:type="dxa"/>
            <w:vAlign w:val="bottom"/>
          </w:tcPr>
          <w:p>
            <w:pPr>
              <w:spacing w:after="0"/>
              <w:rPr>
                <w:sz w:val="17"/>
                <w:szCs w:val="17"/>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23</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8,603</w:t>
            </w:r>
          </w:p>
        </w:tc>
        <w:tc>
          <w:tcPr>
            <w:tcW w:w="0" w:type="dxa"/>
            <w:vAlign w:val="bottom"/>
          </w:tcPr>
          <w:p>
            <w:pPr>
              <w:spacing w:after="0"/>
              <w:rPr>
                <w:sz w:val="1"/>
                <w:szCs w:val="1"/>
                <w:color w:val="auto"/>
              </w:rPr>
            </w:pPr>
          </w:p>
        </w:tc>
      </w:tr>
      <w:tr>
        <w:trPr>
          <w:trHeight w:val="253"/>
        </w:trPr>
        <w:tc>
          <w:tcPr>
            <w:tcW w:w="2860" w:type="dxa"/>
            <w:vAlign w:val="bottom"/>
          </w:tcPr>
          <w:p>
            <w:pPr>
              <w:spacing w:after="0"/>
              <w:rPr>
                <w:sz w:val="20"/>
                <w:szCs w:val="20"/>
                <w:color w:val="auto"/>
              </w:rPr>
            </w:pPr>
            <w:r>
              <w:rPr>
                <w:rFonts w:ascii="Arial" w:cs="Arial" w:eastAsia="Arial" w:hAnsi="Arial"/>
                <w:sz w:val="16"/>
                <w:szCs w:val="16"/>
                <w:color w:val="auto"/>
              </w:rPr>
              <w:t>Acquisition, integration and transaction</w:t>
            </w: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860" w:type="dxa"/>
            <w:vAlign w:val="bottom"/>
          </w:tcPr>
          <w:p>
            <w:pPr>
              <w:spacing w:after="0"/>
              <w:rPr>
                <w:sz w:val="20"/>
                <w:szCs w:val="20"/>
                <w:color w:val="auto"/>
              </w:rPr>
            </w:pPr>
            <w:r>
              <w:rPr>
                <w:rFonts w:ascii="Arial" w:cs="Arial" w:eastAsia="Arial" w:hAnsi="Arial"/>
                <w:sz w:val="16"/>
                <w:szCs w:val="16"/>
                <w:color w:val="auto"/>
              </w:rPr>
              <w:t>related expenses</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3,584</w:t>
            </w:r>
          </w:p>
        </w:tc>
        <w:tc>
          <w:tcPr>
            <w:tcW w:w="160" w:type="dxa"/>
            <w:vAlign w:val="bottom"/>
          </w:tcPr>
          <w:p>
            <w:pPr>
              <w:spacing w:after="0"/>
              <w:rPr>
                <w:sz w:val="17"/>
                <w:szCs w:val="17"/>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3,584</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114,622</w:t>
            </w:r>
          </w:p>
        </w:tc>
        <w:tc>
          <w:tcPr>
            <w:tcW w:w="160" w:type="dxa"/>
            <w:vAlign w:val="bottom"/>
          </w:tcPr>
          <w:p>
            <w:pPr>
              <w:spacing w:after="0"/>
              <w:rPr>
                <w:sz w:val="17"/>
                <w:szCs w:val="17"/>
                <w:color w:val="auto"/>
              </w:rPr>
            </w:pP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114,622</w:t>
            </w:r>
          </w:p>
        </w:tc>
        <w:tc>
          <w:tcPr>
            <w:tcW w:w="0" w:type="dxa"/>
            <w:vAlign w:val="bottom"/>
          </w:tcPr>
          <w:p>
            <w:pPr>
              <w:spacing w:after="0"/>
              <w:rPr>
                <w:sz w:val="1"/>
                <w:szCs w:val="1"/>
                <w:color w:val="auto"/>
              </w:rPr>
            </w:pPr>
          </w:p>
        </w:tc>
      </w:tr>
      <w:tr>
        <w:trPr>
          <w:trHeight w:val="33"/>
        </w:trPr>
        <w:tc>
          <w:tcPr>
            <w:tcW w:w="286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Operating (loss) income</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860" w:type="dxa"/>
            <w:vAlign w:val="bottom"/>
            <w:vMerge w:val="continue"/>
          </w:tcPr>
          <w:p>
            <w:pPr>
              <w:spacing w:after="0"/>
              <w:rPr>
                <w:sz w:val="18"/>
                <w:szCs w:val="18"/>
                <w:color w:val="auto"/>
              </w:rPr>
            </w:pP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(49,697 )</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(49,697 )</w:t>
            </w:r>
          </w:p>
        </w:tc>
        <w:tc>
          <w:tcPr>
            <w:tcW w:w="100" w:type="dxa"/>
            <w:vAlign w:val="bottom"/>
          </w:tcPr>
          <w:p>
            <w:pPr>
              <w:spacing w:after="0"/>
              <w:rPr>
                <w:sz w:val="18"/>
                <w:szCs w:val="18"/>
                <w:color w:val="auto"/>
              </w:rPr>
            </w:pP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27,593</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80" w:type="dxa"/>
            <w:vAlign w:val="bottom"/>
          </w:tcPr>
          <w:p>
            <w:pPr>
              <w:jc w:val="right"/>
              <w:ind w:right="59"/>
              <w:spacing w:after="0"/>
              <w:rPr>
                <w:sz w:val="20"/>
                <w:szCs w:val="20"/>
                <w:color w:val="auto"/>
              </w:rPr>
            </w:pPr>
            <w:r>
              <w:rPr>
                <w:rFonts w:ascii="Arial" w:cs="Arial" w:eastAsia="Arial" w:hAnsi="Arial"/>
                <w:sz w:val="16"/>
                <w:szCs w:val="16"/>
                <w:color w:val="auto"/>
              </w:rPr>
              <w:t>(130,663 )</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(103,070 )</w:t>
            </w:r>
          </w:p>
        </w:tc>
        <w:tc>
          <w:tcPr>
            <w:tcW w:w="0" w:type="dxa"/>
            <w:vAlign w:val="bottom"/>
          </w:tcPr>
          <w:p>
            <w:pPr>
              <w:spacing w:after="0"/>
              <w:rPr>
                <w:sz w:val="1"/>
                <w:szCs w:val="1"/>
                <w:color w:val="auto"/>
              </w:rPr>
            </w:pPr>
          </w:p>
        </w:tc>
      </w:tr>
      <w:tr>
        <w:trPr>
          <w:trHeight w:val="33"/>
        </w:trPr>
        <w:tc>
          <w:tcPr>
            <w:tcW w:w="2860" w:type="dxa"/>
            <w:vAlign w:val="bottom"/>
            <w:vMerge w:val="restart"/>
          </w:tcPr>
          <w:p>
            <w:pPr>
              <w:spacing w:after="0"/>
              <w:rPr>
                <w:sz w:val="20"/>
                <w:szCs w:val="20"/>
                <w:color w:val="auto"/>
              </w:rPr>
            </w:pPr>
            <w:r>
              <w:rPr>
                <w:rFonts w:ascii="Arial" w:cs="Arial" w:eastAsia="Arial" w:hAnsi="Arial"/>
                <w:sz w:val="16"/>
                <w:szCs w:val="16"/>
                <w:color w:val="auto"/>
              </w:rPr>
              <w:t>Gross margin</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860" w:type="dxa"/>
            <w:vAlign w:val="bottom"/>
            <w:vMerge w:val="continue"/>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3"/>
        </w:trPr>
        <w:tc>
          <w:tcPr>
            <w:tcW w:w="286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16.6%</w:t>
            </w:r>
          </w:p>
        </w:tc>
        <w:tc>
          <w:tcPr>
            <w:tcW w:w="160" w:type="dxa"/>
            <w:vAlign w:val="bottom"/>
          </w:tcPr>
          <w:p>
            <w:pPr>
              <w:spacing w:after="0"/>
              <w:rPr>
                <w:sz w:val="24"/>
                <w:szCs w:val="24"/>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16.6%</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46.3%</w:t>
            </w:r>
          </w:p>
        </w:tc>
        <w:tc>
          <w:tcPr>
            <w:tcW w:w="160" w:type="dxa"/>
            <w:vAlign w:val="bottom"/>
          </w:tcPr>
          <w:p>
            <w:pPr>
              <w:spacing w:after="0"/>
              <w:rPr>
                <w:sz w:val="24"/>
                <w:szCs w:val="24"/>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(20.1%)</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37.1%</w:t>
            </w:r>
          </w:p>
        </w:tc>
        <w:tc>
          <w:tcPr>
            <w:tcW w:w="0" w:type="dxa"/>
            <w:vAlign w:val="bottom"/>
          </w:tcPr>
          <w:p>
            <w:pPr>
              <w:spacing w:after="0"/>
              <w:rPr>
                <w:sz w:val="1"/>
                <w:szCs w:val="1"/>
                <w:color w:val="auto"/>
              </w:rPr>
            </w:pPr>
          </w:p>
        </w:tc>
      </w:tr>
      <w:tr>
        <w:trPr>
          <w:trHeight w:val="320"/>
        </w:trPr>
        <w:tc>
          <w:tcPr>
            <w:tcW w:w="2860" w:type="dxa"/>
            <w:vAlign w:val="bottom"/>
          </w:tcPr>
          <w:p>
            <w:pPr>
              <w:spacing w:after="0"/>
              <w:rPr>
                <w:sz w:val="20"/>
                <w:szCs w:val="20"/>
                <w:color w:val="auto"/>
              </w:rPr>
            </w:pPr>
            <w:r>
              <w:rPr>
                <w:rFonts w:ascii="Arial" w:cs="Arial" w:eastAsia="Arial" w:hAnsi="Arial"/>
                <w:sz w:val="16"/>
                <w:szCs w:val="16"/>
                <w:color w:val="auto"/>
              </w:rPr>
              <w:t>Adjusted gross profit (Non-GAAP)</w:t>
            </w:r>
            <w:r>
              <w:rPr>
                <w:rFonts w:ascii="Arial" w:cs="Arial" w:eastAsia="Arial" w:hAnsi="Arial"/>
                <w:sz w:val="21"/>
                <w:szCs w:val="21"/>
                <w:color w:val="auto"/>
                <w:vertAlign w:val="superscript"/>
              </w:rPr>
              <w:t>(4)</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277,711</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277,711</w:t>
            </w:r>
          </w:p>
        </w:tc>
        <w:tc>
          <w:tcPr>
            <w:tcW w:w="100" w:type="dxa"/>
            <w:vAlign w:val="bottom"/>
          </w:tcPr>
          <w:p>
            <w:pPr>
              <w:spacing w:after="0"/>
              <w:rPr>
                <w:sz w:val="24"/>
                <w:szCs w:val="24"/>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333,203</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139"/>
              <w:spacing w:after="0"/>
              <w:rPr>
                <w:sz w:val="20"/>
                <w:szCs w:val="20"/>
                <w:color w:val="auto"/>
              </w:rPr>
            </w:pPr>
            <w:r>
              <w:rPr>
                <w:rFonts w:ascii="Arial" w:cs="Arial" w:eastAsia="Arial" w:hAnsi="Arial"/>
                <w:sz w:val="16"/>
                <w:szCs w:val="16"/>
                <w:color w:val="auto"/>
              </w:rPr>
              <w:t>3,246</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336,449</w:t>
            </w:r>
          </w:p>
        </w:tc>
        <w:tc>
          <w:tcPr>
            <w:tcW w:w="0" w:type="dxa"/>
            <w:vAlign w:val="bottom"/>
          </w:tcPr>
          <w:p>
            <w:pPr>
              <w:spacing w:after="0"/>
              <w:rPr>
                <w:sz w:val="1"/>
                <w:szCs w:val="1"/>
                <w:color w:val="auto"/>
              </w:rPr>
            </w:pPr>
          </w:p>
        </w:tc>
      </w:tr>
      <w:tr>
        <w:trPr>
          <w:trHeight w:val="270"/>
        </w:trPr>
        <w:tc>
          <w:tcPr>
            <w:tcW w:w="2860" w:type="dxa"/>
            <w:vAlign w:val="bottom"/>
          </w:tcPr>
          <w:p>
            <w:pPr>
              <w:spacing w:after="0"/>
              <w:rPr>
                <w:sz w:val="20"/>
                <w:szCs w:val="20"/>
                <w:color w:val="auto"/>
              </w:rPr>
            </w:pPr>
            <w:r>
              <w:rPr>
                <w:rFonts w:ascii="Arial" w:cs="Arial" w:eastAsia="Arial" w:hAnsi="Arial"/>
                <w:sz w:val="16"/>
                <w:szCs w:val="16"/>
                <w:color w:val="auto"/>
              </w:rPr>
              <w:t>Adjusted gross margin (Non-GAAP)</w:t>
            </w:r>
            <w:r>
              <w:rPr>
                <w:rFonts w:ascii="Arial" w:cs="Arial" w:eastAsia="Arial" w:hAnsi="Arial"/>
                <w:sz w:val="21"/>
                <w:szCs w:val="21"/>
                <w:color w:val="auto"/>
                <w:vertAlign w:val="superscript"/>
              </w:rPr>
              <w:t>(5)</w:t>
            </w: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38.7%</w:t>
            </w:r>
          </w:p>
        </w:tc>
        <w:tc>
          <w:tcPr>
            <w:tcW w:w="160" w:type="dxa"/>
            <w:vAlign w:val="bottom"/>
          </w:tcPr>
          <w:p>
            <w:pPr>
              <w:spacing w:after="0"/>
              <w:rPr>
                <w:sz w:val="23"/>
                <w:szCs w:val="23"/>
                <w:color w:val="auto"/>
              </w:rPr>
            </w:pPr>
          </w:p>
        </w:tc>
        <w:tc>
          <w:tcPr>
            <w:tcW w:w="1220" w:type="dxa"/>
            <w:vAlign w:val="bottom"/>
          </w:tcPr>
          <w:p>
            <w:pPr>
              <w:ind w:left="90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38.7%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52.3%</w:t>
            </w:r>
          </w:p>
        </w:tc>
        <w:tc>
          <w:tcPr>
            <w:tcW w:w="160" w:type="dxa"/>
            <w:vAlign w:val="bottom"/>
          </w:tcPr>
          <w:p>
            <w:pPr>
              <w:spacing w:after="0"/>
              <w:rPr>
                <w:sz w:val="23"/>
                <w:szCs w:val="23"/>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3.2 %</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45.5%</w:t>
            </w:r>
          </w:p>
        </w:tc>
        <w:tc>
          <w:tcPr>
            <w:tcW w:w="0" w:type="dxa"/>
            <w:vAlign w:val="bottom"/>
          </w:tcPr>
          <w:p>
            <w:pPr>
              <w:spacing w:after="0"/>
              <w:rPr>
                <w:sz w:val="1"/>
                <w:szCs w:val="1"/>
                <w:color w:val="auto"/>
              </w:rPr>
            </w:pPr>
          </w:p>
        </w:tc>
      </w:tr>
      <w:tr>
        <w:trPr>
          <w:trHeight w:val="220"/>
        </w:trPr>
        <w:tc>
          <w:tcPr>
            <w:tcW w:w="286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161,567</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ind w:left="90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79"/>
              <w:spacing w:after="0"/>
              <w:rPr>
                <w:sz w:val="20"/>
                <w:szCs w:val="20"/>
                <w:color w:val="auto"/>
              </w:rPr>
            </w:pPr>
            <w:r>
              <w:rPr>
                <w:rFonts w:ascii="Arial" w:cs="Arial" w:eastAsia="Arial" w:hAnsi="Arial"/>
                <w:sz w:val="16"/>
                <w:szCs w:val="16"/>
                <w:color w:val="auto"/>
              </w:rPr>
              <w:t>161,567</w:t>
            </w:r>
          </w:p>
        </w:tc>
        <w:tc>
          <w:tcPr>
            <w:tcW w:w="100" w:type="dxa"/>
            <w:vAlign w:val="bottom"/>
          </w:tcPr>
          <w:p>
            <w:pPr>
              <w:spacing w:after="0"/>
              <w:rPr>
                <w:sz w:val="19"/>
                <w:szCs w:val="19"/>
                <w:color w:val="auto"/>
              </w:rPr>
            </w:pP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208,125</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ind w:right="79"/>
              <w:spacing w:after="0"/>
              <w:rPr>
                <w:sz w:val="20"/>
                <w:szCs w:val="20"/>
                <w:color w:val="auto"/>
              </w:rPr>
            </w:pPr>
            <w:r>
              <w:rPr>
                <w:rFonts w:ascii="Arial" w:cs="Arial" w:eastAsia="Arial" w:hAnsi="Arial"/>
                <w:sz w:val="16"/>
                <w:szCs w:val="16"/>
                <w:color w:val="auto"/>
              </w:rPr>
              <w:t>(16,752)</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191,373</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right="100" w:firstLine="8"/>
        <w:spacing w:after="0"/>
        <w:tabs>
          <w:tab w:leader="none" w:pos="167" w:val="left"/>
        </w:tabs>
        <w:numPr>
          <w:ilvl w:val="0"/>
          <w:numId w:val="6"/>
        </w:numPr>
        <w:rPr>
          <w:rFonts w:ascii="Arial" w:cs="Arial" w:eastAsia="Arial" w:hAnsi="Arial"/>
          <w:sz w:val="19"/>
          <w:szCs w:val="19"/>
          <w:color w:val="auto"/>
          <w:vertAlign w:val="superscript"/>
        </w:rPr>
      </w:pPr>
      <w:r>
        <w:rPr>
          <w:rFonts w:ascii="Arial" w:cs="Arial" w:eastAsia="Arial" w:hAnsi="Arial"/>
          <w:sz w:val="15"/>
          <w:szCs w:val="15"/>
          <w:color w:val="auto"/>
        </w:rPr>
        <w:t>Adjusted gross profit is calculated as combined net revenue less adjusted cost of goods sold. See Non-GAAP reconciliations below for calculation of adjusted cost of goods sold.</w:t>
      </w:r>
    </w:p>
    <w:p>
      <w:pPr>
        <w:spacing w:after="0" w:line="1" w:lineRule="exact"/>
        <w:rPr>
          <w:rFonts w:ascii="Arial" w:cs="Arial" w:eastAsia="Arial" w:hAnsi="Arial"/>
          <w:sz w:val="19"/>
          <w:szCs w:val="19"/>
          <w:color w:val="auto"/>
          <w:vertAlign w:val="superscript"/>
        </w:rPr>
      </w:pPr>
    </w:p>
    <w:p>
      <w:pPr>
        <w:ind w:left="180" w:hanging="172"/>
        <w:spacing w:after="0" w:line="191" w:lineRule="auto"/>
        <w:tabs>
          <w:tab w:leader="none" w:pos="180" w:val="left"/>
        </w:tabs>
        <w:numPr>
          <w:ilvl w:val="0"/>
          <w:numId w:val="6"/>
        </w:numPr>
        <w:rPr>
          <w:rFonts w:ascii="Arial" w:cs="Arial" w:eastAsia="Arial" w:hAnsi="Arial"/>
          <w:sz w:val="21"/>
          <w:szCs w:val="21"/>
          <w:color w:val="auto"/>
          <w:vertAlign w:val="superscript"/>
        </w:rPr>
      </w:pPr>
      <w:r>
        <w:rPr>
          <w:rFonts w:ascii="Arial" w:cs="Arial" w:eastAsia="Arial" w:hAnsi="Arial"/>
          <w:sz w:val="15"/>
          <w:szCs w:val="15"/>
          <w:color w:val="auto"/>
        </w:rPr>
        <w:t>Adjusted gross margin is calculated as adjusted gross profit divided by combined net revenue.</w:t>
      </w:r>
    </w:p>
    <w:p>
      <w:pPr>
        <w:spacing w:after="0" w:line="194" w:lineRule="exact"/>
        <w:rPr>
          <w:sz w:val="20"/>
          <w:szCs w:val="20"/>
          <w:color w:val="auto"/>
        </w:rPr>
      </w:pPr>
    </w:p>
    <w:p>
      <w:pPr>
        <w:jc w:val="both"/>
        <w:spacing w:after="0" w:line="268" w:lineRule="auto"/>
        <w:rPr>
          <w:sz w:val="20"/>
          <w:szCs w:val="20"/>
          <w:color w:val="auto"/>
        </w:rPr>
      </w:pPr>
      <w:r>
        <w:rPr>
          <w:rFonts w:ascii="Arial" w:cs="Arial" w:eastAsia="Arial" w:hAnsi="Arial"/>
          <w:sz w:val="16"/>
          <w:szCs w:val="16"/>
          <w:color w:val="auto"/>
        </w:rPr>
        <w:t>Generics net revenue of $335 million decreased 7.4% for the second quarter of 2019 compared to $362 million for the second quarter of 2018. Generics combined net revenue</w:t>
      </w:r>
      <w:r>
        <w:rPr>
          <w:rFonts w:ascii="Arial" w:cs="Arial" w:eastAsia="Arial" w:hAnsi="Arial"/>
          <w:sz w:val="22"/>
          <w:szCs w:val="22"/>
          <w:color w:val="auto"/>
          <w:vertAlign w:val="superscript"/>
        </w:rPr>
        <w:t>(1)</w:t>
      </w:r>
      <w:r>
        <w:rPr>
          <w:rFonts w:ascii="Arial" w:cs="Arial" w:eastAsia="Arial" w:hAnsi="Arial"/>
          <w:sz w:val="16"/>
          <w:szCs w:val="16"/>
          <w:color w:val="auto"/>
        </w:rPr>
        <w:t xml:space="preserve"> in the second quarter of 2019 was $335 million, a decrease of 12.5% compared to $383 million in the prior year period. The decrease is primarily attributable to additional competition on the base generic portfolio including key products Aspirin Dipyridamole ER Capsules, Yuvafem and Diclofenac Gel 1% and the sale of two of the Company's international businesses, partially offset by sales of Levothyroxine and Guanfacine HCL.</w:t>
      </w:r>
    </w:p>
    <w:p>
      <w:pPr>
        <w:spacing w:after="0" w:line="182" w:lineRule="exact"/>
        <w:rPr>
          <w:sz w:val="20"/>
          <w:szCs w:val="20"/>
          <w:color w:val="auto"/>
        </w:rPr>
      </w:pPr>
    </w:p>
    <w:p>
      <w:pPr>
        <w:jc w:val="both"/>
        <w:spacing w:after="0" w:line="226" w:lineRule="auto"/>
        <w:rPr>
          <w:sz w:val="20"/>
          <w:szCs w:val="20"/>
          <w:color w:val="auto"/>
        </w:rPr>
      </w:pPr>
      <w:r>
        <w:rPr>
          <w:rFonts w:ascii="Arial" w:cs="Arial" w:eastAsia="Arial" w:hAnsi="Arial"/>
          <w:sz w:val="18"/>
          <w:szCs w:val="18"/>
          <w:color w:val="auto"/>
        </w:rPr>
        <w:t>Generics gross margin for the second quarter of 2019 was 20.5% compared to 41.5% for the second quarter of 2018. Generics combined adjusted gross margin</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for the second quarter of 2019 was 34.5% compared to 48.4% for the prior year period. The decrease is primarily related to unfavorable generics revenue mix including the impact of price erosion, and inventory obsolescence charges.</w:t>
      </w:r>
    </w:p>
    <w:p>
      <w:pPr>
        <w:spacing w:after="0" w:line="204" w:lineRule="exact"/>
        <w:rPr>
          <w:sz w:val="20"/>
          <w:szCs w:val="20"/>
          <w:color w:val="auto"/>
        </w:rPr>
      </w:pPr>
    </w:p>
    <w:p>
      <w:pPr>
        <w:jc w:val="both"/>
        <w:spacing w:after="0" w:line="232" w:lineRule="auto"/>
        <w:rPr>
          <w:sz w:val="20"/>
          <w:szCs w:val="20"/>
          <w:color w:val="auto"/>
        </w:rPr>
      </w:pPr>
      <w:r>
        <w:rPr>
          <w:rFonts w:ascii="Arial" w:cs="Arial" w:eastAsia="Arial" w:hAnsi="Arial"/>
          <w:sz w:val="18"/>
          <w:szCs w:val="18"/>
          <w:color w:val="auto"/>
        </w:rPr>
        <w:t>Generics operating income for the second quarter of 2019 was $5 million compared to an operating loss of $57 million for the second quarter of 2018, primarily due to acquisition, integration and restructuring charges related to the business combination with Impax in May 2018. Generics combined adjusted operating income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for the second quarter of 2019 was $65 million, a decrease of 40.8% compared to $109 million in the prior year period, primarily due to lower revenues and gross margin as noted above.</w:t>
      </w:r>
    </w:p>
    <w:p>
      <w:pPr>
        <w:spacing w:after="0" w:line="179" w:lineRule="exact"/>
        <w:rPr>
          <w:sz w:val="20"/>
          <w:szCs w:val="20"/>
          <w:color w:val="auto"/>
        </w:rPr>
      </w:pPr>
    </w:p>
    <w:p>
      <w:pPr>
        <w:ind w:left="160" w:hanging="152"/>
        <w:spacing w:after="0"/>
        <w:tabs>
          <w:tab w:leader="none" w:pos="160" w:val="left"/>
        </w:tabs>
        <w:numPr>
          <w:ilvl w:val="0"/>
          <w:numId w:val="7"/>
        </w:numPr>
        <w:rPr>
          <w:rFonts w:ascii="Arial" w:cs="Arial" w:eastAsia="Arial" w:hAnsi="Arial"/>
          <w:sz w:val="18"/>
          <w:szCs w:val="18"/>
          <w:color w:val="auto"/>
          <w:vertAlign w:val="superscript"/>
        </w:rPr>
      </w:pPr>
      <w:r>
        <w:rPr>
          <w:rFonts w:ascii="Arial" w:cs="Arial" w:eastAsia="Arial" w:hAnsi="Arial"/>
          <w:sz w:val="14"/>
          <w:szCs w:val="14"/>
          <w:color w:val="auto"/>
        </w:rPr>
        <w:t>See “Non-GAAP Financial Measures” below.</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3 of 23</w:t>
      </w:r>
    </w:p>
    <w:p>
      <w:pPr>
        <w:sectPr>
          <w:pgSz w:w="11900" w:h="16838" w:orient="portrait"/>
          <w:cols w:equalWidth="0" w:num="1">
            <w:col w:w="11420"/>
          </w:cols>
          <w:pgMar w:left="240" w:top="742" w:right="239" w:bottom="1440" w:gutter="0" w:footer="0" w:header="0"/>
        </w:sectPr>
      </w:pPr>
    </w:p>
    <w:bookmarkStart w:id="6" w:name="page7"/>
    <w:bookmarkEnd w:id="6"/>
    <w:p>
      <w:pPr>
        <w:jc w:val="center"/>
        <w:ind w:right="-11"/>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11"/>
        <w:spacing w:after="0"/>
        <w:rPr>
          <w:sz w:val="20"/>
          <w:szCs w:val="20"/>
          <w:color w:val="auto"/>
        </w:rPr>
      </w:pPr>
      <w:r>
        <w:rPr>
          <w:rFonts w:ascii="Arial" w:cs="Arial" w:eastAsia="Arial" w:hAnsi="Arial"/>
          <w:sz w:val="18"/>
          <w:szCs w:val="18"/>
          <w:b w:val="1"/>
          <w:bCs w:val="1"/>
          <w:color w:val="auto"/>
        </w:rPr>
        <w:t>Reconciliation of Specialty Operating Income to Specialty Combined Operating Income</w:t>
      </w:r>
    </w:p>
    <w:p>
      <w:pPr>
        <w:spacing w:after="0" w:line="2" w:lineRule="exact"/>
        <w:rPr>
          <w:sz w:val="20"/>
          <w:szCs w:val="20"/>
          <w:color w:val="auto"/>
        </w:rPr>
      </w:pPr>
    </w:p>
    <w:p>
      <w:pPr>
        <w:jc w:val="center"/>
        <w:ind w:right="-11"/>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94" w:lineRule="exact"/>
        <w:rPr>
          <w:sz w:val="20"/>
          <w:szCs w:val="20"/>
          <w:color w:val="auto"/>
        </w:rPr>
      </w:pPr>
    </w:p>
    <w:tbl>
      <w:tblPr>
        <w:tblLayout w:type="fixed"/>
        <w:tblInd w:w="32" w:type="dxa"/>
        <w:tblCellMar>
          <w:top w:w="0" w:type="dxa"/>
          <w:left w:w="0" w:type="dxa"/>
          <w:bottom w:w="0" w:type="dxa"/>
          <w:right w:w="0" w:type="dxa"/>
        </w:tblCellMar>
      </w:tblPr>
      <w:tr>
        <w:trPr>
          <w:trHeight w:val="210"/>
        </w:trPr>
        <w:tc>
          <w:tcPr>
            <w:tcW w:w="292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300" w:type="dxa"/>
            <w:vAlign w:val="bottom"/>
          </w:tcPr>
          <w:p>
            <w:pPr>
              <w:spacing w:after="0"/>
              <w:rPr>
                <w:sz w:val="18"/>
                <w:szCs w:val="18"/>
                <w:color w:val="auto"/>
              </w:rPr>
            </w:pPr>
          </w:p>
        </w:tc>
        <w:tc>
          <w:tcPr>
            <w:tcW w:w="398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300" w:type="dxa"/>
            <w:vAlign w:val="bottom"/>
          </w:tcPr>
          <w:p>
            <w:pPr>
              <w:spacing w:after="0"/>
              <w:rPr>
                <w:sz w:val="18"/>
                <w:szCs w:val="18"/>
                <w:color w:val="auto"/>
              </w:rPr>
            </w:pPr>
          </w:p>
        </w:tc>
        <w:tc>
          <w:tcPr>
            <w:tcW w:w="386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29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vMerge w:val="restart"/>
          </w:tcPr>
          <w:p>
            <w:pPr>
              <w:jc w:val="center"/>
              <w:ind w:right="59"/>
              <w:spacing w:after="0"/>
              <w:rPr>
                <w:sz w:val="20"/>
                <w:szCs w:val="20"/>
                <w:color w:val="auto"/>
              </w:rPr>
            </w:pPr>
            <w:r>
              <w:rPr>
                <w:rFonts w:ascii="Arial" w:cs="Arial" w:eastAsia="Arial" w:hAnsi="Arial"/>
                <w:sz w:val="16"/>
                <w:szCs w:val="16"/>
                <w:b w:val="1"/>
                <w:bCs w:val="1"/>
                <w:color w:val="auto"/>
                <w:w w:val="93"/>
              </w:rPr>
              <w:t>Add:</w:t>
            </w:r>
          </w:p>
        </w:tc>
        <w:tc>
          <w:tcPr>
            <w:tcW w:w="180" w:type="dxa"/>
            <w:vAlign w:val="bottom"/>
          </w:tcPr>
          <w:p>
            <w:pPr>
              <w:spacing w:after="0"/>
              <w:rPr>
                <w:sz w:val="18"/>
                <w:szCs w:val="18"/>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vMerge w:val="restart"/>
          </w:tcPr>
          <w:p>
            <w:pPr>
              <w:jc w:val="center"/>
              <w:ind w:right="59"/>
              <w:spacing w:after="0"/>
              <w:rPr>
                <w:sz w:val="20"/>
                <w:szCs w:val="20"/>
                <w:color w:val="auto"/>
              </w:rPr>
            </w:pPr>
            <w:r>
              <w:rPr>
                <w:rFonts w:ascii="Arial" w:cs="Arial" w:eastAsia="Arial" w:hAnsi="Arial"/>
                <w:sz w:val="16"/>
                <w:szCs w:val="16"/>
                <w:b w:val="1"/>
                <w:bCs w:val="1"/>
                <w:color w:val="auto"/>
                <w:w w:val="93"/>
              </w:rPr>
              <w:t>Add:</w:t>
            </w:r>
          </w:p>
        </w:tc>
        <w:tc>
          <w:tcPr>
            <w:tcW w:w="180" w:type="dxa"/>
            <w:vAlign w:val="bottom"/>
          </w:tcPr>
          <w:p>
            <w:pPr>
              <w:spacing w:after="0"/>
              <w:rPr>
                <w:sz w:val="18"/>
                <w:szCs w:val="18"/>
                <w:color w:val="auto"/>
              </w:rPr>
            </w:pPr>
          </w:p>
        </w:tc>
        <w:tc>
          <w:tcPr>
            <w:tcW w:w="122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29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00" w:type="dxa"/>
            <w:vAlign w:val="bottom"/>
          </w:tcPr>
          <w:p>
            <w:pPr>
              <w:jc w:val="right"/>
              <w:ind w:right="39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40" w:type="dxa"/>
            <w:vAlign w:val="bottom"/>
          </w:tcPr>
          <w:p>
            <w:pPr>
              <w:jc w:val="center"/>
              <w:ind w:right="59"/>
              <w:spacing w:after="0"/>
              <w:rPr>
                <w:sz w:val="20"/>
                <w:szCs w:val="20"/>
                <w:color w:val="auto"/>
              </w:rPr>
            </w:pPr>
            <w:r>
              <w:rPr>
                <w:rFonts w:ascii="Arial" w:cs="Arial" w:eastAsia="Arial" w:hAnsi="Arial"/>
                <w:sz w:val="16"/>
                <w:szCs w:val="16"/>
                <w:b w:val="1"/>
                <w:bCs w:val="1"/>
                <w:color w:val="auto"/>
                <w:w w:val="96"/>
              </w:rPr>
              <w:t>Impax/ Gemini</w:t>
            </w:r>
          </w:p>
        </w:tc>
        <w:tc>
          <w:tcPr>
            <w:tcW w:w="180" w:type="dxa"/>
            <w:vAlign w:val="bottom"/>
          </w:tcPr>
          <w:p>
            <w:pPr>
              <w:spacing w:after="0"/>
              <w:rPr>
                <w:sz w:val="23"/>
                <w:szCs w:val="23"/>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40" w:type="dxa"/>
            <w:vAlign w:val="bottom"/>
          </w:tcPr>
          <w:p>
            <w:pPr>
              <w:jc w:val="center"/>
              <w:ind w:right="59"/>
              <w:spacing w:after="0"/>
              <w:rPr>
                <w:sz w:val="20"/>
                <w:szCs w:val="20"/>
                <w:color w:val="auto"/>
              </w:rPr>
            </w:pPr>
            <w:r>
              <w:rPr>
                <w:rFonts w:ascii="Arial" w:cs="Arial" w:eastAsia="Arial" w:hAnsi="Arial"/>
                <w:sz w:val="16"/>
                <w:szCs w:val="16"/>
                <w:b w:val="1"/>
                <w:bCs w:val="1"/>
                <w:color w:val="auto"/>
                <w:w w:val="96"/>
              </w:rPr>
              <w:t>Impax/ Gemini</w:t>
            </w:r>
          </w:p>
        </w:tc>
        <w:tc>
          <w:tcPr>
            <w:tcW w:w="180" w:type="dxa"/>
            <w:vAlign w:val="bottom"/>
          </w:tcPr>
          <w:p>
            <w:pPr>
              <w:spacing w:after="0"/>
              <w:rPr>
                <w:sz w:val="23"/>
                <w:szCs w:val="23"/>
                <w:color w:val="auto"/>
              </w:rPr>
            </w:pPr>
          </w:p>
        </w:tc>
        <w:tc>
          <w:tcPr>
            <w:tcW w:w="122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920" w:type="dxa"/>
            <w:vAlign w:val="bottom"/>
            <w:vMerge w:val="restart"/>
          </w:tcPr>
          <w:p>
            <w:pPr>
              <w:spacing w:after="0"/>
              <w:rPr>
                <w:sz w:val="20"/>
                <w:szCs w:val="20"/>
                <w:color w:val="auto"/>
              </w:rPr>
            </w:pPr>
            <w:r>
              <w:rPr>
                <w:rFonts w:ascii="Arial" w:cs="Arial" w:eastAsia="Arial" w:hAnsi="Arial"/>
                <w:sz w:val="16"/>
                <w:szCs w:val="16"/>
                <w:b w:val="1"/>
                <w:bCs w:val="1"/>
                <w:color w:val="auto"/>
              </w:rPr>
              <w:t>Net revenue - Specialty:</w:t>
            </w: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4"/>
        </w:trPr>
        <w:tc>
          <w:tcPr>
            <w:tcW w:w="2920" w:type="dxa"/>
            <w:vAlign w:val="bottom"/>
          </w:tcPr>
          <w:p>
            <w:pPr>
              <w:ind w:left="160"/>
              <w:spacing w:after="0"/>
              <w:rPr>
                <w:sz w:val="20"/>
                <w:szCs w:val="20"/>
                <w:color w:val="auto"/>
              </w:rPr>
            </w:pPr>
            <w:r>
              <w:rPr>
                <w:rFonts w:ascii="Arial" w:cs="Arial" w:eastAsia="Arial" w:hAnsi="Arial"/>
                <w:sz w:val="16"/>
                <w:szCs w:val="16"/>
                <w:color w:val="auto"/>
              </w:rPr>
              <w:t>Rytary®</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33,000</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33,000</w:t>
            </w:r>
          </w:p>
        </w:tc>
        <w:tc>
          <w:tcPr>
            <w:tcW w:w="100" w:type="dxa"/>
            <w:vAlign w:val="bottom"/>
          </w:tcPr>
          <w:p>
            <w:pPr>
              <w:spacing w:after="0"/>
              <w:rPr>
                <w:sz w:val="24"/>
                <w:szCs w:val="24"/>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20,520</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8,578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29,098</w:t>
            </w:r>
          </w:p>
        </w:tc>
        <w:tc>
          <w:tcPr>
            <w:tcW w:w="0" w:type="dxa"/>
            <w:vAlign w:val="bottom"/>
          </w:tcPr>
          <w:p>
            <w:pPr>
              <w:spacing w:after="0"/>
              <w:rPr>
                <w:sz w:val="1"/>
                <w:szCs w:val="1"/>
                <w:color w:val="auto"/>
              </w:rPr>
            </w:pPr>
          </w:p>
        </w:tc>
      </w:tr>
      <w:tr>
        <w:trPr>
          <w:trHeight w:val="270"/>
        </w:trPr>
        <w:tc>
          <w:tcPr>
            <w:tcW w:w="2920" w:type="dxa"/>
            <w:vAlign w:val="bottom"/>
          </w:tcPr>
          <w:p>
            <w:pPr>
              <w:ind w:left="160"/>
              <w:spacing w:after="0"/>
              <w:rPr>
                <w:sz w:val="20"/>
                <w:szCs w:val="20"/>
                <w:color w:val="auto"/>
              </w:rPr>
            </w:pPr>
            <w:r>
              <w:rPr>
                <w:rFonts w:ascii="Arial" w:cs="Arial" w:eastAsia="Arial" w:hAnsi="Arial"/>
                <w:sz w:val="16"/>
                <w:szCs w:val="16"/>
                <w:color w:val="auto"/>
              </w:rPr>
              <w:t>Unithroid®</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8,904</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8,904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4,424</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3,207</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7,631</w:t>
            </w:r>
          </w:p>
        </w:tc>
        <w:tc>
          <w:tcPr>
            <w:tcW w:w="0" w:type="dxa"/>
            <w:vAlign w:val="bottom"/>
          </w:tcPr>
          <w:p>
            <w:pPr>
              <w:spacing w:after="0"/>
              <w:rPr>
                <w:sz w:val="1"/>
                <w:szCs w:val="1"/>
                <w:color w:val="auto"/>
              </w:rPr>
            </w:pPr>
          </w:p>
        </w:tc>
      </w:tr>
      <w:tr>
        <w:trPr>
          <w:trHeight w:val="270"/>
        </w:trPr>
        <w:tc>
          <w:tcPr>
            <w:tcW w:w="2920" w:type="dxa"/>
            <w:vAlign w:val="bottom"/>
          </w:tcPr>
          <w:p>
            <w:pPr>
              <w:ind w:left="160"/>
              <w:spacing w:after="0"/>
              <w:rPr>
                <w:sz w:val="20"/>
                <w:szCs w:val="20"/>
                <w:color w:val="auto"/>
              </w:rPr>
            </w:pPr>
            <w:r>
              <w:rPr>
                <w:rFonts w:ascii="Arial" w:cs="Arial" w:eastAsia="Arial" w:hAnsi="Arial"/>
                <w:sz w:val="16"/>
                <w:szCs w:val="16"/>
                <w:color w:val="auto"/>
              </w:rPr>
              <w:t>Zomig®</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14,427</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14,427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9,695</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3,933</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13,628</w:t>
            </w:r>
          </w:p>
        </w:tc>
        <w:tc>
          <w:tcPr>
            <w:tcW w:w="0" w:type="dxa"/>
            <w:vAlign w:val="bottom"/>
          </w:tcPr>
          <w:p>
            <w:pPr>
              <w:spacing w:after="0"/>
              <w:rPr>
                <w:sz w:val="1"/>
                <w:szCs w:val="1"/>
                <w:color w:val="auto"/>
              </w:rPr>
            </w:pPr>
          </w:p>
        </w:tc>
      </w:tr>
      <w:tr>
        <w:trPr>
          <w:trHeight w:val="270"/>
        </w:trPr>
        <w:tc>
          <w:tcPr>
            <w:tcW w:w="2920" w:type="dxa"/>
            <w:vAlign w:val="bottom"/>
          </w:tcPr>
          <w:p>
            <w:pPr>
              <w:ind w:left="120"/>
              <w:spacing w:after="0"/>
              <w:rPr>
                <w:sz w:val="20"/>
                <w:szCs w:val="20"/>
                <w:color w:val="auto"/>
              </w:rPr>
            </w:pPr>
            <w:r>
              <w:rPr>
                <w:rFonts w:ascii="Arial" w:cs="Arial" w:eastAsia="Arial" w:hAnsi="Arial"/>
                <w:sz w:val="16"/>
                <w:szCs w:val="16"/>
                <w:color w:val="auto"/>
              </w:rPr>
              <w:t>All other specialty products</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13,247</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13,247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17,378</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11,828</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29,206</w:t>
            </w:r>
          </w:p>
        </w:tc>
        <w:tc>
          <w:tcPr>
            <w:tcW w:w="0" w:type="dxa"/>
            <w:vAlign w:val="bottom"/>
          </w:tcPr>
          <w:p>
            <w:pPr>
              <w:spacing w:after="0"/>
              <w:rPr>
                <w:sz w:val="1"/>
                <w:szCs w:val="1"/>
                <w:color w:val="auto"/>
              </w:rPr>
            </w:pPr>
          </w:p>
        </w:tc>
      </w:tr>
      <w:tr>
        <w:trPr>
          <w:trHeight w:val="33"/>
        </w:trPr>
        <w:tc>
          <w:tcPr>
            <w:tcW w:w="29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tcPr>
          <w:p>
            <w:pPr>
              <w:ind w:left="480"/>
              <w:spacing w:after="0"/>
              <w:rPr>
                <w:sz w:val="20"/>
                <w:szCs w:val="20"/>
                <w:color w:val="auto"/>
              </w:rPr>
            </w:pPr>
            <w:r>
              <w:rPr>
                <w:rFonts w:ascii="Arial" w:cs="Arial" w:eastAsia="Arial" w:hAnsi="Arial"/>
                <w:sz w:val="16"/>
                <w:szCs w:val="16"/>
                <w:color w:val="auto"/>
              </w:rPr>
              <w:t>Total net revenue - Specialty</w:t>
            </w:r>
          </w:p>
        </w:tc>
        <w:tc>
          <w:tcPr>
            <w:tcW w:w="30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69,578</w:t>
            </w:r>
          </w:p>
        </w:tc>
        <w:tc>
          <w:tcPr>
            <w:tcW w:w="14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69,578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52,017</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27,546</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79,563</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32,958</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32,958</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23,958</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6,711</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30,669</w:t>
            </w:r>
          </w:p>
        </w:tc>
        <w:tc>
          <w:tcPr>
            <w:tcW w:w="0" w:type="dxa"/>
            <w:vAlign w:val="bottom"/>
          </w:tcPr>
          <w:p>
            <w:pPr>
              <w:spacing w:after="0"/>
              <w:rPr>
                <w:sz w:val="1"/>
                <w:szCs w:val="1"/>
                <w:color w:val="auto"/>
              </w:rPr>
            </w:pPr>
          </w:p>
        </w:tc>
      </w:tr>
      <w:tr>
        <w:trPr>
          <w:trHeight w:val="33"/>
        </w:trPr>
        <w:tc>
          <w:tcPr>
            <w:tcW w:w="292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Gross profit</w:t>
            </w: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36,620</w:t>
            </w:r>
          </w:p>
        </w:tc>
        <w:tc>
          <w:tcPr>
            <w:tcW w:w="14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36,620</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28,059</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20,835</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48,894</w:t>
            </w:r>
          </w:p>
        </w:tc>
        <w:tc>
          <w:tcPr>
            <w:tcW w:w="0" w:type="dxa"/>
            <w:vAlign w:val="bottom"/>
          </w:tcPr>
          <w:p>
            <w:pPr>
              <w:spacing w:after="0"/>
              <w:rPr>
                <w:sz w:val="1"/>
                <w:szCs w:val="1"/>
                <w:color w:val="auto"/>
              </w:rPr>
            </w:pPr>
          </w:p>
        </w:tc>
      </w:tr>
      <w:tr>
        <w:trPr>
          <w:trHeight w:val="33"/>
        </w:trPr>
        <w:tc>
          <w:tcPr>
            <w:tcW w:w="2920" w:type="dxa"/>
            <w:vAlign w:val="bottom"/>
            <w:vMerge w:val="restart"/>
          </w:tcPr>
          <w:p>
            <w:pPr>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16,150</w:t>
            </w:r>
          </w:p>
        </w:tc>
        <w:tc>
          <w:tcPr>
            <w:tcW w:w="14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16,150</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13,549</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7,707</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21,256</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2,568</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2,568</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3,129</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1,007</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4,136</w:t>
            </w:r>
          </w:p>
        </w:tc>
        <w:tc>
          <w:tcPr>
            <w:tcW w:w="0" w:type="dxa"/>
            <w:vAlign w:val="bottom"/>
          </w:tcPr>
          <w:p>
            <w:pPr>
              <w:spacing w:after="0"/>
              <w:rPr>
                <w:sz w:val="1"/>
                <w:szCs w:val="1"/>
                <w:color w:val="auto"/>
              </w:rPr>
            </w:pPr>
          </w:p>
        </w:tc>
      </w:tr>
      <w:tr>
        <w:trPr>
          <w:trHeight w:val="253"/>
        </w:trPr>
        <w:tc>
          <w:tcPr>
            <w:tcW w:w="292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920" w:type="dxa"/>
            <w:vAlign w:val="bottom"/>
          </w:tcPr>
          <w:p>
            <w:pPr>
              <w:spacing w:after="0"/>
              <w:rPr>
                <w:sz w:val="20"/>
                <w:szCs w:val="20"/>
                <w:color w:val="auto"/>
              </w:rPr>
            </w:pPr>
            <w:r>
              <w:rPr>
                <w:rFonts w:ascii="Arial" w:cs="Arial" w:eastAsia="Arial" w:hAnsi="Arial"/>
                <w:sz w:val="16"/>
                <w:szCs w:val="16"/>
                <w:color w:val="auto"/>
              </w:rPr>
              <w:t>expenses</w:t>
            </w:r>
          </w:p>
        </w:tc>
        <w:tc>
          <w:tcPr>
            <w:tcW w:w="300" w:type="dxa"/>
            <w:vAlign w:val="bottom"/>
          </w:tcPr>
          <w:p>
            <w:pPr>
              <w:spacing w:after="0"/>
              <w:rPr>
                <w:sz w:val="17"/>
                <w:szCs w:val="17"/>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3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43</w:t>
            </w:r>
          </w:p>
        </w:tc>
        <w:tc>
          <w:tcPr>
            <w:tcW w:w="140" w:type="dxa"/>
            <w:vAlign w:val="bottom"/>
          </w:tcPr>
          <w:p>
            <w:pPr>
              <w:spacing w:after="0"/>
              <w:rPr>
                <w:sz w:val="17"/>
                <w:szCs w:val="17"/>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300" w:type="dxa"/>
            <w:vAlign w:val="bottom"/>
          </w:tcPr>
          <w:p>
            <w:pPr>
              <w:spacing w:after="0"/>
              <w:rPr>
                <w:sz w:val="23"/>
                <w:szCs w:val="23"/>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3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2,421</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2,421</w:t>
            </w:r>
          </w:p>
        </w:tc>
        <w:tc>
          <w:tcPr>
            <w:tcW w:w="0" w:type="dxa"/>
            <w:vAlign w:val="bottom"/>
          </w:tcPr>
          <w:p>
            <w:pPr>
              <w:spacing w:after="0"/>
              <w:rPr>
                <w:sz w:val="1"/>
                <w:szCs w:val="1"/>
                <w:color w:val="auto"/>
              </w:rPr>
            </w:pPr>
          </w:p>
        </w:tc>
      </w:tr>
      <w:tr>
        <w:trPr>
          <w:trHeight w:val="253"/>
        </w:trPr>
        <w:tc>
          <w:tcPr>
            <w:tcW w:w="2920" w:type="dxa"/>
            <w:vAlign w:val="bottom"/>
          </w:tcPr>
          <w:p>
            <w:pPr>
              <w:spacing w:after="0"/>
              <w:rPr>
                <w:sz w:val="20"/>
                <w:szCs w:val="20"/>
                <w:color w:val="auto"/>
              </w:rPr>
            </w:pPr>
            <w:r>
              <w:rPr>
                <w:rFonts w:ascii="Arial" w:cs="Arial" w:eastAsia="Arial" w:hAnsi="Arial"/>
                <w:sz w:val="16"/>
                <w:szCs w:val="16"/>
                <w:color w:val="auto"/>
              </w:rPr>
              <w:t>Acquisition, integration and transaction</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920" w:type="dxa"/>
            <w:vAlign w:val="bottom"/>
          </w:tcPr>
          <w:p>
            <w:pPr>
              <w:spacing w:after="0"/>
              <w:rPr>
                <w:sz w:val="20"/>
                <w:szCs w:val="20"/>
                <w:color w:val="auto"/>
              </w:rPr>
            </w:pPr>
            <w:r>
              <w:rPr>
                <w:rFonts w:ascii="Arial" w:cs="Arial" w:eastAsia="Arial" w:hAnsi="Arial"/>
                <w:sz w:val="16"/>
                <w:szCs w:val="16"/>
                <w:color w:val="auto"/>
              </w:rPr>
              <w:t>related expenses</w:t>
            </w:r>
          </w:p>
        </w:tc>
        <w:tc>
          <w:tcPr>
            <w:tcW w:w="300" w:type="dxa"/>
            <w:vAlign w:val="bottom"/>
          </w:tcPr>
          <w:p>
            <w:pPr>
              <w:spacing w:after="0"/>
              <w:rPr>
                <w:sz w:val="17"/>
                <w:szCs w:val="17"/>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1,366</w:t>
            </w:r>
          </w:p>
        </w:tc>
        <w:tc>
          <w:tcPr>
            <w:tcW w:w="140" w:type="dxa"/>
            <w:vAlign w:val="bottom"/>
          </w:tcPr>
          <w:p>
            <w:pPr>
              <w:spacing w:after="0"/>
              <w:rPr>
                <w:sz w:val="17"/>
                <w:szCs w:val="17"/>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1,366</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92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Operating income</w:t>
            </w: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20" w:type="dxa"/>
            <w:vAlign w:val="bottom"/>
            <w:vMerge w:val="continue"/>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16,536</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16,536</w:t>
            </w:r>
          </w:p>
        </w:tc>
        <w:tc>
          <w:tcPr>
            <w:tcW w:w="100" w:type="dxa"/>
            <w:vAlign w:val="bottom"/>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8,917</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12,121</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21,038</w:t>
            </w:r>
          </w:p>
        </w:tc>
        <w:tc>
          <w:tcPr>
            <w:tcW w:w="0" w:type="dxa"/>
            <w:vAlign w:val="bottom"/>
          </w:tcPr>
          <w:p>
            <w:pPr>
              <w:spacing w:after="0"/>
              <w:rPr>
                <w:sz w:val="1"/>
                <w:szCs w:val="1"/>
                <w:color w:val="auto"/>
              </w:rPr>
            </w:pPr>
          </w:p>
        </w:tc>
      </w:tr>
      <w:tr>
        <w:trPr>
          <w:trHeight w:val="33"/>
        </w:trPr>
        <w:tc>
          <w:tcPr>
            <w:tcW w:w="2920" w:type="dxa"/>
            <w:vAlign w:val="bottom"/>
            <w:vMerge w:val="restart"/>
          </w:tcPr>
          <w:p>
            <w:pPr>
              <w:spacing w:after="0"/>
              <w:rPr>
                <w:sz w:val="20"/>
                <w:szCs w:val="20"/>
                <w:color w:val="auto"/>
              </w:rPr>
            </w:pPr>
            <w:r>
              <w:rPr>
                <w:rFonts w:ascii="Arial" w:cs="Arial" w:eastAsia="Arial" w:hAnsi="Arial"/>
                <w:sz w:val="16"/>
                <w:szCs w:val="16"/>
                <w:color w:val="auto"/>
              </w:rPr>
              <w:t>Gross margin</w:t>
            </w: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920" w:type="dxa"/>
            <w:vAlign w:val="bottom"/>
            <w:vMerge w:val="continue"/>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3"/>
        </w:trPr>
        <w:tc>
          <w:tcPr>
            <w:tcW w:w="292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52.6%</w:t>
            </w:r>
          </w:p>
        </w:tc>
        <w:tc>
          <w:tcPr>
            <w:tcW w:w="140" w:type="dxa"/>
            <w:vAlign w:val="bottom"/>
          </w:tcPr>
          <w:p>
            <w:pPr>
              <w:spacing w:after="0"/>
              <w:rPr>
                <w:sz w:val="24"/>
                <w:szCs w:val="24"/>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53.9%</w:t>
            </w:r>
          </w:p>
        </w:tc>
        <w:tc>
          <w:tcPr>
            <w:tcW w:w="14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75.6%</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61.5%</w:t>
            </w:r>
          </w:p>
        </w:tc>
        <w:tc>
          <w:tcPr>
            <w:tcW w:w="0" w:type="dxa"/>
            <w:vAlign w:val="bottom"/>
          </w:tcPr>
          <w:p>
            <w:pPr>
              <w:spacing w:after="0"/>
              <w:rPr>
                <w:sz w:val="1"/>
                <w:szCs w:val="1"/>
                <w:color w:val="auto"/>
              </w:rPr>
            </w:pPr>
          </w:p>
        </w:tc>
      </w:tr>
      <w:tr>
        <w:trPr>
          <w:trHeight w:val="320"/>
        </w:trPr>
        <w:tc>
          <w:tcPr>
            <w:tcW w:w="2920" w:type="dxa"/>
            <w:vAlign w:val="bottom"/>
          </w:tcPr>
          <w:p>
            <w:pPr>
              <w:spacing w:after="0"/>
              <w:rPr>
                <w:sz w:val="20"/>
                <w:szCs w:val="20"/>
                <w:color w:val="auto"/>
              </w:rPr>
            </w:pPr>
            <w:r>
              <w:rPr>
                <w:rFonts w:ascii="Arial" w:cs="Arial" w:eastAsia="Arial" w:hAnsi="Arial"/>
                <w:sz w:val="16"/>
                <w:szCs w:val="16"/>
                <w:color w:val="auto"/>
              </w:rPr>
              <w:t>Adjusted gross profit (Non-GAAP)</w:t>
            </w:r>
            <w:r>
              <w:rPr>
                <w:rFonts w:ascii="Arial" w:cs="Arial" w:eastAsia="Arial" w:hAnsi="Arial"/>
                <w:sz w:val="21"/>
                <w:szCs w:val="21"/>
                <w:color w:val="auto"/>
                <w:vertAlign w:val="superscript"/>
              </w:rPr>
              <w:t>(4)</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56,780</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56,780</w:t>
            </w:r>
          </w:p>
        </w:tc>
        <w:tc>
          <w:tcPr>
            <w:tcW w:w="100" w:type="dxa"/>
            <w:vAlign w:val="bottom"/>
          </w:tcPr>
          <w:p>
            <w:pPr>
              <w:spacing w:after="0"/>
              <w:rPr>
                <w:sz w:val="24"/>
                <w:szCs w:val="24"/>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40,660</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22,363</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63,023</w:t>
            </w:r>
          </w:p>
        </w:tc>
        <w:tc>
          <w:tcPr>
            <w:tcW w:w="0" w:type="dxa"/>
            <w:vAlign w:val="bottom"/>
          </w:tcPr>
          <w:p>
            <w:pPr>
              <w:spacing w:after="0"/>
              <w:rPr>
                <w:sz w:val="1"/>
                <w:szCs w:val="1"/>
                <w:color w:val="auto"/>
              </w:rPr>
            </w:pPr>
          </w:p>
        </w:tc>
      </w:tr>
      <w:tr>
        <w:trPr>
          <w:trHeight w:val="270"/>
        </w:trPr>
        <w:tc>
          <w:tcPr>
            <w:tcW w:w="2920" w:type="dxa"/>
            <w:vAlign w:val="bottom"/>
          </w:tcPr>
          <w:p>
            <w:pPr>
              <w:spacing w:after="0"/>
              <w:rPr>
                <w:sz w:val="20"/>
                <w:szCs w:val="20"/>
                <w:color w:val="auto"/>
              </w:rPr>
            </w:pPr>
            <w:r>
              <w:rPr>
                <w:rFonts w:ascii="Arial" w:cs="Arial" w:eastAsia="Arial" w:hAnsi="Arial"/>
                <w:sz w:val="16"/>
                <w:szCs w:val="16"/>
                <w:color w:val="auto"/>
              </w:rPr>
              <w:t>Adjusted gross margin (Non-GAAP)</w:t>
            </w:r>
            <w:r>
              <w:rPr>
                <w:rFonts w:ascii="Arial" w:cs="Arial" w:eastAsia="Arial" w:hAnsi="Arial"/>
                <w:sz w:val="21"/>
                <w:szCs w:val="21"/>
                <w:color w:val="auto"/>
                <w:vertAlign w:val="superscript"/>
              </w:rPr>
              <w:t>(5)</w:t>
            </w:r>
          </w:p>
        </w:tc>
        <w:tc>
          <w:tcPr>
            <w:tcW w:w="30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81.6%</w:t>
            </w:r>
          </w:p>
        </w:tc>
        <w:tc>
          <w:tcPr>
            <w:tcW w:w="14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81.6%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78.2%</w:t>
            </w:r>
          </w:p>
        </w:tc>
        <w:tc>
          <w:tcPr>
            <w:tcW w:w="140" w:type="dxa"/>
            <w:vAlign w:val="bottom"/>
          </w:tcPr>
          <w:p>
            <w:pPr>
              <w:spacing w:after="0"/>
              <w:rPr>
                <w:sz w:val="23"/>
                <w:szCs w:val="23"/>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81.2%</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79.2%</w:t>
            </w:r>
          </w:p>
        </w:tc>
        <w:tc>
          <w:tcPr>
            <w:tcW w:w="0" w:type="dxa"/>
            <w:vAlign w:val="bottom"/>
          </w:tcPr>
          <w:p>
            <w:pPr>
              <w:spacing w:after="0"/>
              <w:rPr>
                <w:sz w:val="1"/>
                <w:szCs w:val="1"/>
                <w:color w:val="auto"/>
              </w:rPr>
            </w:pPr>
          </w:p>
        </w:tc>
      </w:tr>
      <w:tr>
        <w:trPr>
          <w:trHeight w:val="220"/>
        </w:trPr>
        <w:tc>
          <w:tcPr>
            <w:tcW w:w="292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79"/>
              <w:spacing w:after="0"/>
              <w:rPr>
                <w:sz w:val="20"/>
                <w:szCs w:val="20"/>
                <w:color w:val="auto"/>
              </w:rPr>
            </w:pPr>
            <w:r>
              <w:rPr>
                <w:rFonts w:ascii="Arial" w:cs="Arial" w:eastAsia="Arial" w:hAnsi="Arial"/>
                <w:sz w:val="16"/>
                <w:szCs w:val="16"/>
                <w:color w:val="auto"/>
              </w:rPr>
              <w:t>39,313</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39,313</w:t>
            </w:r>
          </w:p>
        </w:tc>
        <w:tc>
          <w:tcPr>
            <w:tcW w:w="100" w:type="dxa"/>
            <w:vAlign w:val="bottom"/>
          </w:tcPr>
          <w:p>
            <w:pPr>
              <w:spacing w:after="0"/>
              <w:rPr>
                <w:sz w:val="19"/>
                <w:szCs w:val="19"/>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23,939</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13,649</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37,588</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left="-8" w:right="80" w:firstLine="8"/>
        <w:spacing w:after="0"/>
        <w:tabs>
          <w:tab w:leader="none" w:pos="159" w:val="left"/>
        </w:tabs>
        <w:numPr>
          <w:ilvl w:val="0"/>
          <w:numId w:val="8"/>
        </w:numPr>
        <w:rPr>
          <w:rFonts w:ascii="Arial" w:cs="Arial" w:eastAsia="Arial" w:hAnsi="Arial"/>
          <w:sz w:val="19"/>
          <w:szCs w:val="19"/>
          <w:color w:val="auto"/>
          <w:vertAlign w:val="superscript"/>
        </w:rPr>
      </w:pPr>
      <w:r>
        <w:rPr>
          <w:rFonts w:ascii="Arial" w:cs="Arial" w:eastAsia="Arial" w:hAnsi="Arial"/>
          <w:sz w:val="15"/>
          <w:szCs w:val="15"/>
          <w:color w:val="auto"/>
        </w:rPr>
        <w:t>Adjusted gross profit is calculated as combined net revenue less adjusted cost of goods sold. See Non-GAAP reconciliations below for calculation of adjusted cost of goods sold.</w:t>
      </w:r>
    </w:p>
    <w:p>
      <w:pPr>
        <w:spacing w:after="0" w:line="1" w:lineRule="exact"/>
        <w:rPr>
          <w:rFonts w:ascii="Arial" w:cs="Arial" w:eastAsia="Arial" w:hAnsi="Arial"/>
          <w:sz w:val="19"/>
          <w:szCs w:val="19"/>
          <w:color w:val="auto"/>
          <w:vertAlign w:val="superscript"/>
        </w:rPr>
      </w:pPr>
    </w:p>
    <w:p>
      <w:pPr>
        <w:ind w:left="172" w:hanging="172"/>
        <w:spacing w:after="0" w:line="191" w:lineRule="auto"/>
        <w:tabs>
          <w:tab w:leader="none" w:pos="172" w:val="left"/>
        </w:tabs>
        <w:numPr>
          <w:ilvl w:val="0"/>
          <w:numId w:val="8"/>
        </w:numPr>
        <w:rPr>
          <w:rFonts w:ascii="Arial" w:cs="Arial" w:eastAsia="Arial" w:hAnsi="Arial"/>
          <w:sz w:val="21"/>
          <w:szCs w:val="21"/>
          <w:color w:val="auto"/>
          <w:vertAlign w:val="superscript"/>
        </w:rPr>
      </w:pPr>
      <w:r>
        <w:rPr>
          <w:rFonts w:ascii="Arial" w:cs="Arial" w:eastAsia="Arial" w:hAnsi="Arial"/>
          <w:sz w:val="15"/>
          <w:szCs w:val="15"/>
          <w:color w:val="auto"/>
        </w:rPr>
        <w:t>Adjusted gross margin is calculated as adjusted gross profit divided by combined net revenue.</w:t>
      </w:r>
    </w:p>
    <w:p>
      <w:pPr>
        <w:spacing w:after="0" w:line="217" w:lineRule="exact"/>
        <w:rPr>
          <w:sz w:val="20"/>
          <w:szCs w:val="20"/>
          <w:color w:val="auto"/>
        </w:rPr>
      </w:pPr>
    </w:p>
    <w:p>
      <w:pPr>
        <w:jc w:val="center"/>
        <w:ind w:right="-11"/>
        <w:spacing w:after="0"/>
        <w:rPr>
          <w:sz w:val="20"/>
          <w:szCs w:val="20"/>
          <w:color w:val="auto"/>
        </w:rPr>
      </w:pPr>
      <w:r>
        <w:rPr>
          <w:rFonts w:ascii="Arial" w:cs="Arial" w:eastAsia="Arial" w:hAnsi="Arial"/>
          <w:sz w:val="14"/>
          <w:szCs w:val="14"/>
          <w:color w:val="auto"/>
        </w:rPr>
        <w:t>Page 4 of 23</w:t>
      </w:r>
    </w:p>
    <w:p>
      <w:pPr>
        <w:sectPr>
          <w:pgSz w:w="11900" w:h="16838" w:orient="portrait"/>
          <w:cols w:equalWidth="0" w:num="1">
            <w:col w:w="11392"/>
          </w:cols>
          <w:pgMar w:left="248" w:top="742" w:right="25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Reconciliation of Specialty Operating Income to Specialty Combined Operating Income</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94"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294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280" w:type="dxa"/>
            <w:vAlign w:val="bottom"/>
          </w:tcPr>
          <w:p>
            <w:pPr>
              <w:spacing w:after="0"/>
              <w:rPr>
                <w:sz w:val="18"/>
                <w:szCs w:val="18"/>
                <w:color w:val="auto"/>
              </w:rPr>
            </w:pPr>
          </w:p>
        </w:tc>
        <w:tc>
          <w:tcPr>
            <w:tcW w:w="3980" w:type="dxa"/>
            <w:vAlign w:val="bottom"/>
            <w:gridSpan w:val="6"/>
          </w:tcPr>
          <w:p>
            <w:pPr>
              <w:jc w:val="center"/>
              <w:ind w:right="360"/>
              <w:spacing w:after="0"/>
              <w:rPr>
                <w:sz w:val="20"/>
                <w:szCs w:val="20"/>
                <w:color w:val="auto"/>
              </w:rPr>
            </w:pPr>
            <w:r>
              <w:rPr>
                <w:rFonts w:ascii="Arial" w:cs="Arial" w:eastAsia="Arial" w:hAnsi="Arial"/>
                <w:sz w:val="16"/>
                <w:szCs w:val="16"/>
                <w:b w:val="1"/>
                <w:bCs w:val="1"/>
                <w:color w:val="auto"/>
                <w:w w:val="90"/>
              </w:rPr>
              <w:t>Six months ended June 30, 2019</w:t>
            </w:r>
          </w:p>
        </w:tc>
        <w:tc>
          <w:tcPr>
            <w:tcW w:w="300" w:type="dxa"/>
            <w:vAlign w:val="bottom"/>
          </w:tcPr>
          <w:p>
            <w:pPr>
              <w:spacing w:after="0"/>
              <w:rPr>
                <w:sz w:val="18"/>
                <w:szCs w:val="18"/>
                <w:color w:val="auto"/>
              </w:rPr>
            </w:pPr>
          </w:p>
        </w:tc>
        <w:tc>
          <w:tcPr>
            <w:tcW w:w="386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29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vMerge w:val="restart"/>
          </w:tcPr>
          <w:p>
            <w:pPr>
              <w:jc w:val="center"/>
              <w:ind w:right="39"/>
              <w:spacing w:after="0"/>
              <w:rPr>
                <w:sz w:val="20"/>
                <w:szCs w:val="20"/>
                <w:color w:val="auto"/>
              </w:rPr>
            </w:pPr>
            <w:r>
              <w:rPr>
                <w:rFonts w:ascii="Arial" w:cs="Arial" w:eastAsia="Arial" w:hAnsi="Arial"/>
                <w:sz w:val="16"/>
                <w:szCs w:val="16"/>
                <w:b w:val="1"/>
                <w:bCs w:val="1"/>
                <w:color w:val="auto"/>
                <w:w w:val="98"/>
              </w:rPr>
              <w:t>Add:</w:t>
            </w:r>
          </w:p>
        </w:tc>
        <w:tc>
          <w:tcPr>
            <w:tcW w:w="180" w:type="dxa"/>
            <w:vAlign w:val="bottom"/>
          </w:tcPr>
          <w:p>
            <w:pPr>
              <w:spacing w:after="0"/>
              <w:rPr>
                <w:sz w:val="18"/>
                <w:szCs w:val="18"/>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vMerge w:val="restart"/>
          </w:tcPr>
          <w:p>
            <w:pPr>
              <w:jc w:val="center"/>
              <w:ind w:right="59"/>
              <w:spacing w:after="0"/>
              <w:rPr>
                <w:sz w:val="20"/>
                <w:szCs w:val="20"/>
                <w:color w:val="auto"/>
              </w:rPr>
            </w:pPr>
            <w:r>
              <w:rPr>
                <w:rFonts w:ascii="Arial" w:cs="Arial" w:eastAsia="Arial" w:hAnsi="Arial"/>
                <w:sz w:val="16"/>
                <w:szCs w:val="16"/>
                <w:b w:val="1"/>
                <w:bCs w:val="1"/>
                <w:color w:val="auto"/>
                <w:w w:val="93"/>
              </w:rPr>
              <w:t>Add:</w:t>
            </w:r>
          </w:p>
        </w:tc>
        <w:tc>
          <w:tcPr>
            <w:tcW w:w="180" w:type="dxa"/>
            <w:vAlign w:val="bottom"/>
          </w:tcPr>
          <w:p>
            <w:pPr>
              <w:spacing w:after="0"/>
              <w:rPr>
                <w:sz w:val="18"/>
                <w:szCs w:val="18"/>
                <w:color w:val="auto"/>
              </w:rPr>
            </w:pPr>
          </w:p>
        </w:tc>
        <w:tc>
          <w:tcPr>
            <w:tcW w:w="122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2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120" w:type="dxa"/>
            <w:vAlign w:val="bottom"/>
          </w:tcPr>
          <w:p>
            <w:pPr>
              <w:jc w:val="right"/>
              <w:ind w:right="399"/>
              <w:spacing w:after="0"/>
              <w:rPr>
                <w:sz w:val="20"/>
                <w:szCs w:val="20"/>
                <w:color w:val="auto"/>
              </w:rPr>
            </w:pPr>
            <w:r>
              <w:rPr>
                <w:rFonts w:ascii="Arial" w:cs="Arial" w:eastAsia="Arial" w:hAnsi="Arial"/>
                <w:sz w:val="16"/>
                <w:szCs w:val="16"/>
                <w:b w:val="1"/>
                <w:bCs w:val="1"/>
                <w:color w:val="auto"/>
              </w:rPr>
              <w:t>Actual</w:t>
            </w:r>
          </w:p>
        </w:tc>
        <w:tc>
          <w:tcPr>
            <w:tcW w:w="120" w:type="dxa"/>
            <w:vAlign w:val="bottom"/>
          </w:tcPr>
          <w:p>
            <w:pPr>
              <w:spacing w:after="0"/>
              <w:rPr>
                <w:sz w:val="23"/>
                <w:szCs w:val="23"/>
                <w:color w:val="auto"/>
              </w:rPr>
            </w:pPr>
          </w:p>
        </w:tc>
        <w:tc>
          <w:tcPr>
            <w:tcW w:w="1240" w:type="dxa"/>
            <w:vAlign w:val="bottom"/>
          </w:tcPr>
          <w:p>
            <w:pPr>
              <w:jc w:val="center"/>
              <w:ind w:right="39"/>
              <w:spacing w:after="0"/>
              <w:rPr>
                <w:sz w:val="20"/>
                <w:szCs w:val="20"/>
                <w:color w:val="auto"/>
              </w:rPr>
            </w:pPr>
            <w:r>
              <w:rPr>
                <w:rFonts w:ascii="Arial" w:cs="Arial" w:eastAsia="Arial" w:hAnsi="Arial"/>
                <w:sz w:val="16"/>
                <w:szCs w:val="16"/>
                <w:b w:val="1"/>
                <w:bCs w:val="1"/>
                <w:color w:val="auto"/>
                <w:w w:val="95"/>
              </w:rPr>
              <w:t>Impax/ Gemini</w:t>
            </w:r>
          </w:p>
        </w:tc>
        <w:tc>
          <w:tcPr>
            <w:tcW w:w="180" w:type="dxa"/>
            <w:vAlign w:val="bottom"/>
          </w:tcPr>
          <w:p>
            <w:pPr>
              <w:spacing w:after="0"/>
              <w:rPr>
                <w:sz w:val="23"/>
                <w:szCs w:val="23"/>
                <w:color w:val="auto"/>
              </w:rPr>
            </w:pPr>
          </w:p>
        </w:tc>
        <w:tc>
          <w:tcPr>
            <w:tcW w:w="132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40" w:type="dxa"/>
            <w:vAlign w:val="bottom"/>
          </w:tcPr>
          <w:p>
            <w:pPr>
              <w:jc w:val="center"/>
              <w:ind w:right="59"/>
              <w:spacing w:after="0"/>
              <w:rPr>
                <w:sz w:val="20"/>
                <w:szCs w:val="20"/>
                <w:color w:val="auto"/>
              </w:rPr>
            </w:pPr>
            <w:r>
              <w:rPr>
                <w:rFonts w:ascii="Arial" w:cs="Arial" w:eastAsia="Arial" w:hAnsi="Arial"/>
                <w:sz w:val="16"/>
                <w:szCs w:val="16"/>
                <w:b w:val="1"/>
                <w:bCs w:val="1"/>
                <w:color w:val="auto"/>
                <w:w w:val="96"/>
              </w:rPr>
              <w:t>Impax/ Gemini</w:t>
            </w:r>
          </w:p>
        </w:tc>
        <w:tc>
          <w:tcPr>
            <w:tcW w:w="180" w:type="dxa"/>
            <w:vAlign w:val="bottom"/>
          </w:tcPr>
          <w:p>
            <w:pPr>
              <w:spacing w:after="0"/>
              <w:rPr>
                <w:sz w:val="23"/>
                <w:szCs w:val="23"/>
                <w:color w:val="auto"/>
              </w:rPr>
            </w:pPr>
          </w:p>
        </w:tc>
        <w:tc>
          <w:tcPr>
            <w:tcW w:w="122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940" w:type="dxa"/>
            <w:vAlign w:val="bottom"/>
            <w:vMerge w:val="restart"/>
          </w:tcPr>
          <w:p>
            <w:pPr>
              <w:spacing w:after="0"/>
              <w:rPr>
                <w:sz w:val="20"/>
                <w:szCs w:val="20"/>
                <w:color w:val="auto"/>
              </w:rPr>
            </w:pPr>
            <w:r>
              <w:rPr>
                <w:rFonts w:ascii="Arial" w:cs="Arial" w:eastAsia="Arial" w:hAnsi="Arial"/>
                <w:sz w:val="16"/>
                <w:szCs w:val="16"/>
                <w:b w:val="1"/>
                <w:bCs w:val="1"/>
                <w:color w:val="auto"/>
              </w:rPr>
              <w:t>Net revenue - Specialty:</w:t>
            </w: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4"/>
        </w:trPr>
        <w:tc>
          <w:tcPr>
            <w:tcW w:w="2940" w:type="dxa"/>
            <w:vAlign w:val="bottom"/>
          </w:tcPr>
          <w:p>
            <w:pPr>
              <w:ind w:left="160"/>
              <w:spacing w:after="0"/>
              <w:rPr>
                <w:sz w:val="20"/>
                <w:szCs w:val="20"/>
                <w:color w:val="auto"/>
              </w:rPr>
            </w:pPr>
            <w:r>
              <w:rPr>
                <w:rFonts w:ascii="Arial" w:cs="Arial" w:eastAsia="Arial" w:hAnsi="Arial"/>
                <w:sz w:val="16"/>
                <w:szCs w:val="16"/>
                <w:color w:val="auto"/>
              </w:rPr>
              <w:t>Rytary®</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61,828</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61,828</w:t>
            </w:r>
          </w:p>
        </w:tc>
        <w:tc>
          <w:tcPr>
            <w:tcW w:w="100" w:type="dxa"/>
            <w:vAlign w:val="bottom"/>
          </w:tcPr>
          <w:p>
            <w:pPr>
              <w:spacing w:after="0"/>
              <w:rPr>
                <w:sz w:val="24"/>
                <w:szCs w:val="24"/>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20,520</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35,086</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55,606</w:t>
            </w:r>
          </w:p>
        </w:tc>
        <w:tc>
          <w:tcPr>
            <w:tcW w:w="0" w:type="dxa"/>
            <w:vAlign w:val="bottom"/>
          </w:tcPr>
          <w:p>
            <w:pPr>
              <w:spacing w:after="0"/>
              <w:rPr>
                <w:sz w:val="1"/>
                <w:szCs w:val="1"/>
                <w:color w:val="auto"/>
              </w:rPr>
            </w:pPr>
          </w:p>
        </w:tc>
      </w:tr>
      <w:tr>
        <w:trPr>
          <w:trHeight w:val="270"/>
        </w:trPr>
        <w:tc>
          <w:tcPr>
            <w:tcW w:w="2940" w:type="dxa"/>
            <w:vAlign w:val="bottom"/>
          </w:tcPr>
          <w:p>
            <w:pPr>
              <w:ind w:left="160"/>
              <w:spacing w:after="0"/>
              <w:rPr>
                <w:sz w:val="20"/>
                <w:szCs w:val="20"/>
                <w:color w:val="auto"/>
              </w:rPr>
            </w:pPr>
            <w:r>
              <w:rPr>
                <w:rFonts w:ascii="Arial" w:cs="Arial" w:eastAsia="Arial" w:hAnsi="Arial"/>
                <w:sz w:val="16"/>
                <w:szCs w:val="16"/>
                <w:color w:val="auto"/>
              </w:rPr>
              <w:t>Unithroid®</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18,625</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18,625</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4,424</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9,716</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14,140</w:t>
            </w:r>
          </w:p>
        </w:tc>
        <w:tc>
          <w:tcPr>
            <w:tcW w:w="0" w:type="dxa"/>
            <w:vAlign w:val="bottom"/>
          </w:tcPr>
          <w:p>
            <w:pPr>
              <w:spacing w:after="0"/>
              <w:rPr>
                <w:sz w:val="1"/>
                <w:szCs w:val="1"/>
                <w:color w:val="auto"/>
              </w:rPr>
            </w:pPr>
          </w:p>
        </w:tc>
      </w:tr>
      <w:tr>
        <w:trPr>
          <w:trHeight w:val="270"/>
        </w:trPr>
        <w:tc>
          <w:tcPr>
            <w:tcW w:w="2940" w:type="dxa"/>
            <w:vAlign w:val="bottom"/>
          </w:tcPr>
          <w:p>
            <w:pPr>
              <w:ind w:left="160"/>
              <w:spacing w:after="0"/>
              <w:rPr>
                <w:sz w:val="20"/>
                <w:szCs w:val="20"/>
                <w:color w:val="auto"/>
              </w:rPr>
            </w:pPr>
            <w:r>
              <w:rPr>
                <w:rFonts w:ascii="Arial" w:cs="Arial" w:eastAsia="Arial" w:hAnsi="Arial"/>
                <w:sz w:val="16"/>
                <w:szCs w:val="16"/>
                <w:color w:val="auto"/>
              </w:rPr>
              <w:t>Zomig®</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25,551</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25,551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9,695</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14,411</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24,106</w:t>
            </w:r>
          </w:p>
        </w:tc>
        <w:tc>
          <w:tcPr>
            <w:tcW w:w="0" w:type="dxa"/>
            <w:vAlign w:val="bottom"/>
          </w:tcPr>
          <w:p>
            <w:pPr>
              <w:spacing w:after="0"/>
              <w:rPr>
                <w:sz w:val="1"/>
                <w:szCs w:val="1"/>
                <w:color w:val="auto"/>
              </w:rPr>
            </w:pPr>
          </w:p>
        </w:tc>
      </w:tr>
      <w:tr>
        <w:trPr>
          <w:trHeight w:val="270"/>
        </w:trPr>
        <w:tc>
          <w:tcPr>
            <w:tcW w:w="2940" w:type="dxa"/>
            <w:vAlign w:val="bottom"/>
          </w:tcPr>
          <w:p>
            <w:pPr>
              <w:ind w:left="120"/>
              <w:spacing w:after="0"/>
              <w:rPr>
                <w:sz w:val="20"/>
                <w:szCs w:val="20"/>
                <w:color w:val="auto"/>
              </w:rPr>
            </w:pPr>
            <w:r>
              <w:rPr>
                <w:rFonts w:ascii="Arial" w:cs="Arial" w:eastAsia="Arial" w:hAnsi="Arial"/>
                <w:sz w:val="16"/>
                <w:szCs w:val="16"/>
                <w:color w:val="auto"/>
              </w:rPr>
              <w:t>All other specialty products</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27,217</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27,217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17,378</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37,032</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54,410</w:t>
            </w:r>
          </w:p>
        </w:tc>
        <w:tc>
          <w:tcPr>
            <w:tcW w:w="0" w:type="dxa"/>
            <w:vAlign w:val="bottom"/>
          </w:tcPr>
          <w:p>
            <w:pPr>
              <w:spacing w:after="0"/>
              <w:rPr>
                <w:sz w:val="1"/>
                <w:szCs w:val="1"/>
                <w:color w:val="auto"/>
              </w:rPr>
            </w:pPr>
          </w:p>
        </w:tc>
      </w:tr>
      <w:tr>
        <w:trPr>
          <w:trHeight w:val="33"/>
        </w:trPr>
        <w:tc>
          <w:tcPr>
            <w:tcW w:w="294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tcPr>
          <w:p>
            <w:pPr>
              <w:ind w:left="480"/>
              <w:spacing w:after="0"/>
              <w:rPr>
                <w:sz w:val="20"/>
                <w:szCs w:val="20"/>
                <w:color w:val="auto"/>
              </w:rPr>
            </w:pPr>
            <w:r>
              <w:rPr>
                <w:rFonts w:ascii="Arial" w:cs="Arial" w:eastAsia="Arial" w:hAnsi="Arial"/>
                <w:sz w:val="16"/>
                <w:szCs w:val="16"/>
                <w:color w:val="auto"/>
              </w:rPr>
              <w:t>Total net revenue - Specialty</w:t>
            </w:r>
          </w:p>
        </w:tc>
        <w:tc>
          <w:tcPr>
            <w:tcW w:w="280" w:type="dxa"/>
            <w:vAlign w:val="bottom"/>
          </w:tcPr>
          <w:p>
            <w:pPr>
              <w:spacing w:after="0"/>
              <w:rPr>
                <w:sz w:val="18"/>
                <w:szCs w:val="18"/>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133,221</w:t>
            </w:r>
          </w:p>
        </w:tc>
        <w:tc>
          <w:tcPr>
            <w:tcW w:w="12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133,221</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52,017</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96,245</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148,262</w:t>
            </w: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0"/>
                <w:szCs w:val="20"/>
                <w:color w:val="auto"/>
              </w:rPr>
            </w:pPr>
            <w:r>
              <w:rPr>
                <w:rFonts w:ascii="Arial" w:cs="Arial" w:eastAsia="Arial" w:hAnsi="Arial"/>
                <w:sz w:val="16"/>
                <w:szCs w:val="16"/>
                <w:color w:val="auto"/>
              </w:rPr>
              <w:t>Cost of goods sold</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63,823</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63,823</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23,958</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26,731</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50,689</w:t>
            </w:r>
          </w:p>
        </w:tc>
        <w:tc>
          <w:tcPr>
            <w:tcW w:w="0" w:type="dxa"/>
            <w:vAlign w:val="bottom"/>
          </w:tcPr>
          <w:p>
            <w:pPr>
              <w:spacing w:after="0"/>
              <w:rPr>
                <w:sz w:val="1"/>
                <w:szCs w:val="1"/>
                <w:color w:val="auto"/>
              </w:rPr>
            </w:pPr>
          </w:p>
        </w:tc>
      </w:tr>
      <w:tr>
        <w:trPr>
          <w:trHeight w:val="33"/>
        </w:trPr>
        <w:tc>
          <w:tcPr>
            <w:tcW w:w="294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Gross profit</w:t>
            </w: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69,398</w:t>
            </w:r>
          </w:p>
        </w:tc>
        <w:tc>
          <w:tcPr>
            <w:tcW w:w="12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69,398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28,059</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69,514</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97,573</w:t>
            </w:r>
          </w:p>
        </w:tc>
        <w:tc>
          <w:tcPr>
            <w:tcW w:w="0" w:type="dxa"/>
            <w:vAlign w:val="bottom"/>
          </w:tcPr>
          <w:p>
            <w:pPr>
              <w:spacing w:after="0"/>
              <w:rPr>
                <w:sz w:val="1"/>
                <w:szCs w:val="1"/>
                <w:color w:val="auto"/>
              </w:rPr>
            </w:pPr>
          </w:p>
        </w:tc>
      </w:tr>
      <w:tr>
        <w:trPr>
          <w:trHeight w:val="33"/>
        </w:trPr>
        <w:tc>
          <w:tcPr>
            <w:tcW w:w="2940" w:type="dxa"/>
            <w:vAlign w:val="bottom"/>
            <w:vMerge w:val="restart"/>
          </w:tcPr>
          <w:p>
            <w:pPr>
              <w:spacing w:after="0"/>
              <w:rPr>
                <w:sz w:val="20"/>
                <w:szCs w:val="20"/>
                <w:color w:val="auto"/>
              </w:rPr>
            </w:pPr>
            <w:r>
              <w:rPr>
                <w:rFonts w:ascii="Arial" w:cs="Arial" w:eastAsia="Arial" w:hAnsi="Arial"/>
                <w:sz w:val="16"/>
                <w:szCs w:val="16"/>
                <w:color w:val="auto"/>
              </w:rPr>
              <w:t>Selling, general, and administrative</w:t>
            </w: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37,477</w:t>
            </w:r>
          </w:p>
        </w:tc>
        <w:tc>
          <w:tcPr>
            <w:tcW w:w="120" w:type="dxa"/>
            <w:vAlign w:val="bottom"/>
          </w:tcPr>
          <w:p>
            <w:pPr>
              <w:spacing w:after="0"/>
              <w:rPr>
                <w:sz w:val="18"/>
                <w:szCs w:val="18"/>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37,477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13,549</w:t>
            </w:r>
          </w:p>
        </w:tc>
        <w:tc>
          <w:tcPr>
            <w:tcW w:w="140" w:type="dxa"/>
            <w:vAlign w:val="bottom"/>
          </w:tcPr>
          <w:p>
            <w:pPr>
              <w:spacing w:after="0"/>
              <w:rPr>
                <w:sz w:val="18"/>
                <w:szCs w:val="18"/>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27,942</w:t>
            </w:r>
          </w:p>
        </w:tc>
        <w:tc>
          <w:tcPr>
            <w:tcW w:w="180" w:type="dxa"/>
            <w:vAlign w:val="bottom"/>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41,491</w:t>
            </w: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6,275</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6,275</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3,129</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3,664</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6,793</w:t>
            </w:r>
          </w:p>
        </w:tc>
        <w:tc>
          <w:tcPr>
            <w:tcW w:w="0" w:type="dxa"/>
            <w:vAlign w:val="bottom"/>
          </w:tcPr>
          <w:p>
            <w:pPr>
              <w:spacing w:after="0"/>
              <w:rPr>
                <w:sz w:val="1"/>
                <w:szCs w:val="1"/>
                <w:color w:val="auto"/>
              </w:rPr>
            </w:pPr>
          </w:p>
        </w:tc>
      </w:tr>
      <w:tr>
        <w:trPr>
          <w:trHeight w:val="253"/>
        </w:trPr>
        <w:tc>
          <w:tcPr>
            <w:tcW w:w="294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2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940" w:type="dxa"/>
            <w:vAlign w:val="bottom"/>
          </w:tcPr>
          <w:p>
            <w:pPr>
              <w:spacing w:after="0"/>
              <w:rPr>
                <w:sz w:val="20"/>
                <w:szCs w:val="20"/>
                <w:color w:val="auto"/>
              </w:rPr>
            </w:pPr>
            <w:r>
              <w:rPr>
                <w:rFonts w:ascii="Arial" w:cs="Arial" w:eastAsia="Arial" w:hAnsi="Arial"/>
                <w:sz w:val="16"/>
                <w:szCs w:val="16"/>
                <w:color w:val="auto"/>
              </w:rPr>
              <w:t>expenses</w:t>
            </w:r>
          </w:p>
        </w:tc>
        <w:tc>
          <w:tcPr>
            <w:tcW w:w="280" w:type="dxa"/>
            <w:vAlign w:val="bottom"/>
          </w:tcPr>
          <w:p>
            <w:pPr>
              <w:spacing w:after="0"/>
              <w:rPr>
                <w:sz w:val="17"/>
                <w:szCs w:val="17"/>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1,045</w:t>
            </w:r>
          </w:p>
        </w:tc>
        <w:tc>
          <w:tcPr>
            <w:tcW w:w="120" w:type="dxa"/>
            <w:vAlign w:val="bottom"/>
          </w:tcPr>
          <w:p>
            <w:pPr>
              <w:spacing w:after="0"/>
              <w:rPr>
                <w:sz w:val="17"/>
                <w:szCs w:val="17"/>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1,045</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43</w:t>
            </w:r>
          </w:p>
        </w:tc>
        <w:tc>
          <w:tcPr>
            <w:tcW w:w="140" w:type="dxa"/>
            <w:vAlign w:val="bottom"/>
          </w:tcPr>
          <w:p>
            <w:pPr>
              <w:spacing w:after="0"/>
              <w:rPr>
                <w:sz w:val="17"/>
                <w:szCs w:val="17"/>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178</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178</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2,421</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2,421</w:t>
            </w: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0"/>
                <w:szCs w:val="20"/>
                <w:color w:val="auto"/>
              </w:rPr>
            </w:pPr>
            <w:r>
              <w:rPr>
                <w:rFonts w:ascii="Arial" w:cs="Arial" w:eastAsia="Arial" w:hAnsi="Arial"/>
                <w:sz w:val="16"/>
                <w:szCs w:val="16"/>
                <w:color w:val="auto"/>
                <w:w w:val="97"/>
              </w:rPr>
              <w:t>Litigation, settlements and related charges</w:t>
            </w:r>
          </w:p>
        </w:tc>
        <w:tc>
          <w:tcPr>
            <w:tcW w:w="280" w:type="dxa"/>
            <w:vAlign w:val="bottom"/>
          </w:tcPr>
          <w:p>
            <w:pPr>
              <w:spacing w:after="0"/>
              <w:rPr>
                <w:sz w:val="23"/>
                <w:szCs w:val="23"/>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32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940</w:t>
            </w:r>
          </w:p>
        </w:tc>
        <w:tc>
          <w:tcPr>
            <w:tcW w:w="180" w:type="dxa"/>
            <w:vAlign w:val="bottom"/>
          </w:tcPr>
          <w:p>
            <w:pPr>
              <w:spacing w:after="0"/>
              <w:rPr>
                <w:sz w:val="23"/>
                <w:szCs w:val="23"/>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940</w:t>
            </w:r>
          </w:p>
        </w:tc>
        <w:tc>
          <w:tcPr>
            <w:tcW w:w="0" w:type="dxa"/>
            <w:vAlign w:val="bottom"/>
          </w:tcPr>
          <w:p>
            <w:pPr>
              <w:spacing w:after="0"/>
              <w:rPr>
                <w:sz w:val="1"/>
                <w:szCs w:val="1"/>
                <w:color w:val="auto"/>
              </w:rPr>
            </w:pPr>
          </w:p>
        </w:tc>
      </w:tr>
      <w:tr>
        <w:trPr>
          <w:trHeight w:val="253"/>
        </w:trPr>
        <w:tc>
          <w:tcPr>
            <w:tcW w:w="2940" w:type="dxa"/>
            <w:vAlign w:val="bottom"/>
          </w:tcPr>
          <w:p>
            <w:pPr>
              <w:spacing w:after="0"/>
              <w:rPr>
                <w:sz w:val="20"/>
                <w:szCs w:val="20"/>
                <w:color w:val="auto"/>
              </w:rPr>
            </w:pPr>
            <w:r>
              <w:rPr>
                <w:rFonts w:ascii="Arial" w:cs="Arial" w:eastAsia="Arial" w:hAnsi="Arial"/>
                <w:sz w:val="16"/>
                <w:szCs w:val="16"/>
                <w:color w:val="auto"/>
              </w:rPr>
              <w:t>Acquisition, integration and transaction</w:t>
            </w:r>
          </w:p>
        </w:tc>
        <w:tc>
          <w:tcPr>
            <w:tcW w:w="28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2940" w:type="dxa"/>
            <w:vAlign w:val="bottom"/>
          </w:tcPr>
          <w:p>
            <w:pPr>
              <w:spacing w:after="0"/>
              <w:rPr>
                <w:sz w:val="20"/>
                <w:szCs w:val="20"/>
                <w:color w:val="auto"/>
              </w:rPr>
            </w:pPr>
            <w:r>
              <w:rPr>
                <w:rFonts w:ascii="Arial" w:cs="Arial" w:eastAsia="Arial" w:hAnsi="Arial"/>
                <w:sz w:val="16"/>
                <w:szCs w:val="16"/>
                <w:color w:val="auto"/>
              </w:rPr>
              <w:t>related expenses</w:t>
            </w:r>
          </w:p>
        </w:tc>
        <w:tc>
          <w:tcPr>
            <w:tcW w:w="280" w:type="dxa"/>
            <w:vAlign w:val="bottom"/>
          </w:tcPr>
          <w:p>
            <w:pPr>
              <w:spacing w:after="0"/>
              <w:rPr>
                <w:sz w:val="17"/>
                <w:szCs w:val="17"/>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3,250</w:t>
            </w:r>
          </w:p>
        </w:tc>
        <w:tc>
          <w:tcPr>
            <w:tcW w:w="120" w:type="dxa"/>
            <w:vAlign w:val="bottom"/>
          </w:tcPr>
          <w:p>
            <w:pPr>
              <w:spacing w:after="0"/>
              <w:rPr>
                <w:sz w:val="17"/>
                <w:szCs w:val="17"/>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3,250</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294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Operating income</w:t>
            </w: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40" w:type="dxa"/>
            <w:vAlign w:val="bottom"/>
            <w:vMerge w:val="continue"/>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21,173</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21,173</w:t>
            </w:r>
          </w:p>
        </w:tc>
        <w:tc>
          <w:tcPr>
            <w:tcW w:w="100" w:type="dxa"/>
            <w:vAlign w:val="bottom"/>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8,917</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36,968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45,885</w:t>
            </w:r>
          </w:p>
        </w:tc>
        <w:tc>
          <w:tcPr>
            <w:tcW w:w="0" w:type="dxa"/>
            <w:vAlign w:val="bottom"/>
          </w:tcPr>
          <w:p>
            <w:pPr>
              <w:spacing w:after="0"/>
              <w:rPr>
                <w:sz w:val="1"/>
                <w:szCs w:val="1"/>
                <w:color w:val="auto"/>
              </w:rPr>
            </w:pPr>
          </w:p>
        </w:tc>
      </w:tr>
      <w:tr>
        <w:trPr>
          <w:trHeight w:val="33"/>
        </w:trPr>
        <w:tc>
          <w:tcPr>
            <w:tcW w:w="2940" w:type="dxa"/>
            <w:vAlign w:val="bottom"/>
            <w:vMerge w:val="restart"/>
          </w:tcPr>
          <w:p>
            <w:pPr>
              <w:spacing w:after="0"/>
              <w:rPr>
                <w:sz w:val="20"/>
                <w:szCs w:val="20"/>
                <w:color w:val="auto"/>
              </w:rPr>
            </w:pPr>
            <w:r>
              <w:rPr>
                <w:rFonts w:ascii="Arial" w:cs="Arial" w:eastAsia="Arial" w:hAnsi="Arial"/>
                <w:sz w:val="16"/>
                <w:szCs w:val="16"/>
                <w:color w:val="auto"/>
              </w:rPr>
              <w:t>Gross margin</w:t>
            </w:r>
          </w:p>
        </w:tc>
        <w:tc>
          <w:tcPr>
            <w:tcW w:w="28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940" w:type="dxa"/>
            <w:vAlign w:val="bottom"/>
            <w:vMerge w:val="continue"/>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3"/>
        </w:trPr>
        <w:tc>
          <w:tcPr>
            <w:tcW w:w="294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52.1%</w:t>
            </w:r>
          </w:p>
        </w:tc>
        <w:tc>
          <w:tcPr>
            <w:tcW w:w="120" w:type="dxa"/>
            <w:vAlign w:val="bottom"/>
          </w:tcPr>
          <w:p>
            <w:pPr>
              <w:spacing w:after="0"/>
              <w:rPr>
                <w:sz w:val="24"/>
                <w:szCs w:val="24"/>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52.1%</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53.9%</w:t>
            </w:r>
          </w:p>
        </w:tc>
        <w:tc>
          <w:tcPr>
            <w:tcW w:w="14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72.2%</w:t>
            </w:r>
          </w:p>
        </w:tc>
        <w:tc>
          <w:tcPr>
            <w:tcW w:w="1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65.8%</w:t>
            </w:r>
          </w:p>
        </w:tc>
        <w:tc>
          <w:tcPr>
            <w:tcW w:w="0" w:type="dxa"/>
            <w:vAlign w:val="bottom"/>
          </w:tcPr>
          <w:p>
            <w:pPr>
              <w:spacing w:after="0"/>
              <w:rPr>
                <w:sz w:val="1"/>
                <w:szCs w:val="1"/>
                <w:color w:val="auto"/>
              </w:rPr>
            </w:pPr>
          </w:p>
        </w:tc>
      </w:tr>
      <w:tr>
        <w:trPr>
          <w:trHeight w:val="320"/>
        </w:trPr>
        <w:tc>
          <w:tcPr>
            <w:tcW w:w="2940" w:type="dxa"/>
            <w:vAlign w:val="bottom"/>
          </w:tcPr>
          <w:p>
            <w:pPr>
              <w:spacing w:after="0"/>
              <w:rPr>
                <w:sz w:val="20"/>
                <w:szCs w:val="20"/>
                <w:color w:val="auto"/>
              </w:rPr>
            </w:pPr>
            <w:r>
              <w:rPr>
                <w:rFonts w:ascii="Arial" w:cs="Arial" w:eastAsia="Arial" w:hAnsi="Arial"/>
                <w:sz w:val="16"/>
                <w:szCs w:val="16"/>
                <w:color w:val="auto"/>
              </w:rPr>
              <w:t>Adjusted gross profit (Non-GAAP)</w:t>
            </w:r>
            <w:r>
              <w:rPr>
                <w:rFonts w:ascii="Arial" w:cs="Arial" w:eastAsia="Arial" w:hAnsi="Arial"/>
                <w:sz w:val="21"/>
                <w:szCs w:val="21"/>
                <w:color w:val="auto"/>
                <w:vertAlign w:val="superscript"/>
              </w:rPr>
              <w:t>(4)</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109,769</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109,769</w:t>
            </w:r>
          </w:p>
        </w:tc>
        <w:tc>
          <w:tcPr>
            <w:tcW w:w="100" w:type="dxa"/>
            <w:vAlign w:val="bottom"/>
          </w:tcPr>
          <w:p>
            <w:pPr>
              <w:spacing w:after="0"/>
              <w:rPr>
                <w:sz w:val="24"/>
                <w:szCs w:val="24"/>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40,660</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75,626</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116,286</w:t>
            </w:r>
          </w:p>
        </w:tc>
        <w:tc>
          <w:tcPr>
            <w:tcW w:w="0" w:type="dxa"/>
            <w:vAlign w:val="bottom"/>
          </w:tcPr>
          <w:p>
            <w:pPr>
              <w:spacing w:after="0"/>
              <w:rPr>
                <w:sz w:val="1"/>
                <w:szCs w:val="1"/>
                <w:color w:val="auto"/>
              </w:rPr>
            </w:pPr>
          </w:p>
        </w:tc>
      </w:tr>
      <w:tr>
        <w:trPr>
          <w:trHeight w:val="270"/>
        </w:trPr>
        <w:tc>
          <w:tcPr>
            <w:tcW w:w="2940" w:type="dxa"/>
            <w:vAlign w:val="bottom"/>
          </w:tcPr>
          <w:p>
            <w:pPr>
              <w:spacing w:after="0"/>
              <w:rPr>
                <w:sz w:val="20"/>
                <w:szCs w:val="20"/>
                <w:color w:val="auto"/>
              </w:rPr>
            </w:pPr>
            <w:r>
              <w:rPr>
                <w:rFonts w:ascii="Arial" w:cs="Arial" w:eastAsia="Arial" w:hAnsi="Arial"/>
                <w:sz w:val="16"/>
                <w:szCs w:val="16"/>
                <w:color w:val="auto"/>
              </w:rPr>
              <w:t>Adjusted gross margin (Non-GAAP)</w:t>
            </w:r>
            <w:r>
              <w:rPr>
                <w:rFonts w:ascii="Arial" w:cs="Arial" w:eastAsia="Arial" w:hAnsi="Arial"/>
                <w:sz w:val="21"/>
                <w:szCs w:val="21"/>
                <w:color w:val="auto"/>
                <w:vertAlign w:val="superscript"/>
              </w:rPr>
              <w:t>(5)</w:t>
            </w:r>
          </w:p>
        </w:tc>
        <w:tc>
          <w:tcPr>
            <w:tcW w:w="28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82.4%</w:t>
            </w:r>
          </w:p>
        </w:tc>
        <w:tc>
          <w:tcPr>
            <w:tcW w:w="120" w:type="dxa"/>
            <w:vAlign w:val="bottom"/>
          </w:tcPr>
          <w:p>
            <w:pPr>
              <w:spacing w:after="0"/>
              <w:rPr>
                <w:sz w:val="23"/>
                <w:szCs w:val="23"/>
                <w:color w:val="auto"/>
              </w:rPr>
            </w:pPr>
          </w:p>
        </w:tc>
        <w:tc>
          <w:tcPr>
            <w:tcW w:w="1240" w:type="dxa"/>
            <w:vAlign w:val="bottom"/>
          </w:tcPr>
          <w:p>
            <w:pPr>
              <w:ind w:left="920"/>
              <w:spacing w:after="0"/>
              <w:rPr>
                <w:sz w:val="20"/>
                <w:szCs w:val="20"/>
                <w:color w:val="auto"/>
              </w:rPr>
            </w:pPr>
            <w:r>
              <w:rPr>
                <w:rFonts w:ascii="Arial" w:cs="Arial" w:eastAsia="Arial" w:hAnsi="Arial"/>
                <w:sz w:val="16"/>
                <w:szCs w:val="16"/>
                <w:color w:val="auto"/>
                <w:w w:val="99"/>
              </w:rPr>
              <w:t>—%</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82.4%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78.2%</w:t>
            </w:r>
          </w:p>
        </w:tc>
        <w:tc>
          <w:tcPr>
            <w:tcW w:w="140" w:type="dxa"/>
            <w:vAlign w:val="bottom"/>
          </w:tcPr>
          <w:p>
            <w:pPr>
              <w:spacing w:after="0"/>
              <w:rPr>
                <w:sz w:val="23"/>
                <w:szCs w:val="23"/>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78.6%</w:t>
            </w:r>
          </w:p>
        </w:tc>
        <w:tc>
          <w:tcPr>
            <w:tcW w:w="18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78.4%</w:t>
            </w:r>
          </w:p>
        </w:tc>
        <w:tc>
          <w:tcPr>
            <w:tcW w:w="0" w:type="dxa"/>
            <w:vAlign w:val="bottom"/>
          </w:tcPr>
          <w:p>
            <w:pPr>
              <w:spacing w:after="0"/>
              <w:rPr>
                <w:sz w:val="1"/>
                <w:szCs w:val="1"/>
                <w:color w:val="auto"/>
              </w:rPr>
            </w:pPr>
          </w:p>
        </w:tc>
      </w:tr>
      <w:tr>
        <w:trPr>
          <w:trHeight w:val="220"/>
        </w:trPr>
        <w:tc>
          <w:tcPr>
            <w:tcW w:w="2940" w:type="dxa"/>
            <w:vAlign w:val="bottom"/>
          </w:tcPr>
          <w:p>
            <w:pPr>
              <w:spacing w:after="0"/>
              <w:rPr>
                <w:sz w:val="20"/>
                <w:szCs w:val="20"/>
                <w:color w:val="auto"/>
              </w:rPr>
            </w:pPr>
            <w:r>
              <w:rPr>
                <w:rFonts w:ascii="Arial" w:cs="Arial" w:eastAsia="Arial" w:hAnsi="Arial"/>
                <w:sz w:val="16"/>
                <w:szCs w:val="16"/>
                <w:color w:val="auto"/>
              </w:rPr>
              <w:t>Adjusted operating income (Non-GAAP)</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99"/>
              <w:spacing w:after="0"/>
              <w:rPr>
                <w:sz w:val="20"/>
                <w:szCs w:val="20"/>
                <w:color w:val="auto"/>
              </w:rPr>
            </w:pPr>
            <w:r>
              <w:rPr>
                <w:rFonts w:ascii="Arial" w:cs="Arial" w:eastAsia="Arial" w:hAnsi="Arial"/>
                <w:sz w:val="16"/>
                <w:szCs w:val="16"/>
                <w:color w:val="auto"/>
              </w:rPr>
              <w:t>68,038</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40" w:type="dxa"/>
            <w:vAlign w:val="bottom"/>
          </w:tcPr>
          <w:p>
            <w:pPr>
              <w:ind w:left="920"/>
              <w:spacing w:after="0"/>
              <w:rPr>
                <w:sz w:val="20"/>
                <w:szCs w:val="20"/>
                <w:color w:val="auto"/>
              </w:rPr>
            </w:pPr>
            <w:r>
              <w:rPr>
                <w:rFonts w:ascii="Arial" w:cs="Arial" w:eastAsia="Arial" w:hAnsi="Arial"/>
                <w:sz w:val="16"/>
                <w:szCs w:val="16"/>
                <w:color w:val="auto"/>
              </w:rPr>
              <w:t>—</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68,038</w:t>
            </w:r>
          </w:p>
        </w:tc>
        <w:tc>
          <w:tcPr>
            <w:tcW w:w="100" w:type="dxa"/>
            <w:vAlign w:val="bottom"/>
          </w:tcPr>
          <w:p>
            <w:pPr>
              <w:spacing w:after="0"/>
              <w:rPr>
                <w:sz w:val="19"/>
                <w:szCs w:val="19"/>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79"/>
              <w:spacing w:after="0"/>
              <w:rPr>
                <w:sz w:val="20"/>
                <w:szCs w:val="20"/>
                <w:color w:val="auto"/>
              </w:rPr>
            </w:pPr>
            <w:r>
              <w:rPr>
                <w:rFonts w:ascii="Arial" w:cs="Arial" w:eastAsia="Arial" w:hAnsi="Arial"/>
                <w:sz w:val="16"/>
                <w:szCs w:val="16"/>
                <w:color w:val="auto"/>
              </w:rPr>
              <w:t>23,939</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40" w:type="dxa"/>
            <w:vAlign w:val="bottom"/>
          </w:tcPr>
          <w:p>
            <w:pPr>
              <w:jc w:val="right"/>
              <w:ind w:right="79"/>
              <w:spacing w:after="0"/>
              <w:rPr>
                <w:sz w:val="20"/>
                <w:szCs w:val="20"/>
                <w:color w:val="auto"/>
              </w:rPr>
            </w:pPr>
            <w:r>
              <w:rPr>
                <w:rFonts w:ascii="Arial" w:cs="Arial" w:eastAsia="Arial" w:hAnsi="Arial"/>
                <w:sz w:val="16"/>
                <w:szCs w:val="16"/>
                <w:color w:val="auto"/>
              </w:rPr>
              <w:t>45,144</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79"/>
              <w:spacing w:after="0"/>
              <w:rPr>
                <w:sz w:val="20"/>
                <w:szCs w:val="20"/>
                <w:color w:val="auto"/>
              </w:rPr>
            </w:pPr>
            <w:r>
              <w:rPr>
                <w:rFonts w:ascii="Arial" w:cs="Arial" w:eastAsia="Arial" w:hAnsi="Arial"/>
                <w:sz w:val="16"/>
                <w:szCs w:val="16"/>
                <w:color w:val="auto"/>
              </w:rPr>
              <w:t>69,083</w:t>
            </w:r>
          </w:p>
        </w:tc>
        <w:tc>
          <w:tcPr>
            <w:tcW w:w="0" w:type="dxa"/>
            <w:vAlign w:val="bottom"/>
          </w:tcPr>
          <w:p>
            <w:pPr>
              <w:spacing w:after="0"/>
              <w:rPr>
                <w:sz w:val="1"/>
                <w:szCs w:val="1"/>
                <w:color w:val="auto"/>
              </w:rPr>
            </w:pPr>
          </w:p>
        </w:tc>
      </w:tr>
    </w:tbl>
    <w:p>
      <w:pPr>
        <w:spacing w:after="0" w:line="212" w:lineRule="exact"/>
        <w:rPr>
          <w:sz w:val="20"/>
          <w:szCs w:val="20"/>
          <w:color w:val="auto"/>
        </w:rPr>
      </w:pPr>
    </w:p>
    <w:p>
      <w:pPr>
        <w:ind w:right="100" w:firstLine="8"/>
        <w:spacing w:after="0"/>
        <w:tabs>
          <w:tab w:leader="none" w:pos="167" w:val="left"/>
        </w:tabs>
        <w:numPr>
          <w:ilvl w:val="0"/>
          <w:numId w:val="9"/>
        </w:numPr>
        <w:rPr>
          <w:rFonts w:ascii="Arial" w:cs="Arial" w:eastAsia="Arial" w:hAnsi="Arial"/>
          <w:sz w:val="19"/>
          <w:szCs w:val="19"/>
          <w:color w:val="auto"/>
          <w:vertAlign w:val="superscript"/>
        </w:rPr>
      </w:pPr>
      <w:r>
        <w:rPr>
          <w:rFonts w:ascii="Arial" w:cs="Arial" w:eastAsia="Arial" w:hAnsi="Arial"/>
          <w:sz w:val="15"/>
          <w:szCs w:val="15"/>
          <w:color w:val="auto"/>
        </w:rPr>
        <w:t>Adjusted gross profit is calculated as combined net revenue less adjusted cost of goods sold. See Non-GAAP reconciliations below for calculation of adjusted cost of goods sold.</w:t>
      </w:r>
    </w:p>
    <w:p>
      <w:pPr>
        <w:spacing w:after="0" w:line="1" w:lineRule="exact"/>
        <w:rPr>
          <w:rFonts w:ascii="Arial" w:cs="Arial" w:eastAsia="Arial" w:hAnsi="Arial"/>
          <w:sz w:val="19"/>
          <w:szCs w:val="19"/>
          <w:color w:val="auto"/>
          <w:vertAlign w:val="superscript"/>
        </w:rPr>
      </w:pPr>
    </w:p>
    <w:p>
      <w:pPr>
        <w:ind w:left="180" w:hanging="172"/>
        <w:spacing w:after="0" w:line="191" w:lineRule="auto"/>
        <w:tabs>
          <w:tab w:leader="none" w:pos="180" w:val="left"/>
        </w:tabs>
        <w:numPr>
          <w:ilvl w:val="0"/>
          <w:numId w:val="9"/>
        </w:numPr>
        <w:rPr>
          <w:rFonts w:ascii="Arial" w:cs="Arial" w:eastAsia="Arial" w:hAnsi="Arial"/>
          <w:sz w:val="21"/>
          <w:szCs w:val="21"/>
          <w:color w:val="auto"/>
          <w:vertAlign w:val="superscript"/>
        </w:rPr>
      </w:pPr>
      <w:r>
        <w:rPr>
          <w:rFonts w:ascii="Arial" w:cs="Arial" w:eastAsia="Arial" w:hAnsi="Arial"/>
          <w:sz w:val="15"/>
          <w:szCs w:val="15"/>
          <w:color w:val="auto"/>
        </w:rPr>
        <w:t>Adjusted gross margin is calculated as adjusted gross profit divided by combined net revenue.</w:t>
      </w:r>
    </w:p>
    <w:p>
      <w:pPr>
        <w:spacing w:after="0" w:line="19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Specialty segment is comprised of the Impax Specialty business acquired on May 4, 2018 and the Gemini Laboratories, LLC business acquired on May 7, 2018. Prior to these two transactions, Amneal did not have a Specialty segment.</w:t>
      </w:r>
    </w:p>
    <w:p>
      <w:pPr>
        <w:spacing w:after="0" w:line="170" w:lineRule="exact"/>
        <w:rPr>
          <w:sz w:val="20"/>
          <w:szCs w:val="20"/>
          <w:color w:val="auto"/>
        </w:rPr>
      </w:pPr>
    </w:p>
    <w:p>
      <w:pPr>
        <w:jc w:val="both"/>
        <w:spacing w:after="0" w:line="232" w:lineRule="auto"/>
        <w:rPr>
          <w:sz w:val="20"/>
          <w:szCs w:val="20"/>
          <w:color w:val="auto"/>
        </w:rPr>
      </w:pPr>
      <w:r>
        <w:rPr>
          <w:rFonts w:ascii="Arial" w:cs="Arial" w:eastAsia="Arial" w:hAnsi="Arial"/>
          <w:sz w:val="18"/>
          <w:szCs w:val="18"/>
          <w:color w:val="auto"/>
        </w:rPr>
        <w:t>Specialty net revenue in the second quarter of 2019 increased to $70 million compared to $52 million for the second quarter of 2018, primarily due to the timing of the combination with Impax and the Gemini acquisition. Specialty combined net revenue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in the second quarter of 2019 was $70 million, a decrease of 12.5% compared to the prior year period, driven primarily by lower revenue from Albenza® as a result of the loss of exclusivity in September of 2018, partially offset by higher revenue from Rytary® and Unithroid®.</w:t>
      </w:r>
    </w:p>
    <w:p>
      <w:pPr>
        <w:spacing w:after="0" w:line="202" w:lineRule="exact"/>
        <w:rPr>
          <w:sz w:val="20"/>
          <w:szCs w:val="20"/>
          <w:color w:val="auto"/>
        </w:rPr>
      </w:pPr>
    </w:p>
    <w:p>
      <w:pPr>
        <w:jc w:val="both"/>
        <w:ind w:right="20"/>
        <w:spacing w:after="0" w:line="303" w:lineRule="auto"/>
        <w:rPr>
          <w:sz w:val="20"/>
          <w:szCs w:val="20"/>
          <w:color w:val="auto"/>
        </w:rPr>
      </w:pPr>
      <w:r>
        <w:rPr>
          <w:rFonts w:ascii="Arial" w:cs="Arial" w:eastAsia="Arial" w:hAnsi="Arial"/>
          <w:sz w:val="17"/>
          <w:szCs w:val="17"/>
          <w:color w:val="auto"/>
        </w:rPr>
        <w:t>Specialty gross margin for the second quarter of 2019 was 52.6% compared to 53.9% for the second quarter of 2018. Specialty combined adjusted gross margin</w:t>
      </w:r>
      <w:r>
        <w:rPr>
          <w:rFonts w:ascii="Arial" w:cs="Arial" w:eastAsia="Arial" w:hAnsi="Arial"/>
          <w:sz w:val="24"/>
          <w:szCs w:val="24"/>
          <w:color w:val="auto"/>
          <w:vertAlign w:val="superscript"/>
        </w:rPr>
        <w:t>(5)</w:t>
      </w:r>
      <w:r>
        <w:rPr>
          <w:rFonts w:ascii="Arial" w:cs="Arial" w:eastAsia="Arial" w:hAnsi="Arial"/>
          <w:sz w:val="17"/>
          <w:szCs w:val="17"/>
          <w:color w:val="auto"/>
        </w:rPr>
        <w:t xml:space="preserve"> was 81.6% for the second quarter of 2019 compared to 79.2% in the prior year period, primarily due to product sales mix.</w:t>
      </w:r>
    </w:p>
    <w:p>
      <w:pPr>
        <w:spacing w:after="0" w:line="53" w:lineRule="exact"/>
        <w:rPr>
          <w:sz w:val="20"/>
          <w:szCs w:val="20"/>
          <w:color w:val="auto"/>
        </w:rPr>
      </w:pPr>
    </w:p>
    <w:p>
      <w:pPr>
        <w:jc w:val="both"/>
        <w:spacing w:after="0" w:line="226" w:lineRule="auto"/>
        <w:rPr>
          <w:sz w:val="20"/>
          <w:szCs w:val="20"/>
          <w:color w:val="auto"/>
        </w:rPr>
      </w:pPr>
      <w:r>
        <w:rPr>
          <w:rFonts w:ascii="Arial" w:cs="Arial" w:eastAsia="Arial" w:hAnsi="Arial"/>
          <w:sz w:val="18"/>
          <w:szCs w:val="18"/>
          <w:color w:val="auto"/>
        </w:rPr>
        <w:t>Specialty operating income for the second quarter of 2019 was $17 million compared to $9 million for the second quarter of 2018, primarily due to higher revenue. Specialty combined adjusted operating income</w:t>
      </w:r>
      <w:r>
        <w:rPr>
          <w:rFonts w:ascii="Arial" w:cs="Arial" w:eastAsia="Arial" w:hAnsi="Arial"/>
          <w:sz w:val="25"/>
          <w:szCs w:val="25"/>
          <w:color w:val="auto"/>
          <w:vertAlign w:val="superscript"/>
        </w:rPr>
        <w:t>(1)</w:t>
      </w:r>
      <w:r>
        <w:rPr>
          <w:rFonts w:ascii="Arial" w:cs="Arial" w:eastAsia="Arial" w:hAnsi="Arial"/>
          <w:sz w:val="18"/>
          <w:szCs w:val="18"/>
          <w:color w:val="auto"/>
        </w:rPr>
        <w:t xml:space="preserve"> for the second quarter of 2019 was $39 million, an increase of $1 million compared to the prior year period, primarily due to lower expenses and favorable product sales mix.</w:t>
      </w:r>
    </w:p>
    <w:p>
      <w:pPr>
        <w:spacing w:after="0" w:line="208" w:lineRule="exact"/>
        <w:rPr>
          <w:sz w:val="20"/>
          <w:szCs w:val="20"/>
          <w:color w:val="auto"/>
        </w:rPr>
      </w:pPr>
    </w:p>
    <w:p>
      <w:pPr>
        <w:ind w:left="160" w:hanging="152"/>
        <w:spacing w:after="0"/>
        <w:tabs>
          <w:tab w:leader="none" w:pos="160" w:val="left"/>
        </w:tabs>
        <w:numPr>
          <w:ilvl w:val="0"/>
          <w:numId w:val="10"/>
        </w:numPr>
        <w:rPr>
          <w:rFonts w:ascii="Arial" w:cs="Arial" w:eastAsia="Arial" w:hAnsi="Arial"/>
          <w:sz w:val="18"/>
          <w:szCs w:val="18"/>
          <w:color w:val="auto"/>
          <w:vertAlign w:val="superscript"/>
        </w:rPr>
      </w:pPr>
      <w:r>
        <w:rPr>
          <w:rFonts w:ascii="Arial" w:cs="Arial" w:eastAsia="Arial" w:hAnsi="Arial"/>
          <w:sz w:val="14"/>
          <w:szCs w:val="14"/>
          <w:color w:val="auto"/>
        </w:rPr>
        <w:t>See “Non-GAAP Financial Measures” below.</w:t>
      </w: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Page 5 of 23</w:t>
      </w:r>
    </w:p>
    <w:p>
      <w:pPr>
        <w:sectPr>
          <w:pgSz w:w="11900" w:h="16838" w:orient="portrait"/>
          <w:cols w:equalWidth="0" w:num="1">
            <w:col w:w="11420"/>
          </w:cols>
          <w:pgMar w:left="240" w:top="553" w:right="2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color w:val="auto"/>
        </w:rPr>
        <w:t>Corporate and Other Information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(Unaudited; In thousands)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tbl>
      <w:tblPr>
        <w:tblLayout w:type="fixed"/>
        <w:tblInd w:w="120" w:type="dxa"/>
        <w:tblCellMar>
          <w:top w:w="0" w:type="dxa"/>
          <w:left w:w="0" w:type="dxa"/>
          <w:bottom w:w="0" w:type="dxa"/>
          <w:right w:w="0" w:type="dxa"/>
        </w:tblCellMar>
      </w:tblPr>
      <w:tr>
        <w:trPr>
          <w:trHeight w:val="210"/>
        </w:trPr>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90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280" w:type="dxa"/>
            <w:vAlign w:val="bottom"/>
          </w:tcPr>
          <w:p>
            <w:pPr>
              <w:spacing w:after="0"/>
              <w:rPr>
                <w:sz w:val="18"/>
                <w:szCs w:val="18"/>
                <w:color w:val="auto"/>
              </w:rPr>
            </w:pPr>
          </w:p>
        </w:tc>
        <w:tc>
          <w:tcPr>
            <w:tcW w:w="374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28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6"/>
              </w:rPr>
              <w:t>(Non-GAAP)</w:t>
            </w: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6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280" w:type="dxa"/>
            <w:vAlign w:val="bottom"/>
            <w:gridSpan w:val="2"/>
          </w:tcPr>
          <w:p>
            <w:pPr>
              <w:jc w:val="center"/>
              <w:ind w:right="240"/>
              <w:spacing w:after="0"/>
              <w:rPr>
                <w:sz w:val="20"/>
                <w:szCs w:val="20"/>
                <w:color w:val="auto"/>
              </w:rPr>
            </w:pPr>
            <w:r>
              <w:rPr>
                <w:rFonts w:ascii="Arial" w:cs="Arial" w:eastAsia="Arial" w:hAnsi="Arial"/>
                <w:sz w:val="16"/>
                <w:szCs w:val="16"/>
                <w:b w:val="1"/>
                <w:bCs w:val="1"/>
                <w:color w:val="auto"/>
                <w:w w:val="91"/>
              </w:rPr>
              <w:t>Combined</w:t>
            </w:r>
          </w:p>
        </w:tc>
        <w:tc>
          <w:tcPr>
            <w:tcW w:w="280" w:type="dxa"/>
            <w:vAlign w:val="bottom"/>
          </w:tcPr>
          <w:p>
            <w:pPr>
              <w:spacing w:after="0"/>
              <w:rPr>
                <w:sz w:val="23"/>
                <w:szCs w:val="23"/>
                <w:color w:val="auto"/>
              </w:rPr>
            </w:pPr>
          </w:p>
        </w:tc>
        <w:tc>
          <w:tcPr>
            <w:tcW w:w="102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16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180" w:type="dxa"/>
            <w:vAlign w:val="bottom"/>
          </w:tcPr>
          <w:p>
            <w:pPr>
              <w:jc w:val="right"/>
              <w:ind w:right="21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tcPr>
          <w:p>
            <w:pPr>
              <w:spacing w:after="0"/>
              <w:rPr>
                <w:sz w:val="20"/>
                <w:szCs w:val="20"/>
                <w:color w:val="auto"/>
              </w:rPr>
            </w:pPr>
            <w:r>
              <w:rPr>
                <w:rFonts w:ascii="Arial" w:cs="Arial" w:eastAsia="Arial" w:hAnsi="Arial"/>
                <w:sz w:val="16"/>
                <w:szCs w:val="16"/>
                <w:color w:val="auto"/>
              </w:rPr>
              <w:t>General and administrative expense</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36,752</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36,752</w:t>
            </w:r>
          </w:p>
        </w:tc>
        <w:tc>
          <w:tcPr>
            <w:tcW w:w="100" w:type="dxa"/>
            <w:vAlign w:val="bottom"/>
          </w:tcPr>
          <w:p>
            <w:pPr>
              <w:spacing w:after="0"/>
              <w:rPr>
                <w:sz w:val="18"/>
                <w:szCs w:val="18"/>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22,833</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8,000</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30,833</w:t>
            </w:r>
          </w:p>
        </w:tc>
        <w:tc>
          <w:tcPr>
            <w:tcW w:w="0" w:type="dxa"/>
            <w:vAlign w:val="bottom"/>
          </w:tcPr>
          <w:p>
            <w:pPr>
              <w:spacing w:after="0"/>
              <w:rPr>
                <w:sz w:val="1"/>
                <w:szCs w:val="1"/>
                <w:color w:val="auto"/>
              </w:rPr>
            </w:pPr>
          </w:p>
        </w:tc>
      </w:tr>
      <w:tr>
        <w:trPr>
          <w:trHeight w:val="253"/>
        </w:trPr>
        <w:tc>
          <w:tcPr>
            <w:tcW w:w="3000" w:type="dxa"/>
            <w:vAlign w:val="bottom"/>
          </w:tcPr>
          <w:p>
            <w:pPr>
              <w:spacing w:after="0"/>
              <w:rPr>
                <w:sz w:val="20"/>
                <w:szCs w:val="20"/>
                <w:color w:val="auto"/>
              </w:rPr>
            </w:pPr>
            <w:r>
              <w:rPr>
                <w:rFonts w:ascii="Arial" w:cs="Arial" w:eastAsia="Arial" w:hAnsi="Arial"/>
                <w:sz w:val="16"/>
                <w:szCs w:val="16"/>
                <w:color w:val="auto"/>
              </w:rPr>
              <w:t>Acquisition, transaction-related and</w:t>
            </w: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00" w:type="dxa"/>
            <w:vAlign w:val="bottom"/>
          </w:tcPr>
          <w:p>
            <w:pPr>
              <w:spacing w:after="0"/>
              <w:rPr>
                <w:sz w:val="20"/>
                <w:szCs w:val="20"/>
                <w:color w:val="auto"/>
              </w:rPr>
            </w:pPr>
            <w:r>
              <w:rPr>
                <w:rFonts w:ascii="Arial" w:cs="Arial" w:eastAsia="Arial" w:hAnsi="Arial"/>
                <w:sz w:val="16"/>
                <w:szCs w:val="16"/>
                <w:color w:val="auto"/>
              </w:rPr>
              <w:t>integration expenses</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1,166</w:t>
            </w:r>
          </w:p>
        </w:tc>
        <w:tc>
          <w:tcPr>
            <w:tcW w:w="18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1,166</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92,885</w:t>
            </w:r>
          </w:p>
        </w:tc>
        <w:tc>
          <w:tcPr>
            <w:tcW w:w="180" w:type="dxa"/>
            <w:vAlign w:val="bottom"/>
          </w:tcPr>
          <w:p>
            <w:pPr>
              <w:spacing w:after="0"/>
              <w:rPr>
                <w:sz w:val="17"/>
                <w:szCs w:val="17"/>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4,381</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97,266</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2,417</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2,417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17,247</w:t>
            </w:r>
          </w:p>
        </w:tc>
        <w:tc>
          <w:tcPr>
            <w:tcW w:w="180" w:type="dxa"/>
            <w:vAlign w:val="bottom"/>
          </w:tcPr>
          <w:p>
            <w:pPr>
              <w:spacing w:after="0"/>
              <w:rPr>
                <w:sz w:val="23"/>
                <w:szCs w:val="23"/>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223</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17,470</w:t>
            </w:r>
          </w:p>
        </w:tc>
        <w:tc>
          <w:tcPr>
            <w:tcW w:w="0" w:type="dxa"/>
            <w:vAlign w:val="bottom"/>
          </w:tcPr>
          <w:p>
            <w:pPr>
              <w:spacing w:after="0"/>
              <w:rPr>
                <w:sz w:val="1"/>
                <w:szCs w:val="1"/>
                <w:color w:val="auto"/>
              </w:rPr>
            </w:pPr>
          </w:p>
        </w:tc>
      </w:tr>
      <w:tr>
        <w:trPr>
          <w:trHeight w:val="33"/>
        </w:trPr>
        <w:tc>
          <w:tcPr>
            <w:tcW w:w="3000" w:type="dxa"/>
            <w:vAlign w:val="bottom"/>
            <w:vMerge w:val="restart"/>
          </w:tcPr>
          <w:p>
            <w:pPr>
              <w:spacing w:after="0"/>
              <w:rPr>
                <w:sz w:val="20"/>
                <w:szCs w:val="20"/>
                <w:color w:val="auto"/>
              </w:rPr>
            </w:pPr>
            <w:r>
              <w:rPr>
                <w:rFonts w:ascii="Arial" w:cs="Arial" w:eastAsia="Arial" w:hAnsi="Arial"/>
                <w:sz w:val="16"/>
                <w:szCs w:val="16"/>
                <w:color w:val="auto"/>
              </w:rPr>
              <w:t>Total general, administrative and other</w:t>
            </w: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3000" w:type="dxa"/>
            <w:vAlign w:val="bottom"/>
            <w:vMerge w:val="continue"/>
          </w:tcPr>
          <w:p>
            <w:pPr>
              <w:spacing w:after="0"/>
              <w:rPr>
                <w:sz w:val="17"/>
                <w:szCs w:val="17"/>
                <w:color w:val="auto"/>
              </w:rPr>
            </w:pPr>
          </w:p>
        </w:tc>
        <w:tc>
          <w:tcPr>
            <w:tcW w:w="300" w:type="dxa"/>
            <w:vAlign w:val="bottom"/>
            <w:vMerge w:val="restart"/>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vMerge w:val="restart"/>
          </w:tcPr>
          <w:p>
            <w:pPr>
              <w:jc w:val="right"/>
              <w:spacing w:after="0"/>
              <w:rPr>
                <w:sz w:val="20"/>
                <w:szCs w:val="20"/>
                <w:color w:val="auto"/>
              </w:rPr>
            </w:pPr>
            <w:r>
              <w:rPr>
                <w:rFonts w:ascii="Arial" w:cs="Arial" w:eastAsia="Arial" w:hAnsi="Arial"/>
                <w:sz w:val="16"/>
                <w:szCs w:val="16"/>
                <w:color w:val="auto"/>
              </w:rPr>
              <w:t>40,335</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200" w:type="dxa"/>
            <w:vAlign w:val="bottom"/>
            <w:vMerge w:val="restart"/>
          </w:tcPr>
          <w:p>
            <w:pPr>
              <w:ind w:left="960"/>
              <w:spacing w:after="0"/>
              <w:rPr>
                <w:sz w:val="20"/>
                <w:szCs w:val="20"/>
                <w:color w:val="auto"/>
              </w:rPr>
            </w:pPr>
            <w:r>
              <w:rPr>
                <w:rFonts w:ascii="Arial" w:cs="Arial" w:eastAsia="Arial" w:hAnsi="Arial"/>
                <w:sz w:val="16"/>
                <w:szCs w:val="16"/>
                <w:color w:val="auto"/>
              </w:rPr>
              <w:t>—</w:t>
            </w:r>
          </w:p>
        </w:tc>
        <w:tc>
          <w:tcPr>
            <w:tcW w:w="2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180" w:type="dxa"/>
            <w:vAlign w:val="bottom"/>
            <w:vMerge w:val="restart"/>
          </w:tcPr>
          <w:p>
            <w:pPr>
              <w:jc w:val="right"/>
              <w:ind w:right="19"/>
              <w:spacing w:after="0"/>
              <w:rPr>
                <w:sz w:val="20"/>
                <w:szCs w:val="20"/>
                <w:color w:val="auto"/>
              </w:rPr>
            </w:pPr>
            <w:r>
              <w:rPr>
                <w:rFonts w:ascii="Arial" w:cs="Arial" w:eastAsia="Arial" w:hAnsi="Arial"/>
                <w:sz w:val="16"/>
                <w:szCs w:val="16"/>
                <w:color w:val="auto"/>
              </w:rPr>
              <w:t>40,335</w:t>
            </w:r>
          </w:p>
        </w:tc>
        <w:tc>
          <w:tcPr>
            <w:tcW w:w="100" w:type="dxa"/>
            <w:vAlign w:val="bottom"/>
          </w:tcPr>
          <w:p>
            <w:pPr>
              <w:spacing w:after="0"/>
              <w:rPr>
                <w:sz w:val="17"/>
                <w:szCs w:val="17"/>
                <w:color w:val="auto"/>
              </w:rPr>
            </w:pPr>
          </w:p>
        </w:tc>
        <w:tc>
          <w:tcPr>
            <w:tcW w:w="280" w:type="dxa"/>
            <w:vAlign w:val="bottom"/>
            <w:vMerge w:val="restart"/>
          </w:tcPr>
          <w:p>
            <w:pPr>
              <w:jc w:val="right"/>
              <w:ind w:right="79"/>
              <w:spacing w:after="0"/>
              <w:rPr>
                <w:sz w:val="20"/>
                <w:szCs w:val="20"/>
                <w:color w:val="auto"/>
              </w:rPr>
            </w:pPr>
            <w:r>
              <w:rPr>
                <w:rFonts w:ascii="Arial" w:cs="Arial" w:eastAsia="Arial" w:hAnsi="Arial"/>
                <w:sz w:val="16"/>
                <w:szCs w:val="16"/>
                <w:color w:val="auto"/>
              </w:rPr>
              <w:t>$</w:t>
            </w:r>
          </w:p>
        </w:tc>
        <w:tc>
          <w:tcPr>
            <w:tcW w:w="1020" w:type="dxa"/>
            <w:vAlign w:val="bottom"/>
            <w:vMerge w:val="restart"/>
          </w:tcPr>
          <w:p>
            <w:pPr>
              <w:jc w:val="right"/>
              <w:spacing w:after="0"/>
              <w:rPr>
                <w:sz w:val="20"/>
                <w:szCs w:val="20"/>
                <w:color w:val="auto"/>
              </w:rPr>
            </w:pPr>
            <w:r>
              <w:rPr>
                <w:rFonts w:ascii="Arial" w:cs="Arial" w:eastAsia="Arial" w:hAnsi="Arial"/>
                <w:sz w:val="16"/>
                <w:szCs w:val="16"/>
                <w:color w:val="auto"/>
              </w:rPr>
              <w:t>132,965</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160" w:type="dxa"/>
            <w:vAlign w:val="bottom"/>
            <w:vMerge w:val="restart"/>
          </w:tcPr>
          <w:p>
            <w:pPr>
              <w:jc w:val="right"/>
              <w:spacing w:after="0"/>
              <w:rPr>
                <w:sz w:val="20"/>
                <w:szCs w:val="20"/>
                <w:color w:val="auto"/>
              </w:rPr>
            </w:pPr>
            <w:r>
              <w:rPr>
                <w:rFonts w:ascii="Arial" w:cs="Arial" w:eastAsia="Arial" w:hAnsi="Arial"/>
                <w:sz w:val="16"/>
                <w:szCs w:val="16"/>
                <w:color w:val="auto"/>
              </w:rPr>
              <w:t>12,604</w:t>
            </w:r>
          </w:p>
        </w:tc>
        <w:tc>
          <w:tcPr>
            <w:tcW w:w="2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180" w:type="dxa"/>
            <w:vAlign w:val="bottom"/>
            <w:vMerge w:val="restart"/>
          </w:tcPr>
          <w:p>
            <w:pPr>
              <w:jc w:val="right"/>
              <w:ind w:right="19"/>
              <w:spacing w:after="0"/>
              <w:rPr>
                <w:sz w:val="20"/>
                <w:szCs w:val="20"/>
                <w:color w:val="auto"/>
              </w:rPr>
            </w:pPr>
            <w:r>
              <w:rPr>
                <w:rFonts w:ascii="Arial" w:cs="Arial" w:eastAsia="Arial" w:hAnsi="Arial"/>
                <w:sz w:val="16"/>
                <w:szCs w:val="16"/>
                <w:color w:val="auto"/>
              </w:rPr>
              <w:t>145,569</w:t>
            </w:r>
          </w:p>
        </w:tc>
        <w:tc>
          <w:tcPr>
            <w:tcW w:w="0" w:type="dxa"/>
            <w:vAlign w:val="bottom"/>
          </w:tcPr>
          <w:p>
            <w:pPr>
              <w:spacing w:after="0"/>
              <w:rPr>
                <w:sz w:val="1"/>
                <w:szCs w:val="1"/>
                <w:color w:val="auto"/>
              </w:rPr>
            </w:pPr>
          </w:p>
        </w:tc>
      </w:tr>
      <w:tr>
        <w:trPr>
          <w:trHeight w:val="224"/>
        </w:trPr>
        <w:tc>
          <w:tcPr>
            <w:tcW w:w="3000" w:type="dxa"/>
            <w:vAlign w:val="bottom"/>
          </w:tcPr>
          <w:p>
            <w:pPr>
              <w:spacing w:after="0"/>
              <w:rPr>
                <w:sz w:val="20"/>
                <w:szCs w:val="20"/>
                <w:color w:val="auto"/>
              </w:rPr>
            </w:pPr>
            <w:r>
              <w:rPr>
                <w:rFonts w:ascii="Arial" w:cs="Arial" w:eastAsia="Arial" w:hAnsi="Arial"/>
                <w:sz w:val="16"/>
                <w:szCs w:val="16"/>
                <w:color w:val="auto"/>
              </w:rPr>
              <w:t>operating expenses</w:t>
            </w:r>
          </w:p>
        </w:tc>
        <w:tc>
          <w:tcPr>
            <w:tcW w:w="300" w:type="dxa"/>
            <w:vAlign w:val="bottom"/>
            <w:tcBorders>
              <w:bottom w:val="single" w:sz="8" w:color="auto"/>
            </w:tcBorders>
            <w:vMerge w:val="continue"/>
          </w:tcPr>
          <w:p>
            <w:pPr>
              <w:spacing w:after="0"/>
              <w:rPr>
                <w:sz w:val="19"/>
                <w:szCs w:val="19"/>
                <w:color w:val="auto"/>
              </w:rPr>
            </w:pPr>
          </w:p>
        </w:tc>
        <w:tc>
          <w:tcPr>
            <w:tcW w:w="1040" w:type="dxa"/>
            <w:vAlign w:val="bottom"/>
            <w:tcBorders>
              <w:bottom w:val="single" w:sz="8" w:color="auto"/>
            </w:tcBorders>
            <w:vMerge w:val="continue"/>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1200" w:type="dxa"/>
            <w:vAlign w:val="bottom"/>
            <w:tcBorders>
              <w:bottom w:val="single" w:sz="8" w:color="auto"/>
            </w:tcBorders>
            <w:vMerge w:val="continue"/>
          </w:tcPr>
          <w:p>
            <w:pPr>
              <w:spacing w:after="0"/>
              <w:rPr>
                <w:sz w:val="19"/>
                <w:szCs w:val="19"/>
                <w:color w:val="auto"/>
              </w:rPr>
            </w:pPr>
          </w:p>
        </w:tc>
        <w:tc>
          <w:tcPr>
            <w:tcW w:w="200" w:type="dxa"/>
            <w:vAlign w:val="bottom"/>
            <w:tcBorders>
              <w:bottom w:val="single" w:sz="8" w:color="auto"/>
            </w:tcBorders>
            <w:vMerge w:val="continue"/>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Borders>
              <w:bottom w:val="single" w:sz="8" w:color="auto"/>
            </w:tcBorders>
            <w:vMerge w:val="continue"/>
          </w:tcPr>
          <w:p>
            <w:pPr>
              <w:spacing w:after="0"/>
              <w:rPr>
                <w:sz w:val="19"/>
                <w:szCs w:val="19"/>
                <w:color w:val="auto"/>
              </w:rPr>
            </w:pPr>
          </w:p>
        </w:tc>
        <w:tc>
          <w:tcPr>
            <w:tcW w:w="1020" w:type="dxa"/>
            <w:vAlign w:val="bottom"/>
            <w:tcBorders>
              <w:bottom w:val="single" w:sz="8" w:color="auto"/>
            </w:tcBorders>
            <w:vMerge w:val="continue"/>
          </w:tcPr>
          <w:p>
            <w:pPr>
              <w:spacing w:after="0"/>
              <w:rPr>
                <w:sz w:val="19"/>
                <w:szCs w:val="19"/>
                <w:color w:val="auto"/>
              </w:rPr>
            </w:pPr>
          </w:p>
        </w:tc>
        <w:tc>
          <w:tcPr>
            <w:tcW w:w="180" w:type="dxa"/>
            <w:vAlign w:val="bottom"/>
            <w:tcBorders>
              <w:bottom w:val="single" w:sz="8" w:color="auto"/>
            </w:tcBorders>
            <w:vMerge w:val="continue"/>
          </w:tcPr>
          <w:p>
            <w:pPr>
              <w:spacing w:after="0"/>
              <w:rPr>
                <w:sz w:val="19"/>
                <w:szCs w:val="19"/>
                <w:color w:val="auto"/>
              </w:rPr>
            </w:pPr>
          </w:p>
        </w:tc>
        <w:tc>
          <w:tcPr>
            <w:tcW w:w="1160" w:type="dxa"/>
            <w:vAlign w:val="bottom"/>
            <w:tcBorders>
              <w:bottom w:val="single" w:sz="8" w:color="auto"/>
            </w:tcBorders>
            <w:vMerge w:val="continue"/>
          </w:tcPr>
          <w:p>
            <w:pPr>
              <w:spacing w:after="0"/>
              <w:rPr>
                <w:sz w:val="19"/>
                <w:szCs w:val="19"/>
                <w:color w:val="auto"/>
              </w:rPr>
            </w:pPr>
          </w:p>
        </w:tc>
        <w:tc>
          <w:tcPr>
            <w:tcW w:w="200" w:type="dxa"/>
            <w:vAlign w:val="bottom"/>
            <w:tcBorders>
              <w:bottom w:val="single" w:sz="8" w:color="auto"/>
            </w:tcBorders>
            <w:vMerge w:val="continue"/>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53"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080"/>
        <w:spacing w:after="0"/>
        <w:rPr>
          <w:sz w:val="20"/>
          <w:szCs w:val="20"/>
          <w:color w:val="auto"/>
        </w:rPr>
      </w:pPr>
      <w:r>
        <w:rPr>
          <w:rFonts w:ascii="Arial" w:cs="Arial" w:eastAsia="Arial" w:hAnsi="Arial"/>
          <w:sz w:val="16"/>
          <w:szCs w:val="16"/>
          <w:b w:val="1"/>
          <w:bCs w:val="1"/>
          <w:color w:val="auto"/>
        </w:rPr>
        <w:t>Six months ended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1986280</wp:posOffset>
            </wp:positionH>
            <wp:positionV relativeFrom="paragraph">
              <wp:posOffset>37465</wp:posOffset>
            </wp:positionV>
            <wp:extent cx="25984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66" w:lineRule="exact"/>
        <w:rPr>
          <w:sz w:val="20"/>
          <w:szCs w:val="20"/>
          <w:color w:val="auto"/>
        </w:rPr>
      </w:pPr>
    </w:p>
    <w:p>
      <w:pPr>
        <w:jc w:val="right"/>
        <w:ind w:right="40"/>
        <w:spacing w:after="0"/>
        <w:rPr>
          <w:sz w:val="20"/>
          <w:szCs w:val="20"/>
          <w:color w:val="auto"/>
        </w:rPr>
      </w:pPr>
      <w:r>
        <w:rPr>
          <w:rFonts w:ascii="Arial" w:cs="Arial" w:eastAsia="Arial" w:hAnsi="Arial"/>
          <w:sz w:val="16"/>
          <w:szCs w:val="16"/>
          <w:b w:val="1"/>
          <w:bCs w:val="1"/>
          <w:color w:val="auto"/>
        </w:rPr>
        <w:t>(Non-GAAP)</w:t>
      </w:r>
    </w:p>
    <w:p>
      <w:pPr>
        <w:spacing w:after="0" w:line="26" w:lineRule="exact"/>
        <w:rPr>
          <w:sz w:val="20"/>
          <w:szCs w:val="20"/>
          <w:color w:val="auto"/>
        </w:rPr>
      </w:pPr>
    </w:p>
    <w:p>
      <w:pPr>
        <w:jc w:val="center"/>
        <w:ind w:left="3340"/>
        <w:spacing w:after="0"/>
        <w:rPr>
          <w:sz w:val="20"/>
          <w:szCs w:val="20"/>
          <w:color w:val="auto"/>
        </w:rPr>
      </w:pPr>
      <w:r>
        <w:rPr>
          <w:rFonts w:ascii="Arial" w:cs="Arial" w:eastAsia="Arial" w:hAnsi="Arial"/>
          <w:sz w:val="16"/>
          <w:szCs w:val="16"/>
          <w:b w:val="1"/>
          <w:bCs w:val="1"/>
          <w:color w:val="auto"/>
        </w:rPr>
        <w:t>Add:</w:t>
      </w:r>
    </w:p>
    <w:p>
      <w:pPr>
        <w:spacing w:after="0" w:line="78" w:lineRule="exact"/>
        <w:rPr>
          <w:sz w:val="20"/>
          <w:szCs w:val="20"/>
          <w:color w:val="auto"/>
        </w:rPr>
      </w:pPr>
    </w:p>
    <w:p>
      <w:pPr>
        <w:ind w:left="3580"/>
        <w:spacing w:after="0"/>
        <w:tabs>
          <w:tab w:leader="none" w:pos="4640" w:val="left"/>
          <w:tab w:leader="none" w:pos="6180" w:val="left"/>
        </w:tabs>
        <w:rPr>
          <w:sz w:val="20"/>
          <w:szCs w:val="20"/>
          <w:color w:val="auto"/>
        </w:rPr>
      </w:pPr>
      <w:r>
        <w:rPr>
          <w:rFonts w:ascii="Arial" w:cs="Arial" w:eastAsia="Arial" w:hAnsi="Arial"/>
          <w:sz w:val="16"/>
          <w:szCs w:val="16"/>
          <w:b w:val="1"/>
          <w:bCs w:val="1"/>
          <w:color w:val="auto"/>
        </w:rPr>
        <w:t>Actual</w:t>
      </w:r>
      <w:r>
        <w:rPr>
          <w:sz w:val="20"/>
          <w:szCs w:val="20"/>
          <w:color w:val="auto"/>
        </w:rPr>
        <w:tab/>
      </w:r>
      <w:r>
        <w:rPr>
          <w:rFonts w:ascii="Arial" w:cs="Arial" w:eastAsia="Arial" w:hAnsi="Arial"/>
          <w:sz w:val="16"/>
          <w:szCs w:val="16"/>
          <w:b w:val="1"/>
          <w:bCs w:val="1"/>
          <w:color w:val="auto"/>
        </w:rPr>
        <w:t>Impax/ Gemini</w:t>
      </w:r>
      <w:r>
        <w:rPr>
          <w:sz w:val="20"/>
          <w:szCs w:val="20"/>
          <w:color w:val="auto"/>
        </w:rPr>
        <w:tab/>
      </w:r>
      <w:r>
        <w:rPr>
          <w:rFonts w:ascii="Arial" w:cs="Arial" w:eastAsia="Arial" w:hAnsi="Arial"/>
          <w:sz w:val="14"/>
          <w:szCs w:val="14"/>
          <w:b w:val="1"/>
          <w:bCs w:val="1"/>
          <w:color w:val="auto"/>
        </w:rPr>
        <w:t>Combined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1986280</wp:posOffset>
            </wp:positionH>
            <wp:positionV relativeFrom="paragraph">
              <wp:posOffset>37465</wp:posOffset>
            </wp:positionV>
            <wp:extent cx="25984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59842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90" w:lineRule="exact"/>
        <w:rPr>
          <w:sz w:val="20"/>
          <w:szCs w:val="20"/>
          <w:color w:val="auto"/>
        </w:rPr>
      </w:pPr>
    </w:p>
    <w:p>
      <w:pPr>
        <w:ind w:left="480"/>
        <w:spacing w:after="0"/>
        <w:rPr>
          <w:sz w:val="20"/>
          <w:szCs w:val="20"/>
          <w:color w:val="auto"/>
        </w:rPr>
      </w:pPr>
      <w:r>
        <w:rPr>
          <w:rFonts w:ascii="Arial" w:cs="Arial" w:eastAsia="Arial" w:hAnsi="Arial"/>
          <w:sz w:val="16"/>
          <w:szCs w:val="16"/>
          <w:b w:val="1"/>
          <w:bCs w:val="1"/>
          <w:color w:val="auto"/>
        </w:rPr>
        <w:t>Six months ended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37465</wp:posOffset>
            </wp:positionV>
            <wp:extent cx="254698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66" w:lineRule="exact"/>
        <w:rPr>
          <w:sz w:val="20"/>
          <w:szCs w:val="20"/>
          <w:color w:val="auto"/>
        </w:rPr>
      </w:pPr>
    </w:p>
    <w:p>
      <w:pPr>
        <w:jc w:val="right"/>
        <w:ind w:right="300"/>
        <w:spacing w:after="0"/>
        <w:rPr>
          <w:sz w:val="20"/>
          <w:szCs w:val="20"/>
          <w:color w:val="auto"/>
        </w:rPr>
      </w:pPr>
      <w:r>
        <w:rPr>
          <w:rFonts w:ascii="Arial" w:cs="Arial" w:eastAsia="Arial" w:hAnsi="Arial"/>
          <w:sz w:val="16"/>
          <w:szCs w:val="16"/>
          <w:b w:val="1"/>
          <w:bCs w:val="1"/>
          <w:color w:val="auto"/>
        </w:rPr>
        <w:t>(Non-GAAP)</w:t>
      </w:r>
    </w:p>
    <w:p>
      <w:pPr>
        <w:spacing w:after="0" w:line="26" w:lineRule="exact"/>
        <w:rPr>
          <w:sz w:val="20"/>
          <w:szCs w:val="20"/>
          <w:color w:val="auto"/>
        </w:rPr>
      </w:pPr>
    </w:p>
    <w:p>
      <w:pPr>
        <w:jc w:val="center"/>
        <w:ind w:right="520"/>
        <w:spacing w:after="0"/>
        <w:rPr>
          <w:sz w:val="20"/>
          <w:szCs w:val="20"/>
          <w:color w:val="auto"/>
        </w:rPr>
      </w:pPr>
      <w:r>
        <w:rPr>
          <w:rFonts w:ascii="Arial" w:cs="Arial" w:eastAsia="Arial" w:hAnsi="Arial"/>
          <w:sz w:val="16"/>
          <w:szCs w:val="16"/>
          <w:b w:val="1"/>
          <w:bCs w:val="1"/>
          <w:color w:val="auto"/>
        </w:rPr>
        <w:t>Add:</w:t>
      </w:r>
    </w:p>
    <w:p>
      <w:pPr>
        <w:spacing w:after="0" w:line="78" w:lineRule="exact"/>
        <w:rPr>
          <w:sz w:val="20"/>
          <w:szCs w:val="20"/>
          <w:color w:val="auto"/>
        </w:rPr>
      </w:pPr>
    </w:p>
    <w:p>
      <w:pPr>
        <w:spacing w:after="0"/>
        <w:tabs>
          <w:tab w:leader="none" w:pos="1020" w:val="left"/>
          <w:tab w:leader="none" w:pos="2540" w:val="left"/>
        </w:tabs>
        <w:rPr>
          <w:sz w:val="20"/>
          <w:szCs w:val="20"/>
          <w:color w:val="auto"/>
        </w:rPr>
      </w:pPr>
      <w:r>
        <w:rPr>
          <w:rFonts w:ascii="Arial" w:cs="Arial" w:eastAsia="Arial" w:hAnsi="Arial"/>
          <w:sz w:val="16"/>
          <w:szCs w:val="16"/>
          <w:b w:val="1"/>
          <w:bCs w:val="1"/>
          <w:color w:val="auto"/>
        </w:rPr>
        <w:t>Actual</w:t>
      </w:r>
      <w:r>
        <w:rPr>
          <w:sz w:val="20"/>
          <w:szCs w:val="20"/>
          <w:color w:val="auto"/>
        </w:rPr>
        <w:tab/>
      </w:r>
      <w:r>
        <w:rPr>
          <w:rFonts w:ascii="Arial" w:cs="Arial" w:eastAsia="Arial" w:hAnsi="Arial"/>
          <w:sz w:val="16"/>
          <w:szCs w:val="16"/>
          <w:b w:val="1"/>
          <w:bCs w:val="1"/>
          <w:color w:val="auto"/>
        </w:rPr>
        <w:t>Impax/ Gemini</w:t>
      </w:r>
      <w:r>
        <w:rPr>
          <w:sz w:val="20"/>
          <w:szCs w:val="20"/>
          <w:color w:val="auto"/>
        </w:rPr>
        <w:tab/>
      </w:r>
      <w:r>
        <w:rPr>
          <w:rFonts w:ascii="Arial" w:cs="Arial" w:eastAsia="Arial" w:hAnsi="Arial"/>
          <w:sz w:val="14"/>
          <w:szCs w:val="14"/>
          <w:b w:val="1"/>
          <w:bCs w:val="1"/>
          <w:color w:val="auto"/>
        </w:rPr>
        <w:t>Combined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-273685</wp:posOffset>
            </wp:positionH>
            <wp:positionV relativeFrom="paragraph">
              <wp:posOffset>37465</wp:posOffset>
            </wp:positionV>
            <wp:extent cx="254698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546985" cy="8890"/>
                    </a:xfrm>
                    <a:prstGeom prst="rect">
                      <a:avLst/>
                    </a:prstGeom>
                    <a:noFill/>
                  </pic:spPr>
                </pic:pic>
              </a:graphicData>
            </a:graphic>
          </wp:anchor>
        </w:drawing>
      </w:r>
    </w:p>
    <w:p>
      <w:pPr>
        <w:spacing w:after="0" w:line="90" w:lineRule="exact"/>
        <w:rPr>
          <w:sz w:val="20"/>
          <w:szCs w:val="20"/>
          <w:color w:val="auto"/>
        </w:rPr>
      </w:pPr>
    </w:p>
    <w:p>
      <w:pPr>
        <w:sectPr>
          <w:pgSz w:w="11900" w:h="16838" w:orient="portrait"/>
          <w:cols w:equalWidth="0" w:num="2">
            <w:col w:w="7040" w:space="720"/>
            <w:col w:w="3660"/>
          </w:cols>
          <w:pgMar w:left="240" w:top="553" w:right="239" w:bottom="1440" w:gutter="0" w:footer="0" w:header="0"/>
          <w:type w:val="continuous"/>
        </w:sectPr>
      </w:pPr>
    </w:p>
    <w:tbl>
      <w:tblPr>
        <w:tblLayout w:type="fixed"/>
        <w:tblInd w:w="120" w:type="dxa"/>
        <w:tblCellMar>
          <w:top w:w="0" w:type="dxa"/>
          <w:left w:w="0" w:type="dxa"/>
          <w:bottom w:w="0" w:type="dxa"/>
          <w:right w:w="0" w:type="dxa"/>
        </w:tblCellMar>
      </w:tblPr>
      <w:tr>
        <w:trPr>
          <w:trHeight w:val="206"/>
        </w:trPr>
        <w:tc>
          <w:tcPr>
            <w:tcW w:w="3000" w:type="dxa"/>
            <w:vAlign w:val="bottom"/>
          </w:tcPr>
          <w:p>
            <w:pPr>
              <w:spacing w:after="0"/>
              <w:rPr>
                <w:sz w:val="20"/>
                <w:szCs w:val="20"/>
                <w:color w:val="auto"/>
              </w:rPr>
            </w:pPr>
            <w:r>
              <w:rPr>
                <w:rFonts w:ascii="Arial" w:cs="Arial" w:eastAsia="Arial" w:hAnsi="Arial"/>
                <w:sz w:val="16"/>
                <w:szCs w:val="16"/>
                <w:color w:val="auto"/>
              </w:rPr>
              <w:t>General and administrative expense</w:t>
            </w:r>
          </w:p>
        </w:tc>
        <w:tc>
          <w:tcPr>
            <w:tcW w:w="460" w:type="dxa"/>
            <w:vAlign w:val="bottom"/>
          </w:tcPr>
          <w:p>
            <w:pPr>
              <w:jc w:val="right"/>
              <w:ind w:right="259"/>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75,713</w:t>
            </w:r>
          </w:p>
        </w:tc>
        <w:tc>
          <w:tcPr>
            <w:tcW w:w="640" w:type="dxa"/>
            <w:vAlign w:val="bottom"/>
          </w:tcPr>
          <w:p>
            <w:pPr>
              <w:jc w:val="right"/>
              <w:ind w:right="399"/>
              <w:spacing w:after="0"/>
              <w:rPr>
                <w:sz w:val="20"/>
                <w:szCs w:val="20"/>
                <w:color w:val="auto"/>
              </w:rPr>
            </w:pPr>
            <w:r>
              <w:rPr>
                <w:rFonts w:ascii="Arial" w:cs="Arial" w:eastAsia="Arial" w:hAnsi="Arial"/>
                <w:sz w:val="16"/>
                <w:szCs w:val="16"/>
                <w:color w:val="auto"/>
              </w:rPr>
              <w:t>$</w:t>
            </w:r>
          </w:p>
        </w:tc>
        <w:tc>
          <w:tcPr>
            <w:tcW w:w="740" w:type="dxa"/>
            <w:vAlign w:val="bottom"/>
          </w:tcPr>
          <w:p>
            <w:pPr>
              <w:ind w:left="500"/>
              <w:spacing w:after="0"/>
              <w:rPr>
                <w:sz w:val="20"/>
                <w:szCs w:val="20"/>
                <w:color w:val="auto"/>
              </w:rPr>
            </w:pPr>
            <w:r>
              <w:rPr>
                <w:rFonts w:ascii="Arial" w:cs="Arial" w:eastAsia="Arial" w:hAnsi="Arial"/>
                <w:sz w:val="16"/>
                <w:szCs w:val="16"/>
                <w:color w:val="auto"/>
              </w:rPr>
              <w:t>—</w:t>
            </w:r>
          </w:p>
        </w:tc>
        <w:tc>
          <w:tcPr>
            <w:tcW w:w="480" w:type="dxa"/>
            <w:vAlign w:val="bottom"/>
          </w:tcPr>
          <w:p>
            <w:pPr>
              <w:jc w:val="right"/>
              <w:ind w:right="2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75,713</w:t>
            </w:r>
          </w:p>
        </w:tc>
        <w:tc>
          <w:tcPr>
            <w:tcW w:w="100" w:type="dxa"/>
            <w:vAlign w:val="bottom"/>
          </w:tcPr>
          <w:p>
            <w:pPr>
              <w:spacing w:after="0"/>
              <w:rPr>
                <w:sz w:val="17"/>
                <w:szCs w:val="17"/>
                <w:color w:val="auto"/>
              </w:rPr>
            </w:pPr>
          </w:p>
        </w:tc>
        <w:tc>
          <w:tcPr>
            <w:tcW w:w="42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36,751</w:t>
            </w:r>
          </w:p>
        </w:tc>
        <w:tc>
          <w:tcPr>
            <w:tcW w:w="500" w:type="dxa"/>
            <w:vAlign w:val="bottom"/>
          </w:tcPr>
          <w:p>
            <w:pPr>
              <w:jc w:val="right"/>
              <w:ind w:right="259"/>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28,737</w:t>
            </w:r>
          </w:p>
        </w:tc>
        <w:tc>
          <w:tcPr>
            <w:tcW w:w="44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65,488</w:t>
            </w:r>
          </w:p>
        </w:tc>
        <w:tc>
          <w:tcPr>
            <w:tcW w:w="0" w:type="dxa"/>
            <w:vAlign w:val="bottom"/>
          </w:tcPr>
          <w:p>
            <w:pPr>
              <w:spacing w:after="0"/>
              <w:rPr>
                <w:sz w:val="1"/>
                <w:szCs w:val="1"/>
                <w:color w:val="auto"/>
              </w:rPr>
            </w:pPr>
          </w:p>
        </w:tc>
      </w:tr>
      <w:tr>
        <w:trPr>
          <w:trHeight w:val="253"/>
        </w:trPr>
        <w:tc>
          <w:tcPr>
            <w:tcW w:w="3000" w:type="dxa"/>
            <w:vAlign w:val="bottom"/>
          </w:tcPr>
          <w:p>
            <w:pPr>
              <w:spacing w:after="0"/>
              <w:rPr>
                <w:sz w:val="20"/>
                <w:szCs w:val="20"/>
                <w:color w:val="auto"/>
              </w:rPr>
            </w:pPr>
            <w:r>
              <w:rPr>
                <w:rFonts w:ascii="Arial" w:cs="Arial" w:eastAsia="Arial" w:hAnsi="Arial"/>
                <w:sz w:val="16"/>
                <w:szCs w:val="16"/>
                <w:color w:val="auto"/>
              </w:rPr>
              <w:t>Acquisition, transaction-related and</w:t>
            </w:r>
          </w:p>
        </w:tc>
        <w:tc>
          <w:tcPr>
            <w:tcW w:w="46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00" w:type="dxa"/>
            <w:vAlign w:val="bottom"/>
          </w:tcPr>
          <w:p>
            <w:pPr>
              <w:spacing w:after="0"/>
              <w:rPr>
                <w:sz w:val="20"/>
                <w:szCs w:val="20"/>
                <w:color w:val="auto"/>
              </w:rPr>
            </w:pPr>
            <w:r>
              <w:rPr>
                <w:rFonts w:ascii="Arial" w:cs="Arial" w:eastAsia="Arial" w:hAnsi="Arial"/>
                <w:sz w:val="16"/>
                <w:szCs w:val="16"/>
                <w:color w:val="auto"/>
              </w:rPr>
              <w:t>integration expenses</w:t>
            </w:r>
          </w:p>
        </w:tc>
        <w:tc>
          <w:tcPr>
            <w:tcW w:w="46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2,717</w:t>
            </w:r>
          </w:p>
        </w:tc>
        <w:tc>
          <w:tcPr>
            <w:tcW w:w="640" w:type="dxa"/>
            <w:vAlign w:val="bottom"/>
          </w:tcPr>
          <w:p>
            <w:pPr>
              <w:spacing w:after="0"/>
              <w:rPr>
                <w:sz w:val="17"/>
                <w:szCs w:val="17"/>
                <w:color w:val="auto"/>
              </w:rPr>
            </w:pPr>
          </w:p>
        </w:tc>
        <w:tc>
          <w:tcPr>
            <w:tcW w:w="740" w:type="dxa"/>
            <w:vAlign w:val="bottom"/>
          </w:tcPr>
          <w:p>
            <w:pPr>
              <w:ind w:left="50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17"/>
                <w:szCs w:val="17"/>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2,717</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100,020</w:t>
            </w:r>
          </w:p>
        </w:tc>
        <w:tc>
          <w:tcPr>
            <w:tcW w:w="50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10,925</w:t>
            </w:r>
          </w:p>
        </w:tc>
        <w:tc>
          <w:tcPr>
            <w:tcW w:w="44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110,945</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4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6,319</w:t>
            </w:r>
          </w:p>
        </w:tc>
        <w:tc>
          <w:tcPr>
            <w:tcW w:w="640" w:type="dxa"/>
            <w:vAlign w:val="bottom"/>
          </w:tcPr>
          <w:p>
            <w:pPr>
              <w:spacing w:after="0"/>
              <w:rPr>
                <w:sz w:val="23"/>
                <w:szCs w:val="23"/>
                <w:color w:val="auto"/>
              </w:rPr>
            </w:pPr>
          </w:p>
        </w:tc>
        <w:tc>
          <w:tcPr>
            <w:tcW w:w="740" w:type="dxa"/>
            <w:vAlign w:val="bottom"/>
          </w:tcPr>
          <w:p>
            <w:pPr>
              <w:ind w:left="500"/>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6,319</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17,247</w:t>
            </w:r>
          </w:p>
        </w:tc>
        <w:tc>
          <w:tcPr>
            <w:tcW w:w="500" w:type="dxa"/>
            <w:vAlign w:val="bottom"/>
          </w:tcPr>
          <w:p>
            <w:pPr>
              <w:spacing w:after="0"/>
              <w:rPr>
                <w:sz w:val="23"/>
                <w:szCs w:val="23"/>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5,123</w:t>
            </w:r>
          </w:p>
        </w:tc>
        <w:tc>
          <w:tcPr>
            <w:tcW w:w="44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22,370</w:t>
            </w:r>
          </w:p>
        </w:tc>
        <w:tc>
          <w:tcPr>
            <w:tcW w:w="0" w:type="dxa"/>
            <w:vAlign w:val="bottom"/>
          </w:tcPr>
          <w:p>
            <w:pPr>
              <w:spacing w:after="0"/>
              <w:rPr>
                <w:sz w:val="1"/>
                <w:szCs w:val="1"/>
                <w:color w:val="auto"/>
              </w:rPr>
            </w:pPr>
          </w:p>
        </w:tc>
      </w:tr>
      <w:tr>
        <w:trPr>
          <w:trHeight w:val="33"/>
        </w:trPr>
        <w:tc>
          <w:tcPr>
            <w:tcW w:w="3000" w:type="dxa"/>
            <w:vAlign w:val="bottom"/>
            <w:vMerge w:val="restart"/>
          </w:tcPr>
          <w:p>
            <w:pPr>
              <w:spacing w:after="0"/>
              <w:rPr>
                <w:sz w:val="20"/>
                <w:szCs w:val="20"/>
                <w:color w:val="auto"/>
              </w:rPr>
            </w:pPr>
            <w:r>
              <w:rPr>
                <w:rFonts w:ascii="Arial" w:cs="Arial" w:eastAsia="Arial" w:hAnsi="Arial"/>
                <w:sz w:val="16"/>
                <w:szCs w:val="16"/>
                <w:color w:val="auto"/>
              </w:rPr>
              <w:t>Total general, administrative and other</w:t>
            </w:r>
          </w:p>
        </w:tc>
        <w:tc>
          <w:tcPr>
            <w:tcW w:w="4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3000" w:type="dxa"/>
            <w:vAlign w:val="bottom"/>
            <w:vMerge w:val="continue"/>
          </w:tcPr>
          <w:p>
            <w:pPr>
              <w:spacing w:after="0"/>
              <w:rPr>
                <w:sz w:val="17"/>
                <w:szCs w:val="17"/>
                <w:color w:val="auto"/>
              </w:rPr>
            </w:pPr>
          </w:p>
        </w:tc>
        <w:tc>
          <w:tcPr>
            <w:tcW w:w="460" w:type="dxa"/>
            <w:vAlign w:val="bottom"/>
            <w:vMerge w:val="restart"/>
          </w:tcPr>
          <w:p>
            <w:pPr>
              <w:jc w:val="right"/>
              <w:ind w:right="259"/>
              <w:spacing w:after="0"/>
              <w:rPr>
                <w:sz w:val="20"/>
                <w:szCs w:val="20"/>
                <w:color w:val="auto"/>
              </w:rPr>
            </w:pPr>
            <w:r>
              <w:rPr>
                <w:rFonts w:ascii="Arial" w:cs="Arial" w:eastAsia="Arial" w:hAnsi="Arial"/>
                <w:sz w:val="16"/>
                <w:szCs w:val="16"/>
                <w:color w:val="auto"/>
              </w:rPr>
              <w:t>$</w:t>
            </w: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84,749</w:t>
            </w:r>
          </w:p>
        </w:tc>
        <w:tc>
          <w:tcPr>
            <w:tcW w:w="640" w:type="dxa"/>
            <w:vAlign w:val="bottom"/>
            <w:vMerge w:val="restart"/>
          </w:tcPr>
          <w:p>
            <w:pPr>
              <w:jc w:val="right"/>
              <w:ind w:right="399"/>
              <w:spacing w:after="0"/>
              <w:rPr>
                <w:sz w:val="20"/>
                <w:szCs w:val="20"/>
                <w:color w:val="auto"/>
              </w:rPr>
            </w:pPr>
            <w:r>
              <w:rPr>
                <w:rFonts w:ascii="Arial" w:cs="Arial" w:eastAsia="Arial" w:hAnsi="Arial"/>
                <w:sz w:val="16"/>
                <w:szCs w:val="16"/>
                <w:color w:val="auto"/>
              </w:rPr>
              <w:t>$</w:t>
            </w:r>
          </w:p>
        </w:tc>
        <w:tc>
          <w:tcPr>
            <w:tcW w:w="740" w:type="dxa"/>
            <w:vAlign w:val="bottom"/>
            <w:vMerge w:val="restart"/>
          </w:tcPr>
          <w:p>
            <w:pPr>
              <w:ind w:left="500"/>
              <w:spacing w:after="0"/>
              <w:rPr>
                <w:sz w:val="20"/>
                <w:szCs w:val="20"/>
                <w:color w:val="auto"/>
              </w:rPr>
            </w:pPr>
            <w:r>
              <w:rPr>
                <w:rFonts w:ascii="Arial" w:cs="Arial" w:eastAsia="Arial" w:hAnsi="Arial"/>
                <w:sz w:val="16"/>
                <w:szCs w:val="16"/>
                <w:color w:val="auto"/>
              </w:rPr>
              <w:t>—</w:t>
            </w:r>
          </w:p>
        </w:tc>
        <w:tc>
          <w:tcPr>
            <w:tcW w:w="480" w:type="dxa"/>
            <w:vAlign w:val="bottom"/>
            <w:vMerge w:val="restart"/>
          </w:tcPr>
          <w:p>
            <w:pPr>
              <w:jc w:val="right"/>
              <w:ind w:right="239"/>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ind w:right="19"/>
              <w:spacing w:after="0"/>
              <w:rPr>
                <w:sz w:val="20"/>
                <w:szCs w:val="20"/>
                <w:color w:val="auto"/>
              </w:rPr>
            </w:pPr>
            <w:r>
              <w:rPr>
                <w:rFonts w:ascii="Arial" w:cs="Arial" w:eastAsia="Arial" w:hAnsi="Arial"/>
                <w:sz w:val="16"/>
                <w:szCs w:val="16"/>
                <w:color w:val="auto"/>
              </w:rPr>
              <w:t>84,749</w:t>
            </w:r>
          </w:p>
        </w:tc>
        <w:tc>
          <w:tcPr>
            <w:tcW w:w="100" w:type="dxa"/>
            <w:vAlign w:val="bottom"/>
          </w:tcPr>
          <w:p>
            <w:pPr>
              <w:spacing w:after="0"/>
              <w:rPr>
                <w:sz w:val="17"/>
                <w:szCs w:val="17"/>
                <w:color w:val="auto"/>
              </w:rPr>
            </w:pPr>
          </w:p>
        </w:tc>
        <w:tc>
          <w:tcPr>
            <w:tcW w:w="420" w:type="dxa"/>
            <w:vAlign w:val="bottom"/>
            <w:vMerge w:val="restart"/>
          </w:tcPr>
          <w:p>
            <w:pPr>
              <w:jc w:val="right"/>
              <w:ind w:right="219"/>
              <w:spacing w:after="0"/>
              <w:rPr>
                <w:sz w:val="20"/>
                <w:szCs w:val="20"/>
                <w:color w:val="auto"/>
              </w:rPr>
            </w:pPr>
            <w:r>
              <w:rPr>
                <w:rFonts w:ascii="Arial" w:cs="Arial" w:eastAsia="Arial" w:hAnsi="Arial"/>
                <w:sz w:val="16"/>
                <w:szCs w:val="16"/>
                <w:color w:val="auto"/>
              </w:rPr>
              <w:t>$</w:t>
            </w: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154,018</w:t>
            </w:r>
          </w:p>
        </w:tc>
        <w:tc>
          <w:tcPr>
            <w:tcW w:w="500" w:type="dxa"/>
            <w:vAlign w:val="bottom"/>
            <w:vMerge w:val="restart"/>
          </w:tcPr>
          <w:p>
            <w:pPr>
              <w:jc w:val="right"/>
              <w:ind w:right="259"/>
              <w:spacing w:after="0"/>
              <w:rPr>
                <w:sz w:val="20"/>
                <w:szCs w:val="20"/>
                <w:color w:val="auto"/>
              </w:rPr>
            </w:pPr>
            <w:r>
              <w:rPr>
                <w:rFonts w:ascii="Arial" w:cs="Arial" w:eastAsia="Arial" w:hAnsi="Arial"/>
                <w:sz w:val="16"/>
                <w:szCs w:val="16"/>
                <w:color w:val="auto"/>
              </w:rPr>
              <w:t>$</w:t>
            </w:r>
          </w:p>
        </w:tc>
        <w:tc>
          <w:tcPr>
            <w:tcW w:w="840" w:type="dxa"/>
            <w:vAlign w:val="bottom"/>
            <w:vMerge w:val="restart"/>
          </w:tcPr>
          <w:p>
            <w:pPr>
              <w:jc w:val="right"/>
              <w:spacing w:after="0"/>
              <w:rPr>
                <w:sz w:val="20"/>
                <w:szCs w:val="20"/>
                <w:color w:val="auto"/>
              </w:rPr>
            </w:pPr>
            <w:r>
              <w:rPr>
                <w:rFonts w:ascii="Arial" w:cs="Arial" w:eastAsia="Arial" w:hAnsi="Arial"/>
                <w:sz w:val="16"/>
                <w:szCs w:val="16"/>
                <w:color w:val="auto"/>
              </w:rPr>
              <w:t>44,785</w:t>
            </w:r>
          </w:p>
        </w:tc>
        <w:tc>
          <w:tcPr>
            <w:tcW w:w="440" w:type="dxa"/>
            <w:vAlign w:val="bottom"/>
            <w:vMerge w:val="restart"/>
          </w:tcPr>
          <w:p>
            <w:pPr>
              <w:jc w:val="right"/>
              <w:ind w:right="199"/>
              <w:spacing w:after="0"/>
              <w:rPr>
                <w:sz w:val="20"/>
                <w:szCs w:val="20"/>
                <w:color w:val="auto"/>
              </w:rPr>
            </w:pPr>
            <w:r>
              <w:rPr>
                <w:rFonts w:ascii="Arial" w:cs="Arial" w:eastAsia="Arial" w:hAnsi="Arial"/>
                <w:sz w:val="16"/>
                <w:szCs w:val="16"/>
                <w:color w:val="auto"/>
              </w:rPr>
              <w:t>$</w:t>
            </w:r>
          </w:p>
        </w:tc>
        <w:tc>
          <w:tcPr>
            <w:tcW w:w="940" w:type="dxa"/>
            <w:vAlign w:val="bottom"/>
            <w:vMerge w:val="restart"/>
          </w:tcPr>
          <w:p>
            <w:pPr>
              <w:jc w:val="right"/>
              <w:ind w:right="19"/>
              <w:spacing w:after="0"/>
              <w:rPr>
                <w:sz w:val="20"/>
                <w:szCs w:val="20"/>
                <w:color w:val="auto"/>
              </w:rPr>
            </w:pPr>
            <w:r>
              <w:rPr>
                <w:rFonts w:ascii="Arial" w:cs="Arial" w:eastAsia="Arial" w:hAnsi="Arial"/>
                <w:sz w:val="16"/>
                <w:szCs w:val="16"/>
                <w:color w:val="auto"/>
              </w:rPr>
              <w:t>198,803</w:t>
            </w:r>
          </w:p>
        </w:tc>
        <w:tc>
          <w:tcPr>
            <w:tcW w:w="0" w:type="dxa"/>
            <w:vAlign w:val="bottom"/>
          </w:tcPr>
          <w:p>
            <w:pPr>
              <w:spacing w:after="0"/>
              <w:rPr>
                <w:sz w:val="1"/>
                <w:szCs w:val="1"/>
                <w:color w:val="auto"/>
              </w:rPr>
            </w:pPr>
          </w:p>
        </w:tc>
      </w:tr>
      <w:tr>
        <w:trPr>
          <w:trHeight w:val="224"/>
        </w:trPr>
        <w:tc>
          <w:tcPr>
            <w:tcW w:w="3000" w:type="dxa"/>
            <w:vAlign w:val="bottom"/>
          </w:tcPr>
          <w:p>
            <w:pPr>
              <w:spacing w:after="0"/>
              <w:rPr>
                <w:sz w:val="20"/>
                <w:szCs w:val="20"/>
                <w:color w:val="auto"/>
              </w:rPr>
            </w:pPr>
            <w:r>
              <w:rPr>
                <w:rFonts w:ascii="Arial" w:cs="Arial" w:eastAsia="Arial" w:hAnsi="Arial"/>
                <w:sz w:val="16"/>
                <w:szCs w:val="16"/>
                <w:color w:val="auto"/>
              </w:rPr>
              <w:t>operating expenses</w:t>
            </w:r>
          </w:p>
        </w:tc>
        <w:tc>
          <w:tcPr>
            <w:tcW w:w="460" w:type="dxa"/>
            <w:vAlign w:val="bottom"/>
            <w:tcBorders>
              <w:bottom w:val="single" w:sz="8" w:color="auto"/>
            </w:tcBorders>
            <w:vMerge w:val="continue"/>
          </w:tcPr>
          <w:p>
            <w:pPr>
              <w:spacing w:after="0"/>
              <w:rPr>
                <w:sz w:val="19"/>
                <w:szCs w:val="19"/>
                <w:color w:val="auto"/>
              </w:rPr>
            </w:pPr>
          </w:p>
        </w:tc>
        <w:tc>
          <w:tcPr>
            <w:tcW w:w="880" w:type="dxa"/>
            <w:vAlign w:val="bottom"/>
            <w:tcBorders>
              <w:bottom w:val="single" w:sz="8" w:color="auto"/>
            </w:tcBorders>
            <w:vMerge w:val="continue"/>
          </w:tcPr>
          <w:p>
            <w:pPr>
              <w:spacing w:after="0"/>
              <w:rPr>
                <w:sz w:val="19"/>
                <w:szCs w:val="19"/>
                <w:color w:val="auto"/>
              </w:rPr>
            </w:pPr>
          </w:p>
        </w:tc>
        <w:tc>
          <w:tcPr>
            <w:tcW w:w="640" w:type="dxa"/>
            <w:vAlign w:val="bottom"/>
            <w:tcBorders>
              <w:bottom w:val="single" w:sz="8" w:color="auto"/>
            </w:tcBorders>
            <w:vMerge w:val="continue"/>
          </w:tcPr>
          <w:p>
            <w:pPr>
              <w:spacing w:after="0"/>
              <w:rPr>
                <w:sz w:val="19"/>
                <w:szCs w:val="19"/>
                <w:color w:val="auto"/>
              </w:rPr>
            </w:pPr>
          </w:p>
        </w:tc>
        <w:tc>
          <w:tcPr>
            <w:tcW w:w="740" w:type="dxa"/>
            <w:vAlign w:val="bottom"/>
            <w:tcBorders>
              <w:bottom w:val="single" w:sz="8" w:color="auto"/>
            </w:tcBorders>
            <w:vMerge w:val="continue"/>
          </w:tcPr>
          <w:p>
            <w:pPr>
              <w:spacing w:after="0"/>
              <w:rPr>
                <w:sz w:val="19"/>
                <w:szCs w:val="19"/>
                <w:color w:val="auto"/>
              </w:rPr>
            </w:pPr>
          </w:p>
        </w:tc>
        <w:tc>
          <w:tcPr>
            <w:tcW w:w="480" w:type="dxa"/>
            <w:vAlign w:val="bottom"/>
            <w:tcBorders>
              <w:bottom w:val="single" w:sz="8" w:color="auto"/>
            </w:tcBorders>
            <w:vMerge w:val="continue"/>
          </w:tcPr>
          <w:p>
            <w:pPr>
              <w:spacing w:after="0"/>
              <w:rPr>
                <w:sz w:val="19"/>
                <w:szCs w:val="19"/>
                <w:color w:val="auto"/>
              </w:rPr>
            </w:pPr>
          </w:p>
        </w:tc>
        <w:tc>
          <w:tcPr>
            <w:tcW w:w="90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Borders>
              <w:bottom w:val="single" w:sz="8" w:color="auto"/>
            </w:tcBorders>
            <w:vMerge w:val="continue"/>
          </w:tcPr>
          <w:p>
            <w:pPr>
              <w:spacing w:after="0"/>
              <w:rPr>
                <w:sz w:val="19"/>
                <w:szCs w:val="19"/>
                <w:color w:val="auto"/>
              </w:rPr>
            </w:pPr>
          </w:p>
        </w:tc>
        <w:tc>
          <w:tcPr>
            <w:tcW w:w="880" w:type="dxa"/>
            <w:vAlign w:val="bottom"/>
            <w:tcBorders>
              <w:bottom w:val="single" w:sz="8" w:color="auto"/>
            </w:tcBorders>
            <w:vMerge w:val="continue"/>
          </w:tcPr>
          <w:p>
            <w:pPr>
              <w:spacing w:after="0"/>
              <w:rPr>
                <w:sz w:val="19"/>
                <w:szCs w:val="19"/>
                <w:color w:val="auto"/>
              </w:rPr>
            </w:pPr>
          </w:p>
        </w:tc>
        <w:tc>
          <w:tcPr>
            <w:tcW w:w="500" w:type="dxa"/>
            <w:vAlign w:val="bottom"/>
            <w:tcBorders>
              <w:bottom w:val="single" w:sz="8" w:color="auto"/>
            </w:tcBorders>
            <w:vMerge w:val="continue"/>
          </w:tcPr>
          <w:p>
            <w:pPr>
              <w:spacing w:after="0"/>
              <w:rPr>
                <w:sz w:val="19"/>
                <w:szCs w:val="19"/>
                <w:color w:val="auto"/>
              </w:rPr>
            </w:pPr>
          </w:p>
        </w:tc>
        <w:tc>
          <w:tcPr>
            <w:tcW w:w="840" w:type="dxa"/>
            <w:vAlign w:val="bottom"/>
            <w:tcBorders>
              <w:bottom w:val="single" w:sz="8" w:color="auto"/>
            </w:tcBorders>
            <w:vMerge w:val="continue"/>
          </w:tcPr>
          <w:p>
            <w:pPr>
              <w:spacing w:after="0"/>
              <w:rPr>
                <w:sz w:val="19"/>
                <w:szCs w:val="19"/>
                <w:color w:val="auto"/>
              </w:rPr>
            </w:pPr>
          </w:p>
        </w:tc>
        <w:tc>
          <w:tcPr>
            <w:tcW w:w="440" w:type="dxa"/>
            <w:vAlign w:val="bottom"/>
            <w:tcBorders>
              <w:bottom w:val="single" w:sz="8" w:color="auto"/>
            </w:tcBorders>
            <w:vMerge w:val="continue"/>
          </w:tcPr>
          <w:p>
            <w:pPr>
              <w:spacing w:after="0"/>
              <w:rPr>
                <w:sz w:val="19"/>
                <w:szCs w:val="19"/>
                <w:color w:val="auto"/>
              </w:rPr>
            </w:pPr>
          </w:p>
        </w:tc>
        <w:tc>
          <w:tcPr>
            <w:tcW w:w="9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spacing w:after="0" w:line="245" w:lineRule="auto"/>
        <w:rPr>
          <w:sz w:val="20"/>
          <w:szCs w:val="20"/>
          <w:color w:val="auto"/>
        </w:rPr>
      </w:pPr>
      <w:r>
        <w:rPr>
          <w:rFonts w:ascii="Arial" w:cs="Arial" w:eastAsia="Arial" w:hAnsi="Arial"/>
          <w:sz w:val="17"/>
          <w:szCs w:val="17"/>
          <w:color w:val="auto"/>
        </w:rPr>
        <w:t>General and administrative and other operating expenses in the second quarter of 2019 decreased to $40 million compared to $133 million in the prior year period. General and administrative and other operating expenses on a combined basis</w:t>
      </w:r>
      <w:r>
        <w:rPr>
          <w:rFonts w:ascii="Arial" w:cs="Arial" w:eastAsia="Arial" w:hAnsi="Arial"/>
          <w:sz w:val="24"/>
          <w:szCs w:val="24"/>
          <w:color w:val="auto"/>
          <w:vertAlign w:val="superscript"/>
        </w:rPr>
        <w:t>(1)</w:t>
      </w:r>
      <w:r>
        <w:rPr>
          <w:rFonts w:ascii="Arial" w:cs="Arial" w:eastAsia="Arial" w:hAnsi="Arial"/>
          <w:sz w:val="17"/>
          <w:szCs w:val="17"/>
          <w:color w:val="auto"/>
        </w:rPr>
        <w:t xml:space="preserve"> in the second quarter of 2019 decreased to $40 million compared to $146 million in the prior year period. The decrease is primarily due to costs associated with the Combination with Impax and Gemini acquisition including lower acquisition, transaction-related and integration expenses, and lower restructuring and other charges.</w:t>
      </w: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Page 6 of 23</w:t>
      </w:r>
    </w:p>
    <w:p>
      <w:pPr>
        <w:sectPr>
          <w:pgSz w:w="11900" w:h="16838" w:orient="portrait"/>
          <w:cols w:equalWidth="0" w:num="1">
            <w:col w:w="11420"/>
          </w:cols>
          <w:pgMar w:left="240" w:top="553" w:right="239" w:bottom="1440" w:gutter="0" w:footer="0" w:header="0"/>
          <w:type w:val="continuous"/>
        </w:sectPr>
      </w:pPr>
    </w:p>
    <w:bookmarkStart w:id="9" w:name="page10"/>
    <w:bookmarkEnd w:id="9"/>
    <w:p>
      <w:pPr>
        <w:spacing w:after="0"/>
        <w:rPr>
          <w:sz w:val="20"/>
          <w:szCs w:val="20"/>
          <w:color w:val="auto"/>
        </w:rPr>
      </w:pPr>
      <w:r>
        <w:rPr>
          <w:rFonts w:ascii="Arial" w:cs="Arial" w:eastAsia="Arial" w:hAnsi="Arial"/>
          <w:sz w:val="18"/>
          <w:szCs w:val="18"/>
          <w:b w:val="1"/>
          <w:bCs w:val="1"/>
          <w:color w:val="auto"/>
        </w:rPr>
        <w:t>2019 Financial Outlook</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Amneal’s full year 2019 estimates are based on management's current expectations, including with respect to prescription trends, pricing levels, inventory levels, and the anticipated timing of future product launches and events. The Company cannot provide a reconciliation between non-GAAP projections and the most directly comparable GAAP measures without unreasonable efforts because it is unable to predict with reasonable certainty the ultimate outcome of certain significant items required for the reconciliation. The items include, but are not limited to, acquisition-related expenses, restructuring expenses, asset impairments and other gains and losses. These items are uncertain, depend on various factors, and could have a material impact on U.S. GAAP reported results for 2019.</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Amneal is updating certain of its previously provided 2019 guidance as follows:</w:t>
      </w:r>
    </w:p>
    <w:p>
      <w:pPr>
        <w:spacing w:after="0" w:line="355" w:lineRule="exact"/>
        <w:rPr>
          <w:sz w:val="20"/>
          <w:szCs w:val="20"/>
          <w:color w:val="auto"/>
        </w:rPr>
      </w:pPr>
    </w:p>
    <w:tbl>
      <w:tblPr>
        <w:tblLayout w:type="fixed"/>
        <w:tblInd w:w="1590" w:type="dxa"/>
        <w:tblCellMar>
          <w:top w:w="0" w:type="dxa"/>
          <w:left w:w="0" w:type="dxa"/>
          <w:bottom w:w="0" w:type="dxa"/>
          <w:right w:w="0" w:type="dxa"/>
        </w:tblCellMar>
      </w:tblPr>
      <w:tr>
        <w:trPr>
          <w:trHeight w:val="237"/>
        </w:trPr>
        <w:tc>
          <w:tcPr>
            <w:tcW w:w="3020" w:type="dxa"/>
            <w:vAlign w:val="bottom"/>
            <w:tcBorders>
              <w:top w:val="single" w:sz="8" w:color="auto"/>
              <w:left w:val="single" w:sz="8" w:color="auto"/>
              <w:right w:val="single" w:sz="8" w:color="auto"/>
            </w:tcBorders>
          </w:tcPr>
          <w:p>
            <w:pPr>
              <w:spacing w:after="0"/>
              <w:rPr>
                <w:sz w:val="20"/>
                <w:szCs w:val="20"/>
                <w:color w:val="auto"/>
              </w:rPr>
            </w:pPr>
          </w:p>
        </w:tc>
        <w:tc>
          <w:tcPr>
            <w:tcW w:w="1260" w:type="dxa"/>
            <w:vAlign w:val="bottom"/>
            <w:tcBorders>
              <w:top w:val="single" w:sz="8" w:color="auto"/>
            </w:tcBorders>
          </w:tcPr>
          <w:p>
            <w:pPr>
              <w:spacing w:after="0"/>
              <w:rPr>
                <w:sz w:val="20"/>
                <w:szCs w:val="20"/>
                <w:color w:val="auto"/>
              </w:rPr>
            </w:pPr>
          </w:p>
        </w:tc>
        <w:tc>
          <w:tcPr>
            <w:tcW w:w="264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8"/>
              </w:rPr>
              <w:t>Full Year 2019 Financial Guidance</w:t>
            </w:r>
          </w:p>
        </w:tc>
        <w:tc>
          <w:tcPr>
            <w:tcW w:w="1380" w:type="dxa"/>
            <w:vAlign w:val="bottom"/>
            <w:tcBorders>
              <w:top w:val="single" w:sz="8" w:color="auto"/>
              <w:right w:val="single" w:sz="8" w:color="auto"/>
            </w:tcBorders>
          </w:tcPr>
          <w:p>
            <w:pPr>
              <w:spacing w:after="0"/>
              <w:rPr>
                <w:sz w:val="20"/>
                <w:szCs w:val="20"/>
                <w:color w:val="auto"/>
              </w:rPr>
            </w:pPr>
          </w:p>
        </w:tc>
      </w:tr>
      <w:tr>
        <w:trPr>
          <w:trHeight w:val="47"/>
        </w:trPr>
        <w:tc>
          <w:tcPr>
            <w:tcW w:w="3020" w:type="dxa"/>
            <w:vAlign w:val="bottom"/>
            <w:tcBorders>
              <w:left w:val="single" w:sz="8" w:color="auto"/>
              <w:bottom w:val="single" w:sz="8" w:color="auto"/>
              <w:right w:val="single" w:sz="8" w:color="auto"/>
            </w:tcBorders>
          </w:tcPr>
          <w:p>
            <w:pPr>
              <w:spacing w:after="0"/>
              <w:rPr>
                <w:sz w:val="4"/>
                <w:szCs w:val="4"/>
                <w:color w:val="auto"/>
              </w:rPr>
            </w:pPr>
          </w:p>
        </w:tc>
        <w:tc>
          <w:tcPr>
            <w:tcW w:w="2640" w:type="dxa"/>
            <w:vAlign w:val="bottom"/>
            <w:tcBorders>
              <w:bottom w:val="single" w:sz="8" w:color="auto"/>
            </w:tcBorders>
            <w:gridSpan w:val="2"/>
          </w:tcPr>
          <w:p>
            <w:pPr>
              <w:spacing w:after="0"/>
              <w:rPr>
                <w:sz w:val="4"/>
                <w:szCs w:val="4"/>
                <w:color w:val="auto"/>
              </w:rPr>
            </w:pPr>
          </w:p>
        </w:tc>
        <w:tc>
          <w:tcPr>
            <w:tcW w:w="2640" w:type="dxa"/>
            <w:vAlign w:val="bottom"/>
            <w:tcBorders>
              <w:bottom w:val="single" w:sz="8" w:color="auto"/>
              <w:right w:val="single" w:sz="8" w:color="auto"/>
            </w:tcBorders>
            <w:gridSpan w:val="2"/>
          </w:tcPr>
          <w:p>
            <w:pPr>
              <w:spacing w:after="0"/>
              <w:rPr>
                <w:sz w:val="4"/>
                <w:szCs w:val="4"/>
                <w:color w:val="auto"/>
              </w:rPr>
            </w:pPr>
          </w:p>
        </w:tc>
      </w:tr>
      <w:tr>
        <w:trPr>
          <w:trHeight w:val="217"/>
        </w:trPr>
        <w:tc>
          <w:tcPr>
            <w:tcW w:w="3020" w:type="dxa"/>
            <w:vAlign w:val="bottom"/>
            <w:tcBorders>
              <w:left w:val="single" w:sz="8" w:color="auto"/>
              <w:right w:val="single" w:sz="8" w:color="auto"/>
            </w:tcBorders>
          </w:tcPr>
          <w:p>
            <w:pPr>
              <w:spacing w:after="0"/>
              <w:rPr>
                <w:sz w:val="18"/>
                <w:szCs w:val="18"/>
                <w:color w:val="auto"/>
              </w:rPr>
            </w:pP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rPr>
              <w:t>Prior</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3"/>
              </w:rPr>
              <w:t>Updated</w:t>
            </w:r>
          </w:p>
        </w:tc>
      </w:tr>
      <w:tr>
        <w:trPr>
          <w:trHeight w:val="47"/>
        </w:trPr>
        <w:tc>
          <w:tcPr>
            <w:tcW w:w="3020" w:type="dxa"/>
            <w:vAlign w:val="bottom"/>
            <w:tcBorders>
              <w:left w:val="single" w:sz="8" w:color="auto"/>
              <w:right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r>
      <w:tr>
        <w:trPr>
          <w:trHeight w:val="21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gross margin</w:t>
            </w:r>
          </w:p>
        </w:tc>
        <w:tc>
          <w:tcPr>
            <w:tcW w:w="1260" w:type="dxa"/>
            <w:vAlign w:val="bottom"/>
          </w:tcPr>
          <w:p>
            <w:pPr>
              <w:jc w:val="right"/>
              <w:spacing w:after="0"/>
              <w:rPr>
                <w:sz w:val="20"/>
                <w:szCs w:val="20"/>
                <w:color w:val="auto"/>
              </w:rPr>
            </w:pPr>
            <w:r>
              <w:rPr>
                <w:rFonts w:ascii="Arial" w:cs="Arial" w:eastAsia="Arial" w:hAnsi="Arial"/>
                <w:sz w:val="16"/>
                <w:szCs w:val="16"/>
                <w:color w:val="auto"/>
              </w:rPr>
              <w:t>47%</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- 50%</w:t>
            </w:r>
          </w:p>
        </w:tc>
        <w:tc>
          <w:tcPr>
            <w:tcW w:w="1260" w:type="dxa"/>
            <w:vAlign w:val="bottom"/>
          </w:tcPr>
          <w:p>
            <w:pPr>
              <w:jc w:val="right"/>
              <w:spacing w:after="0"/>
              <w:rPr>
                <w:sz w:val="20"/>
                <w:szCs w:val="20"/>
                <w:color w:val="auto"/>
              </w:rPr>
            </w:pPr>
            <w:r>
              <w:rPr>
                <w:rFonts w:ascii="Arial" w:cs="Arial" w:eastAsia="Arial" w:hAnsi="Arial"/>
                <w:sz w:val="16"/>
                <w:szCs w:val="16"/>
                <w:color w:val="auto"/>
              </w:rPr>
              <w:t>47%</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- 50%</w:t>
            </w:r>
          </w:p>
        </w:tc>
      </w:tr>
      <w:tr>
        <w:trPr>
          <w:trHeight w:val="25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R&amp;D as a % of net revenue</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5"/>
              </w:rPr>
              <w:t>9% - 10%</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1"/>
              </w:rPr>
              <w:t>9.5% - 10.5%</w:t>
            </w:r>
          </w:p>
        </w:tc>
      </w:tr>
      <w:tr>
        <w:trPr>
          <w:trHeight w:val="25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SG&amp;A as a % of net revenue</w:t>
            </w:r>
          </w:p>
        </w:tc>
        <w:tc>
          <w:tcPr>
            <w:tcW w:w="1260" w:type="dxa"/>
            <w:vAlign w:val="bottom"/>
          </w:tcPr>
          <w:p>
            <w:pPr>
              <w:jc w:val="right"/>
              <w:spacing w:after="0"/>
              <w:rPr>
                <w:sz w:val="20"/>
                <w:szCs w:val="20"/>
                <w:color w:val="auto"/>
              </w:rPr>
            </w:pPr>
            <w:r>
              <w:rPr>
                <w:rFonts w:ascii="Arial" w:cs="Arial" w:eastAsia="Arial" w:hAnsi="Arial"/>
                <w:sz w:val="16"/>
                <w:szCs w:val="16"/>
                <w:color w:val="auto"/>
              </w:rPr>
              <w:t>11%</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- 12%</w:t>
            </w:r>
          </w:p>
        </w:tc>
        <w:tc>
          <w:tcPr>
            <w:tcW w:w="1260" w:type="dxa"/>
            <w:vAlign w:val="bottom"/>
          </w:tcPr>
          <w:p>
            <w:pPr>
              <w:jc w:val="right"/>
              <w:spacing w:after="0"/>
              <w:rPr>
                <w:sz w:val="20"/>
                <w:szCs w:val="20"/>
                <w:color w:val="auto"/>
              </w:rPr>
            </w:pPr>
            <w:r>
              <w:rPr>
                <w:rFonts w:ascii="Arial" w:cs="Arial" w:eastAsia="Arial" w:hAnsi="Arial"/>
                <w:sz w:val="16"/>
                <w:szCs w:val="16"/>
                <w:color w:val="auto"/>
              </w:rPr>
              <w:t>14%</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- 15%</w:t>
            </w:r>
          </w:p>
        </w:tc>
      </w:tr>
      <w:tr>
        <w:trPr>
          <w:trHeight w:val="30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EBITDA</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5"/>
              </w:rPr>
              <w:t>$600 million - $650 million</w:t>
            </w:r>
            <w:r>
              <w:rPr>
                <w:rFonts w:ascii="Arial" w:cs="Arial" w:eastAsia="Arial" w:hAnsi="Arial"/>
                <w:sz w:val="21"/>
                <w:szCs w:val="21"/>
                <w:color w:val="auto"/>
                <w:w w:val="95"/>
                <w:vertAlign w:val="superscript"/>
              </w:rPr>
              <w:t>(6)</w:t>
            </w:r>
          </w:p>
        </w:tc>
        <w:tc>
          <w:tcPr>
            <w:tcW w:w="1260" w:type="dxa"/>
            <w:vAlign w:val="bottom"/>
          </w:tcPr>
          <w:p>
            <w:pPr>
              <w:jc w:val="right"/>
              <w:spacing w:after="0"/>
              <w:rPr>
                <w:sz w:val="20"/>
                <w:szCs w:val="20"/>
                <w:color w:val="auto"/>
              </w:rPr>
            </w:pPr>
            <w:r>
              <w:rPr>
                <w:rFonts w:ascii="Arial" w:cs="Arial" w:eastAsia="Arial" w:hAnsi="Arial"/>
                <w:sz w:val="16"/>
                <w:szCs w:val="16"/>
                <w:color w:val="auto"/>
              </w:rPr>
              <w:t>$425 million</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$475 million</w:t>
            </w:r>
          </w:p>
        </w:tc>
      </w:tr>
      <w:tr>
        <w:trPr>
          <w:trHeight w:val="206"/>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diluted EPS</w:t>
            </w:r>
          </w:p>
        </w:tc>
        <w:tc>
          <w:tcPr>
            <w:tcW w:w="1260" w:type="dxa"/>
            <w:vAlign w:val="bottom"/>
          </w:tcPr>
          <w:p>
            <w:pPr>
              <w:jc w:val="right"/>
              <w:spacing w:after="0"/>
              <w:rPr>
                <w:sz w:val="20"/>
                <w:szCs w:val="20"/>
                <w:color w:val="auto"/>
              </w:rPr>
            </w:pPr>
            <w:r>
              <w:rPr>
                <w:rFonts w:ascii="Arial" w:cs="Arial" w:eastAsia="Arial" w:hAnsi="Arial"/>
                <w:sz w:val="16"/>
                <w:szCs w:val="16"/>
                <w:color w:val="auto"/>
              </w:rPr>
              <w:t>$0.94</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$1.04</w:t>
            </w:r>
          </w:p>
        </w:tc>
        <w:tc>
          <w:tcPr>
            <w:tcW w:w="1260" w:type="dxa"/>
            <w:vAlign w:val="bottom"/>
          </w:tcPr>
          <w:p>
            <w:pPr>
              <w:jc w:val="right"/>
              <w:spacing w:after="0"/>
              <w:rPr>
                <w:sz w:val="20"/>
                <w:szCs w:val="20"/>
                <w:color w:val="auto"/>
              </w:rPr>
            </w:pPr>
            <w:r>
              <w:rPr>
                <w:rFonts w:ascii="Arial" w:cs="Arial" w:eastAsia="Arial" w:hAnsi="Arial"/>
                <w:sz w:val="16"/>
                <w:szCs w:val="16"/>
                <w:color w:val="auto"/>
              </w:rPr>
              <w:t>$0.52</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$0.62</w:t>
            </w:r>
          </w:p>
        </w:tc>
      </w:tr>
      <w:tr>
        <w:trPr>
          <w:trHeight w:val="25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Adjusted effective tax rate</w:t>
            </w:r>
          </w:p>
        </w:tc>
        <w:tc>
          <w:tcPr>
            <w:tcW w:w="1260" w:type="dxa"/>
            <w:vAlign w:val="bottom"/>
          </w:tcPr>
          <w:p>
            <w:pPr>
              <w:jc w:val="right"/>
              <w:spacing w:after="0"/>
              <w:rPr>
                <w:sz w:val="20"/>
                <w:szCs w:val="20"/>
                <w:color w:val="auto"/>
              </w:rPr>
            </w:pPr>
            <w:r>
              <w:rPr>
                <w:rFonts w:ascii="Arial" w:cs="Arial" w:eastAsia="Arial" w:hAnsi="Arial"/>
                <w:sz w:val="16"/>
                <w:szCs w:val="16"/>
                <w:color w:val="auto"/>
              </w:rPr>
              <w:t>19%</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- 21%</w:t>
            </w:r>
          </w:p>
        </w:tc>
        <w:tc>
          <w:tcPr>
            <w:tcW w:w="1260" w:type="dxa"/>
            <w:vAlign w:val="bottom"/>
          </w:tcPr>
          <w:p>
            <w:pPr>
              <w:jc w:val="right"/>
              <w:spacing w:after="0"/>
              <w:rPr>
                <w:sz w:val="20"/>
                <w:szCs w:val="20"/>
                <w:color w:val="auto"/>
              </w:rPr>
            </w:pPr>
            <w:r>
              <w:rPr>
                <w:rFonts w:ascii="Arial" w:cs="Arial" w:eastAsia="Arial" w:hAnsi="Arial"/>
                <w:sz w:val="16"/>
                <w:szCs w:val="16"/>
                <w:color w:val="auto"/>
              </w:rPr>
              <w:t>19%</w:t>
            </w:r>
          </w:p>
        </w:tc>
        <w:tc>
          <w:tcPr>
            <w:tcW w:w="1380" w:type="dxa"/>
            <w:vAlign w:val="bottom"/>
            <w:tcBorders>
              <w:right w:val="single" w:sz="8" w:color="auto"/>
            </w:tcBorders>
          </w:tcPr>
          <w:p>
            <w:pPr>
              <w:ind w:left="20"/>
              <w:spacing w:after="0"/>
              <w:rPr>
                <w:sz w:val="20"/>
                <w:szCs w:val="20"/>
                <w:color w:val="auto"/>
              </w:rPr>
            </w:pPr>
            <w:r>
              <w:rPr>
                <w:rFonts w:ascii="Arial" w:cs="Arial" w:eastAsia="Arial" w:hAnsi="Arial"/>
                <w:sz w:val="16"/>
                <w:szCs w:val="16"/>
                <w:color w:val="auto"/>
              </w:rPr>
              <w:t>- 21%</w:t>
            </w:r>
          </w:p>
        </w:tc>
      </w:tr>
      <w:tr>
        <w:trPr>
          <w:trHeight w:val="25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Capital expenditures</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7"/>
              </w:rPr>
              <w:t>Approximately $100 million</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8"/>
              </w:rPr>
              <w:t>$65 million - $85 million</w:t>
            </w:r>
          </w:p>
        </w:tc>
      </w:tr>
      <w:tr>
        <w:trPr>
          <w:trHeight w:val="257"/>
        </w:trPr>
        <w:tc>
          <w:tcPr>
            <w:tcW w:w="30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w w:val="91"/>
              </w:rPr>
              <w:t>Weighted average diluted shares outstanding</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7"/>
              </w:rPr>
              <w:t>Approximately 300 million</w:t>
            </w:r>
          </w:p>
        </w:tc>
        <w:tc>
          <w:tcPr>
            <w:tcW w:w="2640" w:type="dxa"/>
            <w:vAlign w:val="bottom"/>
            <w:tcBorders>
              <w:right w:val="single" w:sz="8" w:color="auto"/>
            </w:tcBorders>
            <w:gridSpan w:val="2"/>
          </w:tcPr>
          <w:p>
            <w:pPr>
              <w:jc w:val="center"/>
              <w:spacing w:after="0"/>
              <w:rPr>
                <w:sz w:val="20"/>
                <w:szCs w:val="20"/>
                <w:color w:val="auto"/>
              </w:rPr>
            </w:pPr>
            <w:r>
              <w:rPr>
                <w:rFonts w:ascii="Arial" w:cs="Arial" w:eastAsia="Arial" w:hAnsi="Arial"/>
                <w:sz w:val="16"/>
                <w:szCs w:val="16"/>
                <w:color w:val="auto"/>
                <w:w w:val="97"/>
              </w:rPr>
              <w:t>Approximately 300 million</w:t>
            </w:r>
          </w:p>
        </w:tc>
      </w:tr>
      <w:tr>
        <w:trPr>
          <w:trHeight w:val="33"/>
        </w:trPr>
        <w:tc>
          <w:tcPr>
            <w:tcW w:w="3020" w:type="dxa"/>
            <w:vAlign w:val="bottom"/>
            <w:tcBorders>
              <w:left w:val="single" w:sz="8" w:color="auto"/>
              <w:bottom w:val="single" w:sz="8" w:color="auto"/>
              <w:right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380" w:type="dxa"/>
            <w:vAlign w:val="bottom"/>
            <w:tcBorders>
              <w:bottom w:val="single" w:sz="8" w:color="auto"/>
              <w:right w:val="single" w:sz="8" w:color="auto"/>
            </w:tcBorders>
          </w:tcPr>
          <w:p>
            <w:pPr>
              <w:spacing w:after="0"/>
              <w:rPr>
                <w:sz w:val="2"/>
                <w:szCs w:val="2"/>
                <w:color w:val="auto"/>
              </w:rPr>
            </w:pPr>
          </w:p>
        </w:tc>
      </w:tr>
    </w:tbl>
    <w:p>
      <w:pPr>
        <w:spacing w:after="0" w:line="220" w:lineRule="exact"/>
        <w:rPr>
          <w:sz w:val="20"/>
          <w:szCs w:val="20"/>
          <w:color w:val="auto"/>
        </w:rPr>
      </w:pPr>
    </w:p>
    <w:p>
      <w:pPr>
        <w:ind w:right="320" w:firstLine="8"/>
        <w:spacing w:after="0" w:line="252" w:lineRule="auto"/>
        <w:tabs>
          <w:tab w:leader="none" w:pos="192" w:val="left"/>
        </w:tabs>
        <w:numPr>
          <w:ilvl w:val="0"/>
          <w:numId w:val="11"/>
        </w:numPr>
        <w:rPr>
          <w:rFonts w:ascii="Arial" w:cs="Arial" w:eastAsia="Arial" w:hAnsi="Arial"/>
          <w:sz w:val="22"/>
          <w:szCs w:val="22"/>
          <w:color w:val="auto"/>
          <w:vertAlign w:val="superscript"/>
        </w:rPr>
      </w:pPr>
      <w:r>
        <w:rPr>
          <w:rFonts w:ascii="Arial" w:cs="Arial" w:eastAsia="Arial" w:hAnsi="Arial"/>
          <w:sz w:val="14"/>
          <w:szCs w:val="14"/>
          <w:color w:val="auto"/>
        </w:rPr>
        <w:t>The Company issued revised Adjusted EBITDA guidance on July 10, 2019. Prior to the July 10 update, the Company’s original guidance with respect to 2019 Adjusted EBITDA was $600 million - $650 million.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Information</w:t>
      </w:r>
    </w:p>
    <w:p>
      <w:pPr>
        <w:spacing w:after="0" w:line="229" w:lineRule="exact"/>
        <w:rPr>
          <w:sz w:val="20"/>
          <w:szCs w:val="20"/>
          <w:color w:val="auto"/>
        </w:rPr>
      </w:pPr>
    </w:p>
    <w:p>
      <w:pPr>
        <w:jc w:val="both"/>
        <w:spacing w:after="0" w:line="258" w:lineRule="auto"/>
        <w:rPr>
          <w:sz w:val="20"/>
          <w:szCs w:val="20"/>
          <w:color w:val="auto"/>
        </w:rPr>
      </w:pPr>
      <w:r>
        <w:rPr>
          <w:rFonts w:ascii="Arial" w:cs="Arial" w:eastAsia="Arial" w:hAnsi="Arial"/>
          <w:sz w:val="18"/>
          <w:szCs w:val="18"/>
          <w:color w:val="auto"/>
        </w:rPr>
        <w:t>Amneal will hold a conference call on August 5, 2019 at 8:30 a.m. Eastern Time to discuss its results. The call and presentation can also be accessed via a live Webcast through the Investor Relations section of Amneal’s Web site at</w:t>
      </w:r>
    </w:p>
    <w:p>
      <w:pPr>
        <w:spacing w:after="0" w:line="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u w:val="single" w:color="auto"/>
          <w:color w:val="0000FF"/>
        </w:rPr>
        <w:t>https://investors.amneal.com/investor-relations</w:t>
      </w:r>
      <w:r>
        <w:rPr>
          <w:rFonts w:ascii="Arial" w:cs="Arial" w:eastAsia="Arial" w:hAnsi="Arial"/>
          <w:sz w:val="18"/>
          <w:szCs w:val="18"/>
          <w:color w:val="000000"/>
        </w:rPr>
        <w:t>, or directly at</w:t>
      </w:r>
      <w:r>
        <w:rPr>
          <w:rFonts w:ascii="Arial" w:cs="Arial" w:eastAsia="Arial" w:hAnsi="Arial"/>
          <w:sz w:val="18"/>
          <w:szCs w:val="18"/>
          <w:color w:val="0000FF"/>
        </w:rPr>
        <w:t xml:space="preserve"> </w:t>
      </w:r>
      <w:r>
        <w:rPr>
          <w:rFonts w:ascii="Arial" w:cs="Arial" w:eastAsia="Arial" w:hAnsi="Arial"/>
          <w:sz w:val="18"/>
          <w:szCs w:val="18"/>
          <w:u w:val="single" w:color="auto"/>
          <w:color w:val="0000FF"/>
        </w:rPr>
        <w:t>https://event.on24.com/wcc/r/2021447/323A22AA88A202DFC94FA94090002247.</w:t>
      </w:r>
      <w:r>
        <w:rPr>
          <w:rFonts w:ascii="Arial" w:cs="Arial" w:eastAsia="Arial" w:hAnsi="Arial"/>
          <w:sz w:val="18"/>
          <w:szCs w:val="18"/>
          <w:color w:val="0000FF"/>
        </w:rPr>
        <w:t xml:space="preserve"> </w:t>
      </w:r>
      <w:r>
        <w:rPr>
          <w:rFonts w:ascii="Arial" w:cs="Arial" w:eastAsia="Arial" w:hAnsi="Arial"/>
          <w:sz w:val="18"/>
          <w:szCs w:val="18"/>
          <w:color w:val="000000"/>
        </w:rPr>
        <w:t>The number</w:t>
      </w:r>
      <w:r>
        <w:rPr>
          <w:rFonts w:ascii="Arial" w:cs="Arial" w:eastAsia="Arial" w:hAnsi="Arial"/>
          <w:sz w:val="18"/>
          <w:szCs w:val="18"/>
          <w:color w:val="0000FF"/>
        </w:rPr>
        <w:t xml:space="preserve"> </w:t>
      </w:r>
      <w:r>
        <w:rPr>
          <w:rFonts w:ascii="Arial" w:cs="Arial" w:eastAsia="Arial" w:hAnsi="Arial"/>
          <w:sz w:val="18"/>
          <w:szCs w:val="18"/>
          <w:color w:val="000000"/>
        </w:rPr>
        <w:t>to call from within the United States is (844) 746-0741 and (412) 317-5273 internationally. A replay of the conference call will be available shortly after the call for a period of seven days. To access the replay, dial (877) 344-7529 (in the U.S.) and (412) 317-0088 (international callers). The access code for the replay is 10133264.</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Amneal</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Amneal Pharmaceuticals, Inc. (NYSE: AMRX), headquartered in Bridgewater, NJ, is an integrated pharmaceutical company focused on developing, manufacturing and distributing generic, brand and biosimilar products. The Company has operations in North America, Asia, and Europe, working together to bring high-quality medicines to patients primarily within the United States.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Amneal has an extensive portfolio of more than 300 generic medicines, and is expanding its portfolio to include complex dosage forms in a broad range of therapeutic areas. The Company also markets a portfolio of branded pharmaceutical products through its Specialty segment focused principally on central nervous system disorders and parasitic infections. For more information, visit </w:t>
      </w:r>
      <w:r>
        <w:rPr>
          <w:rFonts w:ascii="Arial" w:cs="Arial" w:eastAsia="Arial" w:hAnsi="Arial"/>
          <w:sz w:val="18"/>
          <w:szCs w:val="18"/>
          <w:u w:val="single" w:color="auto"/>
          <w:color w:val="0000FF"/>
        </w:rPr>
        <w:t>www.amneal.com</w:t>
      </w:r>
      <w:r>
        <w:rPr>
          <w:rFonts w:ascii="Arial" w:cs="Arial" w:eastAsia="Arial" w:hAnsi="Arial"/>
          <w:sz w:val="18"/>
          <w:szCs w:val="18"/>
          <w:color w:val="auto"/>
        </w:rPr>
        <w:t>.</w:t>
      </w:r>
    </w:p>
    <w:p>
      <w:pPr>
        <w:sectPr>
          <w:pgSz w:w="11900" w:h="16838" w:orient="portrait"/>
          <w:cols w:equalWidth="0" w:num="1">
            <w:col w:w="11420"/>
          </w:cols>
          <w:pgMar w:left="240" w:top="796"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Non-GAAP Financial Measures</w:t>
      </w:r>
    </w:p>
    <w:p>
      <w:pPr>
        <w:spacing w:after="0" w:line="17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This release includes certain non-GAAP financial measures, including adjusted EBITDA, adjusted net income, adjusted net income per diluted share, adjusted gross profit, adjusted gross margin and adjusted operating income, which are intended as supplemental measures of the Company’s performance that are not required by or presented in accordance with GAAP. In addition, this release includes these non-GAAP measures and our reported results on a non-GAAP combined basis to include the historical results of Impax and Gemini, not adjusted for financing and acquisition accounting impacts of the combination, as if the transaction closing dates had occurred on the first day of all periods presented herein. All combined business results presented in this release are not prepared in accordance with Article 11 of Regulation S-X. The calculation of Non-GAAP adjusted diluted earnings per share assumes the conversion of all outstanding shares of Class B Common Stock to shares of Class A Common stock.</w:t>
      </w:r>
    </w:p>
    <w:p>
      <w:pPr>
        <w:spacing w:after="0" w:line="17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Management uses these non-GAAP historical and combined measures internally to evaluate and manage the Company’s operations and to better understand its business because they facilitate a comparative assessment of the Company's operating performance relative to its performance based on results calculated under GAAP. These non-GAAP measures also isolate the effects of some items that vary from period to period without any correlation to core operating performance and eliminate certain charges that management believes do not reflect the Company's operations and underlying operational performance. The compensation committee of the Company’s board of directors also uses certain of these measures to evaluate management's performance and set its compensation. The Company believes that these non-GAAP measures also provide useful information to investors regarding certain financial and business trends relating to the Company’s financial condition and operating results, and doing so on a combined basis facilitates an evaluation of the financial performance of the Company and its operations on a consistent basis. Providing this information therefore allows investors to make independent assessments of the Company’s financial performance, results of operation and trends while viewing the information through the eyes of management.</w:t>
      </w:r>
    </w:p>
    <w:p>
      <w:pPr>
        <w:spacing w:after="0" w:line="167"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These non-GAAP measures are subject to limitations. The non-GAAP measures presented in this release may not be comparable to similarly titled measures used by other companies because other companies may not calculate one or more in the same manner. Additionally, the non-GAAP performance measures exclude significant expenses and income that are required by GAAP to be recorded in the Company’s financial statements; do not reflect changes in, or cash requirements for, working capital needs; and do not reflect interest expense, or the requirements necessary to service interest or principal payments on debt. Further, the combined results may not represent what our combined results of operations and financial position would have been had the transactions occurred on the dates indicated, nor are they intended to project our combined results of operations or financial position for any future period. To compensate for these limitations, management presents and considers these non-GAAP measures in conjunction with the Company’s GAAP results; no non-GAAP measure should be considered in isolation from or as alternatives to net income, diluted earnings per share or any other measure determined in accordance with GAAP. Readers should review the reconciliations included below, and should not rely on any single financial measure to evaluate the Company’s business.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A reconciliation of each non-GAAP measure to the most directly comparable GAAP measure is set forth below.</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8 of 23</w:t>
      </w:r>
    </w:p>
    <w:p>
      <w:pPr>
        <w:sectPr>
          <w:pgSz w:w="11900" w:h="16838" w:orient="portrait"/>
          <w:cols w:equalWidth="0" w:num="1">
            <w:col w:w="11420"/>
          </w:cols>
          <w:pgMar w:left="240" w:top="580"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color w:val="auto"/>
        </w:rPr>
        <w:t>Safe Harbor Statement</w:t>
      </w:r>
    </w:p>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Certain statements contained herein, regarding matters that are not historical facts, may be forward-looking statements (as defined in the Private Securities Litigation Reform Act of 1995). Such forward-looking statements include statements regarding management’s intentions, plans, beliefs, expectations or forecasts for the future, including, among other things, future operating results and financial performance, product development and launches, integration strategies and resulting cost reduction, market position and business strategy. Words such as “may,” “will,” “could,” “expect,” “plan,” “anticipate,” “intend,” “believe,” “estimate,” “assume,” “continue,” and similar words are intended to identify estimates and forward-looking statements.</w:t>
      </w:r>
    </w:p>
    <w:p>
      <w:pPr>
        <w:spacing w:after="0" w:line="158"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The reader is cautioned not to rely on these forward-looking statements. These forward-looking statements are based on current expectations of future events. If the underlying assumptions prove inaccurate or known or unknown risks or uncertainties materialize, actual results could vary materially from the expectations and projections of Amneal Pharmaceuticals, Inc. (the “Company”). Such risks and uncertainties include, but are not limited to: our ability to integrate the operations of Amneal Pharmaceuticals LLC and Impax Laboratories, LLC pursuant to the business combination completed on May 4, 2018, and our ability to realize the anticipated synergies and other benefits of the combination; our ability to successfully develop and commercialize new products; our ability to obtain exclusive marketing rights for our products and to introduce products on a timely basis; the competition we face in the pharmaceutical industry from brand and generic drug product companies, and the impact of that competition on our ability to set prices; our ability to manage our growth; our dependence on the sales of a limited number of products for a substantial portion of our total revenues; the risk of product liability and other claims against us by consumers and other third parties; risks related to changes in the regulatory environment, including United States federal and state laws related to healthcare fraud abuse and health information privacy and security and changes in such laws; changes to FDA product approval requirements; risks related to federal regulation of arrangements between manufacturers of branded and generic products; the impact of healthcare reform and changes in coverage and reimbursement levels by governmental authorities and other third-party payers; the continuing trend of consolidation of certain customer groups; our reliance on certain licenses to proprietary technologies from time to time; our dependence on third party suppliers and distributors for raw materials for our products and certain finished goods; the impact of global economic conditions; our dependence on third party agreements for a portion of our product offerings; our ability to make acquisitions of or investments in complementary businesses and products on advantageous terms; legal, regulatory and legislative efforts by our brand competitors to deter competition from our generic alternatives; the significant amount of resources we expend on research and development; our substantial amount of indebtedness and our ability to generate sufficient cash to service our indebtedness in the future, and the impact of interest rate fluctuations on such indebtedness; the high concentration of ownership of our Class A Common Stock and the fact that we are controlled by a group of stockholders. A further list and descriptions of these risks, uncertainties and other factors can be found in the Company’s most recently filed Annual Report on Form 10-K for the fiscal year ended December 31, 2018, as supplemented by any subsequently filed Quarterly Reports on Form 10-Q. Copies of these filings are available online at www.sec.gov, www.amneal.com or on request from the Company.</w:t>
      </w:r>
    </w:p>
    <w:p>
      <w:pPr>
        <w:spacing w:after="0" w:line="18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Forward-looking statements included herein speak only as of the date hereof and we undertake no obligation to revise or update such statements to reflect the occurrence of events or circumstances after the date hereof.</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Trademarks referenced herein are the property of their respective owner.</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9 of 23</w:t>
      </w:r>
    </w:p>
    <w:p>
      <w:pPr>
        <w:sectPr>
          <w:pgSz w:w="11900" w:h="16838" w:orient="portrait"/>
          <w:cols w:equalWidth="0" w:num="1">
            <w:col w:w="11420"/>
          </w:cols>
          <w:pgMar w:left="240" w:top="364" w:right="239" w:bottom="1440" w:gutter="0" w:footer="0" w:header="0"/>
        </w:sectPr>
      </w:pPr>
    </w:p>
    <w:bookmarkStart w:id="12" w:name="page13"/>
    <w:bookmarkEnd w:id="12"/>
    <w:p>
      <w:pPr>
        <w:jc w:val="center"/>
        <w:ind w:right="4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940" w:type="dxa"/>
            <w:vAlign w:val="bottom"/>
          </w:tcPr>
          <w:p>
            <w:pPr>
              <w:spacing w:after="0"/>
              <w:rPr>
                <w:sz w:val="18"/>
                <w:szCs w:val="18"/>
                <w:color w:val="auto"/>
              </w:rPr>
            </w:pPr>
          </w:p>
        </w:tc>
        <w:tc>
          <w:tcPr>
            <w:tcW w:w="2300" w:type="dxa"/>
            <w:vAlign w:val="bottom"/>
            <w:gridSpan w:val="6"/>
          </w:tcPr>
          <w:p>
            <w:pPr>
              <w:ind w:left="60"/>
              <w:spacing w:after="0"/>
              <w:rPr>
                <w:sz w:val="20"/>
                <w:szCs w:val="20"/>
                <w:color w:val="auto"/>
              </w:rPr>
            </w:pPr>
            <w:r>
              <w:rPr>
                <w:rFonts w:ascii="Arial" w:cs="Arial" w:eastAsia="Arial" w:hAnsi="Arial"/>
                <w:sz w:val="16"/>
                <w:szCs w:val="16"/>
                <w:b w:val="1"/>
                <w:bCs w:val="1"/>
                <w:color w:val="auto"/>
                <w:w w:val="97"/>
              </w:rPr>
              <w:t>Three Months Ended June 30,</w:t>
            </w:r>
          </w:p>
        </w:tc>
        <w:tc>
          <w:tcPr>
            <w:tcW w:w="120" w:type="dxa"/>
            <w:vAlign w:val="bottom"/>
          </w:tcPr>
          <w:p>
            <w:pPr>
              <w:spacing w:after="0"/>
              <w:rPr>
                <w:sz w:val="18"/>
                <w:szCs w:val="18"/>
                <w:color w:val="auto"/>
              </w:rPr>
            </w:pPr>
          </w:p>
        </w:tc>
        <w:tc>
          <w:tcPr>
            <w:tcW w:w="2020" w:type="dxa"/>
            <w:vAlign w:val="bottom"/>
            <w:gridSpan w:val="4"/>
          </w:tcPr>
          <w:p>
            <w:pPr>
              <w:jc w:val="right"/>
              <w:ind w:right="19"/>
              <w:spacing w:after="0"/>
              <w:rPr>
                <w:sz w:val="20"/>
                <w:szCs w:val="20"/>
                <w:color w:val="auto"/>
              </w:rPr>
            </w:pPr>
            <w:r>
              <w:rPr>
                <w:rFonts w:ascii="Arial" w:cs="Arial" w:eastAsia="Arial" w:hAnsi="Arial"/>
                <w:sz w:val="16"/>
                <w:szCs w:val="16"/>
                <w:b w:val="1"/>
                <w:bCs w:val="1"/>
                <w:color w:val="auto"/>
                <w:w w:val="91"/>
              </w:rPr>
              <w:t>Six Months Ended June 30,</w:t>
            </w:r>
          </w:p>
        </w:tc>
        <w:tc>
          <w:tcPr>
            <w:tcW w:w="0" w:type="dxa"/>
            <w:vAlign w:val="bottom"/>
          </w:tcPr>
          <w:p>
            <w:pPr>
              <w:spacing w:after="0"/>
              <w:rPr>
                <w:sz w:val="1"/>
                <w:szCs w:val="1"/>
                <w:color w:val="auto"/>
              </w:rPr>
            </w:pPr>
          </w:p>
        </w:tc>
      </w:tr>
      <w:tr>
        <w:trPr>
          <w:trHeight w:val="33"/>
        </w:trPr>
        <w:tc>
          <w:tcPr>
            <w:tcW w:w="69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9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jc w:val="right"/>
              <w:ind w:right="299"/>
              <w:spacing w:after="0"/>
              <w:rPr>
                <w:sz w:val="20"/>
                <w:szCs w:val="20"/>
                <w:color w:val="auto"/>
              </w:rPr>
            </w:pPr>
            <w:r>
              <w:rPr>
                <w:rFonts w:ascii="Arial" w:cs="Arial" w:eastAsia="Arial" w:hAnsi="Arial"/>
                <w:sz w:val="16"/>
                <w:szCs w:val="16"/>
                <w:b w:val="1"/>
                <w:bCs w:val="1"/>
                <w:color w:val="auto"/>
              </w:rPr>
              <w:t>2019</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79"/>
              <w:spacing w:after="0"/>
              <w:rPr>
                <w:sz w:val="20"/>
                <w:szCs w:val="20"/>
                <w:color w:val="auto"/>
              </w:rPr>
            </w:pPr>
            <w:r>
              <w:rPr>
                <w:rFonts w:ascii="Arial" w:cs="Arial" w:eastAsia="Arial" w:hAnsi="Arial"/>
                <w:sz w:val="16"/>
                <w:szCs w:val="16"/>
                <w:b w:val="1"/>
                <w:bCs w:val="1"/>
                <w:color w:val="auto"/>
              </w:rPr>
              <w:t>2018</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jc w:val="right"/>
              <w:ind w:right="259"/>
              <w:spacing w:after="0"/>
              <w:rPr>
                <w:sz w:val="20"/>
                <w:szCs w:val="20"/>
                <w:color w:val="auto"/>
              </w:rPr>
            </w:pPr>
            <w:r>
              <w:rPr>
                <w:rFonts w:ascii="Arial" w:cs="Arial" w:eastAsia="Arial" w:hAnsi="Arial"/>
                <w:sz w:val="16"/>
                <w:szCs w:val="16"/>
                <w:b w:val="1"/>
                <w:bCs w:val="1"/>
                <w:color w:val="auto"/>
              </w:rPr>
              <w:t>2019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259"/>
              <w:spacing w:after="0"/>
              <w:rPr>
                <w:sz w:val="20"/>
                <w:szCs w:val="20"/>
                <w:color w:val="auto"/>
              </w:rPr>
            </w:pPr>
            <w:r>
              <w:rPr>
                <w:rFonts w:ascii="Arial" w:cs="Arial" w:eastAsia="Arial" w:hAnsi="Arial"/>
                <w:sz w:val="16"/>
                <w:szCs w:val="16"/>
                <w:b w:val="1"/>
                <w:bCs w:val="1"/>
                <w:color w:val="auto"/>
              </w:rPr>
              <w:t>2018</w:t>
            </w:r>
          </w:p>
        </w:tc>
        <w:tc>
          <w:tcPr>
            <w:tcW w:w="0" w:type="dxa"/>
            <w:vAlign w:val="bottom"/>
          </w:tcPr>
          <w:p>
            <w:pPr>
              <w:spacing w:after="0"/>
              <w:rPr>
                <w:sz w:val="1"/>
                <w:szCs w:val="1"/>
                <w:color w:val="auto"/>
              </w:rPr>
            </w:pPr>
          </w:p>
        </w:tc>
      </w:tr>
      <w:tr>
        <w:trPr>
          <w:trHeight w:val="33"/>
        </w:trPr>
        <w:tc>
          <w:tcPr>
            <w:tcW w:w="6940" w:type="dxa"/>
            <w:vAlign w:val="bottom"/>
            <w:vMerge w:val="restart"/>
          </w:tcPr>
          <w:p>
            <w:pPr>
              <w:spacing w:after="0"/>
              <w:rPr>
                <w:sz w:val="20"/>
                <w:szCs w:val="20"/>
                <w:color w:val="auto"/>
              </w:rPr>
            </w:pPr>
            <w:r>
              <w:rPr>
                <w:rFonts w:ascii="Arial" w:cs="Arial" w:eastAsia="Arial" w:hAnsi="Arial"/>
                <w:sz w:val="16"/>
                <w:szCs w:val="16"/>
                <w:b w:val="1"/>
                <w:bCs w:val="1"/>
                <w:color w:val="auto"/>
              </w:rPr>
              <w:t>Net revenue</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vMerge w:val="continue"/>
          </w:tcPr>
          <w:p>
            <w:pPr>
              <w:spacing w:after="0"/>
              <w:rPr>
                <w:sz w:val="18"/>
                <w:szCs w:val="18"/>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404,642</w:t>
            </w:r>
          </w:p>
        </w:tc>
        <w:tc>
          <w:tcPr>
            <w:tcW w:w="12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413,787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850,762</w:t>
            </w:r>
          </w:p>
        </w:tc>
        <w:tc>
          <w:tcPr>
            <w:tcW w:w="100" w:type="dxa"/>
            <w:vAlign w:val="bottom"/>
          </w:tcPr>
          <w:p>
            <w:pPr>
              <w:spacing w:after="0"/>
              <w:rPr>
                <w:sz w:val="18"/>
                <w:szCs w:val="18"/>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688,976</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Cost of goods sold</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296,381</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235,492</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606,124</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366,086</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Cost of goods sold impairment charges</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3,012</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56,309</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694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Gross profit</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105,249</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178,295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188,329</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322,890</w:t>
            </w:r>
          </w:p>
        </w:tc>
        <w:tc>
          <w:tcPr>
            <w:tcW w:w="0" w:type="dxa"/>
            <w:vAlign w:val="bottom"/>
          </w:tcPr>
          <w:p>
            <w:pPr>
              <w:spacing w:after="0"/>
              <w:rPr>
                <w:sz w:val="1"/>
                <w:szCs w:val="1"/>
                <w:color w:val="auto"/>
              </w:rPr>
            </w:pPr>
          </w:p>
        </w:tc>
      </w:tr>
      <w:tr>
        <w:trPr>
          <w:trHeight w:val="33"/>
        </w:trPr>
        <w:tc>
          <w:tcPr>
            <w:tcW w:w="69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tcPr>
          <w:p>
            <w:pPr>
              <w:spacing w:after="0"/>
              <w:rPr>
                <w:sz w:val="18"/>
                <w:szCs w:val="18"/>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67,281</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56,003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151,717</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81,124</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48,016</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50,335</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101,874</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94,544</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In-process research and development impairment charges</w:t>
            </w:r>
          </w:p>
        </w:tc>
        <w:tc>
          <w:tcPr>
            <w:tcW w:w="240" w:type="dxa"/>
            <w:vAlign w:val="bottom"/>
          </w:tcPr>
          <w:p>
            <w:pPr>
              <w:spacing w:after="0"/>
              <w:rPr>
                <w:sz w:val="23"/>
                <w:szCs w:val="2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22,787</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Acquisition, transaction-related and integration expenses</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3,519</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207,507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9,551</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214,642</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2,835</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8,996</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Legal settlement gains</w:t>
            </w:r>
          </w:p>
        </w:tc>
        <w:tc>
          <w:tcPr>
            <w:tcW w:w="240" w:type="dxa"/>
            <w:vAlign w:val="bottom"/>
          </w:tcPr>
          <w:p>
            <w:pPr>
              <w:spacing w:after="0"/>
              <w:rPr>
                <w:sz w:val="23"/>
                <w:szCs w:val="2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(3,000)</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Intellectual property legal development expenses</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2,511</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4,047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6,677</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8,623</w:t>
            </w:r>
          </w:p>
        </w:tc>
        <w:tc>
          <w:tcPr>
            <w:tcW w:w="0" w:type="dxa"/>
            <w:vAlign w:val="bottom"/>
          </w:tcPr>
          <w:p>
            <w:pPr>
              <w:spacing w:after="0"/>
              <w:rPr>
                <w:sz w:val="1"/>
                <w:szCs w:val="1"/>
                <w:color w:val="auto"/>
              </w:rPr>
            </w:pPr>
          </w:p>
        </w:tc>
      </w:tr>
      <w:tr>
        <w:trPr>
          <w:trHeight w:val="33"/>
        </w:trPr>
        <w:tc>
          <w:tcPr>
            <w:tcW w:w="6940" w:type="dxa"/>
            <w:vAlign w:val="bottom"/>
            <w:vMerge w:val="restart"/>
          </w:tcPr>
          <w:p>
            <w:pPr>
              <w:ind w:left="460"/>
              <w:spacing w:after="0"/>
              <w:rPr>
                <w:sz w:val="20"/>
                <w:szCs w:val="20"/>
                <w:color w:val="auto"/>
              </w:rPr>
            </w:pPr>
            <w:r>
              <w:rPr>
                <w:rFonts w:ascii="Arial" w:cs="Arial" w:eastAsia="Arial" w:hAnsi="Arial"/>
                <w:sz w:val="16"/>
                <w:szCs w:val="16"/>
                <w:b w:val="1"/>
                <w:bCs w:val="1"/>
                <w:color w:val="auto"/>
              </w:rPr>
              <w:t>Operating loss</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(18,913)</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(181,062)</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(113,273)</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(117,508 )</w:t>
            </w:r>
          </w:p>
        </w:tc>
        <w:tc>
          <w:tcPr>
            <w:tcW w:w="0" w:type="dxa"/>
            <w:vAlign w:val="bottom"/>
          </w:tcPr>
          <w:p>
            <w:pPr>
              <w:spacing w:after="0"/>
              <w:rPr>
                <w:sz w:val="1"/>
                <w:szCs w:val="1"/>
                <w:color w:val="auto"/>
              </w:rPr>
            </w:pPr>
          </w:p>
        </w:tc>
      </w:tr>
      <w:tr>
        <w:trPr>
          <w:trHeight w:val="33"/>
        </w:trPr>
        <w:tc>
          <w:tcPr>
            <w:tcW w:w="6940" w:type="dxa"/>
            <w:vAlign w:val="bottom"/>
            <w:vMerge w:val="restart"/>
          </w:tcPr>
          <w:p>
            <w:pPr>
              <w:spacing w:after="0"/>
              <w:rPr>
                <w:sz w:val="20"/>
                <w:szCs w:val="20"/>
                <w:color w:val="auto"/>
              </w:rPr>
            </w:pPr>
            <w:r>
              <w:rPr>
                <w:rFonts w:ascii="Arial" w:cs="Arial" w:eastAsia="Arial" w:hAnsi="Arial"/>
                <w:sz w:val="16"/>
                <w:szCs w:val="16"/>
                <w:color w:val="auto"/>
              </w:rPr>
              <w:t>Other (expense) income:</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694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6940" w:type="dxa"/>
            <w:vAlign w:val="bottom"/>
          </w:tcPr>
          <w:p>
            <w:pPr>
              <w:ind w:left="120"/>
              <w:spacing w:after="0"/>
              <w:rPr>
                <w:sz w:val="20"/>
                <w:szCs w:val="20"/>
                <w:color w:val="auto"/>
              </w:rPr>
            </w:pPr>
            <w:r>
              <w:rPr>
                <w:rFonts w:ascii="Arial" w:cs="Arial" w:eastAsia="Arial" w:hAnsi="Arial"/>
                <w:sz w:val="16"/>
                <w:szCs w:val="16"/>
                <w:color w:val="auto"/>
              </w:rPr>
              <w:t>Interest expense, net</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(43,886)</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(36,622)</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(87,167)</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(57,673)</w:t>
            </w:r>
          </w:p>
        </w:tc>
        <w:tc>
          <w:tcPr>
            <w:tcW w:w="0" w:type="dxa"/>
            <w:vAlign w:val="bottom"/>
          </w:tcPr>
          <w:p>
            <w:pPr>
              <w:spacing w:after="0"/>
              <w:rPr>
                <w:sz w:val="1"/>
                <w:szCs w:val="1"/>
                <w:color w:val="auto"/>
              </w:rPr>
            </w:pPr>
          </w:p>
        </w:tc>
      </w:tr>
      <w:tr>
        <w:trPr>
          <w:trHeight w:val="270"/>
        </w:trPr>
        <w:tc>
          <w:tcPr>
            <w:tcW w:w="6940" w:type="dxa"/>
            <w:vAlign w:val="bottom"/>
          </w:tcPr>
          <w:p>
            <w:pPr>
              <w:ind w:left="120"/>
              <w:spacing w:after="0"/>
              <w:rPr>
                <w:sz w:val="20"/>
                <w:szCs w:val="20"/>
                <w:color w:val="auto"/>
              </w:rPr>
            </w:pPr>
            <w:r>
              <w:rPr>
                <w:rFonts w:ascii="Arial" w:cs="Arial" w:eastAsia="Arial" w:hAnsi="Arial"/>
                <w:sz w:val="16"/>
                <w:szCs w:val="16"/>
                <w:color w:val="auto"/>
              </w:rPr>
              <w:t>Foreign exchange gain (loss), net</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8,311</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(25,946)</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2,847</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(17,381)</w:t>
            </w:r>
          </w:p>
        </w:tc>
        <w:tc>
          <w:tcPr>
            <w:tcW w:w="0" w:type="dxa"/>
            <w:vAlign w:val="bottom"/>
          </w:tcPr>
          <w:p>
            <w:pPr>
              <w:spacing w:after="0"/>
              <w:rPr>
                <w:sz w:val="1"/>
                <w:szCs w:val="1"/>
                <w:color w:val="auto"/>
              </w:rPr>
            </w:pPr>
          </w:p>
        </w:tc>
      </w:tr>
      <w:tr>
        <w:trPr>
          <w:trHeight w:val="270"/>
        </w:trPr>
        <w:tc>
          <w:tcPr>
            <w:tcW w:w="6940" w:type="dxa"/>
            <w:vAlign w:val="bottom"/>
          </w:tcPr>
          <w:p>
            <w:pPr>
              <w:ind w:left="120"/>
              <w:spacing w:after="0"/>
              <w:rPr>
                <w:sz w:val="20"/>
                <w:szCs w:val="20"/>
                <w:color w:val="auto"/>
              </w:rPr>
            </w:pPr>
            <w:r>
              <w:rPr>
                <w:rFonts w:ascii="Arial" w:cs="Arial" w:eastAsia="Arial" w:hAnsi="Arial"/>
                <w:sz w:val="16"/>
                <w:szCs w:val="16"/>
                <w:color w:val="auto"/>
              </w:rPr>
              <w:t>Loss on extinguishment of debt</w:t>
            </w:r>
          </w:p>
        </w:tc>
        <w:tc>
          <w:tcPr>
            <w:tcW w:w="240" w:type="dxa"/>
            <w:vAlign w:val="bottom"/>
          </w:tcPr>
          <w:p>
            <w:pPr>
              <w:spacing w:after="0"/>
              <w:rPr>
                <w:sz w:val="23"/>
                <w:szCs w:val="2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(19,667)</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270"/>
        </w:trPr>
        <w:tc>
          <w:tcPr>
            <w:tcW w:w="6940" w:type="dxa"/>
            <w:vAlign w:val="bottom"/>
          </w:tcPr>
          <w:p>
            <w:pPr>
              <w:ind w:left="120"/>
              <w:spacing w:after="0"/>
              <w:rPr>
                <w:sz w:val="20"/>
                <w:szCs w:val="20"/>
                <w:color w:val="auto"/>
              </w:rPr>
            </w:pPr>
            <w:r>
              <w:rPr>
                <w:rFonts w:ascii="Arial" w:cs="Arial" w:eastAsia="Arial" w:hAnsi="Arial"/>
                <w:sz w:val="16"/>
                <w:szCs w:val="16"/>
                <w:color w:val="auto"/>
              </w:rPr>
              <w:t>(Loss) gain on sale of international businesses, net</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(1,888)</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6940" w:type="dxa"/>
            <w:vAlign w:val="bottom"/>
          </w:tcPr>
          <w:p>
            <w:pPr>
              <w:ind w:left="120"/>
              <w:spacing w:after="0"/>
              <w:rPr>
                <w:sz w:val="20"/>
                <w:szCs w:val="20"/>
                <w:color w:val="auto"/>
              </w:rPr>
            </w:pPr>
            <w:r>
              <w:rPr>
                <w:rFonts w:ascii="Arial" w:cs="Arial" w:eastAsia="Arial" w:hAnsi="Arial"/>
                <w:sz w:val="16"/>
                <w:szCs w:val="16"/>
                <w:color w:val="auto"/>
              </w:rPr>
              <w:t>Other income, net</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149</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791</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1,256</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1,739</w:t>
            </w:r>
          </w:p>
        </w:tc>
        <w:tc>
          <w:tcPr>
            <w:tcW w:w="0" w:type="dxa"/>
            <w:vAlign w:val="bottom"/>
          </w:tcPr>
          <w:p>
            <w:pPr>
              <w:spacing w:after="0"/>
              <w:rPr>
                <w:sz w:val="1"/>
                <w:szCs w:val="1"/>
                <w:color w:val="auto"/>
              </w:rPr>
            </w:pPr>
          </w:p>
        </w:tc>
      </w:tr>
      <w:tr>
        <w:trPr>
          <w:trHeight w:val="33"/>
        </w:trPr>
        <w:tc>
          <w:tcPr>
            <w:tcW w:w="6940" w:type="dxa"/>
            <w:vAlign w:val="bottom"/>
            <w:vMerge w:val="restart"/>
          </w:tcPr>
          <w:p>
            <w:pPr>
              <w:spacing w:after="0"/>
              <w:rPr>
                <w:sz w:val="20"/>
                <w:szCs w:val="20"/>
                <w:color w:val="auto"/>
              </w:rPr>
            </w:pPr>
            <w:r>
              <w:rPr>
                <w:rFonts w:ascii="Arial" w:cs="Arial" w:eastAsia="Arial" w:hAnsi="Arial"/>
                <w:sz w:val="16"/>
                <w:szCs w:val="16"/>
                <w:b w:val="1"/>
                <w:bCs w:val="1"/>
                <w:color w:val="auto"/>
              </w:rPr>
              <w:t>Total other expense, net</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(37,314)</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(81,444)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(76,134)</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(92,982)</w:t>
            </w:r>
          </w:p>
        </w:tc>
        <w:tc>
          <w:tcPr>
            <w:tcW w:w="0" w:type="dxa"/>
            <w:vAlign w:val="bottom"/>
          </w:tcPr>
          <w:p>
            <w:pPr>
              <w:spacing w:after="0"/>
              <w:rPr>
                <w:sz w:val="1"/>
                <w:szCs w:val="1"/>
                <w:color w:val="auto"/>
              </w:rPr>
            </w:pPr>
          </w:p>
        </w:tc>
      </w:tr>
      <w:tr>
        <w:trPr>
          <w:trHeight w:val="33"/>
        </w:trPr>
        <w:tc>
          <w:tcPr>
            <w:tcW w:w="69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(56,227)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(262,506)</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(189,407)</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(210,490)</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Benefit from income taxes</w:t>
            </w:r>
          </w:p>
        </w:tc>
        <w:tc>
          <w:tcPr>
            <w:tcW w:w="2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(5,701)</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(12,416)</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(14,129)</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(12,052)</w:t>
            </w:r>
          </w:p>
        </w:tc>
        <w:tc>
          <w:tcPr>
            <w:tcW w:w="0" w:type="dxa"/>
            <w:vAlign w:val="bottom"/>
          </w:tcPr>
          <w:p>
            <w:pPr>
              <w:spacing w:after="0"/>
              <w:rPr>
                <w:sz w:val="1"/>
                <w:szCs w:val="1"/>
                <w:color w:val="auto"/>
              </w:rPr>
            </w:pPr>
          </w:p>
        </w:tc>
      </w:tr>
      <w:tr>
        <w:trPr>
          <w:trHeight w:val="33"/>
        </w:trPr>
        <w:tc>
          <w:tcPr>
            <w:tcW w:w="694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694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(50,526)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(250,090)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(175,278)</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(198,438)</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Less: Net loss attributable to Amneal Pharmaceuticals LLC pre-Combination</w:t>
            </w:r>
          </w:p>
        </w:tc>
        <w:tc>
          <w:tcPr>
            <w:tcW w:w="240" w:type="dxa"/>
            <w:vAlign w:val="bottom"/>
          </w:tcPr>
          <w:p>
            <w:pPr>
              <w:spacing w:after="0"/>
              <w:rPr>
                <w:sz w:val="23"/>
                <w:szCs w:val="2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200,341</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148,806</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Less: Net loss attributable to non-controlling interests</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33,624</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31,885</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110,495</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31,768</w:t>
            </w:r>
          </w:p>
        </w:tc>
        <w:tc>
          <w:tcPr>
            <w:tcW w:w="0" w:type="dxa"/>
            <w:vAlign w:val="bottom"/>
          </w:tcPr>
          <w:p>
            <w:pPr>
              <w:spacing w:after="0"/>
              <w:rPr>
                <w:sz w:val="1"/>
                <w:szCs w:val="1"/>
                <w:color w:val="auto"/>
              </w:rPr>
            </w:pPr>
          </w:p>
        </w:tc>
      </w:tr>
      <w:tr>
        <w:trPr>
          <w:trHeight w:val="33"/>
        </w:trPr>
        <w:tc>
          <w:tcPr>
            <w:tcW w:w="6940" w:type="dxa"/>
            <w:vAlign w:val="bottom"/>
            <w:vMerge w:val="restart"/>
          </w:tcPr>
          <w:p>
            <w:pPr>
              <w:spacing w:after="0"/>
              <w:rPr>
                <w:sz w:val="20"/>
                <w:szCs w:val="20"/>
                <w:color w:val="auto"/>
              </w:rPr>
            </w:pPr>
            <w:r>
              <w:rPr>
                <w:rFonts w:ascii="Arial" w:cs="Arial" w:eastAsia="Arial" w:hAnsi="Arial"/>
                <w:sz w:val="16"/>
                <w:szCs w:val="16"/>
                <w:color w:val="auto"/>
                <w:w w:val="97"/>
              </w:rPr>
              <w:t>Net loss attributable to Amneal Pharmaceuticals, Inc. before accretion of redeemable non-controlling</w:t>
            </w: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694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6940" w:type="dxa"/>
            <w:vAlign w:val="bottom"/>
          </w:tcPr>
          <w:p>
            <w:pPr>
              <w:spacing w:after="0"/>
              <w:rPr>
                <w:sz w:val="20"/>
                <w:szCs w:val="20"/>
                <w:color w:val="auto"/>
              </w:rPr>
            </w:pPr>
            <w:r>
              <w:rPr>
                <w:rFonts w:ascii="Arial" w:cs="Arial" w:eastAsia="Arial" w:hAnsi="Arial"/>
                <w:sz w:val="16"/>
                <w:szCs w:val="16"/>
                <w:color w:val="auto"/>
              </w:rPr>
              <w:t>interest</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(16,902)</w:t>
            </w: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(17,864)</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(64,783)</w:t>
            </w: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(17,864)</w:t>
            </w:r>
          </w:p>
        </w:tc>
        <w:tc>
          <w:tcPr>
            <w:tcW w:w="0" w:type="dxa"/>
            <w:vAlign w:val="bottom"/>
          </w:tcPr>
          <w:p>
            <w:pPr>
              <w:spacing w:after="0"/>
              <w:rPr>
                <w:sz w:val="1"/>
                <w:szCs w:val="1"/>
                <w:color w:val="auto"/>
              </w:rPr>
            </w:pPr>
          </w:p>
        </w:tc>
      </w:tr>
      <w:tr>
        <w:trPr>
          <w:trHeight w:val="270"/>
        </w:trPr>
        <w:tc>
          <w:tcPr>
            <w:tcW w:w="6940" w:type="dxa"/>
            <w:vAlign w:val="bottom"/>
          </w:tcPr>
          <w:p>
            <w:pPr>
              <w:spacing w:after="0"/>
              <w:rPr>
                <w:sz w:val="20"/>
                <w:szCs w:val="20"/>
                <w:color w:val="auto"/>
              </w:rPr>
            </w:pPr>
            <w:r>
              <w:rPr>
                <w:rFonts w:ascii="Arial" w:cs="Arial" w:eastAsia="Arial" w:hAnsi="Arial"/>
                <w:sz w:val="16"/>
                <w:szCs w:val="16"/>
                <w:color w:val="auto"/>
              </w:rPr>
              <w:t>Accretion of redeemable non-controlling interest</w:t>
            </w:r>
          </w:p>
        </w:tc>
        <w:tc>
          <w:tcPr>
            <w:tcW w:w="240" w:type="dxa"/>
            <w:vAlign w:val="bottom"/>
          </w:tcPr>
          <w:p>
            <w:pPr>
              <w:spacing w:after="0"/>
              <w:rPr>
                <w:sz w:val="23"/>
                <w:szCs w:val="23"/>
                <w:color w:val="auto"/>
              </w:rPr>
            </w:pPr>
          </w:p>
        </w:tc>
        <w:tc>
          <w:tcPr>
            <w:tcW w:w="94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(1,240)</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(1,240)</w:t>
            </w:r>
          </w:p>
        </w:tc>
        <w:tc>
          <w:tcPr>
            <w:tcW w:w="0" w:type="dxa"/>
            <w:vAlign w:val="bottom"/>
          </w:tcPr>
          <w:p>
            <w:pPr>
              <w:spacing w:after="0"/>
              <w:rPr>
                <w:sz w:val="1"/>
                <w:szCs w:val="1"/>
                <w:color w:val="auto"/>
              </w:rPr>
            </w:pPr>
          </w:p>
        </w:tc>
      </w:tr>
      <w:tr>
        <w:trPr>
          <w:trHeight w:val="33"/>
        </w:trPr>
        <w:tc>
          <w:tcPr>
            <w:tcW w:w="69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940" w:type="dxa"/>
            <w:vAlign w:val="bottom"/>
          </w:tcPr>
          <w:p>
            <w:pPr>
              <w:spacing w:after="0"/>
              <w:rPr>
                <w:sz w:val="20"/>
                <w:szCs w:val="20"/>
                <w:color w:val="auto"/>
              </w:rPr>
            </w:pPr>
            <w:r>
              <w:rPr>
                <w:rFonts w:ascii="Arial" w:cs="Arial" w:eastAsia="Arial" w:hAnsi="Arial"/>
                <w:sz w:val="16"/>
                <w:szCs w:val="16"/>
                <w:b w:val="1"/>
                <w:bCs w:val="1"/>
                <w:color w:val="auto"/>
              </w:rPr>
              <w:t>Net loss attributable to Amneal Pharmaceuticals, Inc.</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(16,902)</w:t>
            </w:r>
          </w:p>
        </w:tc>
        <w:tc>
          <w:tcPr>
            <w:tcW w:w="120" w:type="dxa"/>
            <w:vAlign w:val="bottom"/>
          </w:tcPr>
          <w:p>
            <w:pPr>
              <w:spacing w:after="0"/>
              <w:rPr>
                <w:sz w:val="21"/>
                <w:szCs w:val="21"/>
                <w:color w:val="auto"/>
              </w:rPr>
            </w:pP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(19,104)</w:t>
            </w: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(64,783)</w:t>
            </w:r>
          </w:p>
        </w:tc>
        <w:tc>
          <w:tcPr>
            <w:tcW w:w="100" w:type="dxa"/>
            <w:vAlign w:val="bottom"/>
          </w:tcPr>
          <w:p>
            <w:pPr>
              <w:spacing w:after="0"/>
              <w:rPr>
                <w:sz w:val="21"/>
                <w:szCs w:val="21"/>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(19,104)</w:t>
            </w:r>
          </w:p>
        </w:tc>
        <w:tc>
          <w:tcPr>
            <w:tcW w:w="0" w:type="dxa"/>
            <w:vAlign w:val="bottom"/>
          </w:tcPr>
          <w:p>
            <w:pPr>
              <w:spacing w:after="0"/>
              <w:rPr>
                <w:sz w:val="1"/>
                <w:szCs w:val="1"/>
                <w:color w:val="auto"/>
              </w:rPr>
            </w:pPr>
          </w:p>
        </w:tc>
      </w:tr>
      <w:tr>
        <w:trPr>
          <w:trHeight w:val="20"/>
        </w:trPr>
        <w:tc>
          <w:tcPr>
            <w:tcW w:w="6940" w:type="dxa"/>
            <w:vAlign w:val="bottom"/>
            <w:vMerge w:val="restart"/>
          </w:tcPr>
          <w:p>
            <w:pPr>
              <w:spacing w:after="0"/>
              <w:rPr>
                <w:sz w:val="20"/>
                <w:szCs w:val="20"/>
                <w:color w:val="auto"/>
              </w:rPr>
            </w:pPr>
            <w:r>
              <w:rPr>
                <w:rFonts w:ascii="Arial" w:cs="Arial" w:eastAsia="Arial" w:hAnsi="Arial"/>
                <w:sz w:val="16"/>
                <w:szCs w:val="16"/>
                <w:b w:val="1"/>
                <w:bCs w:val="1"/>
                <w:color w:val="auto"/>
              </w:rPr>
              <w:t>Net loss per share attributable to Amneal Pharmaceuticals, Inc.'s common stockholders:</w:t>
            </w: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1"/>
        </w:trPr>
        <w:tc>
          <w:tcPr>
            <w:tcW w:w="69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6940" w:type="dxa"/>
            <w:vAlign w:val="bottom"/>
          </w:tcPr>
          <w:p>
            <w:pPr>
              <w:ind w:left="200"/>
              <w:spacing w:after="0"/>
              <w:rPr>
                <w:sz w:val="20"/>
                <w:szCs w:val="20"/>
                <w:color w:val="auto"/>
              </w:rPr>
            </w:pPr>
            <w:r>
              <w:rPr>
                <w:rFonts w:ascii="Arial" w:cs="Arial" w:eastAsia="Arial" w:hAnsi="Arial"/>
                <w:sz w:val="16"/>
                <w:szCs w:val="16"/>
                <w:color w:val="auto"/>
              </w:rPr>
              <w:t>Class A and Class B-1 basic and diluted</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(0.13)</w:t>
            </w:r>
          </w:p>
        </w:tc>
        <w:tc>
          <w:tcPr>
            <w:tcW w:w="120" w:type="dxa"/>
            <w:vAlign w:val="bottom"/>
          </w:tcPr>
          <w:p>
            <w:pPr>
              <w:spacing w:after="0"/>
              <w:rPr>
                <w:sz w:val="24"/>
                <w:szCs w:val="24"/>
                <w:color w:val="auto"/>
              </w:rPr>
            </w:pPr>
          </w:p>
        </w:tc>
        <w:tc>
          <w:tcPr>
            <w:tcW w:w="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(0.15)</w:t>
            </w:r>
          </w:p>
        </w:tc>
        <w:tc>
          <w:tcPr>
            <w:tcW w:w="100" w:type="dxa"/>
            <w:vAlign w:val="bottom"/>
          </w:tcPr>
          <w:p>
            <w:pPr>
              <w:spacing w:after="0"/>
              <w:rPr>
                <w:sz w:val="24"/>
                <w:szCs w:val="24"/>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(0.51)</w:t>
            </w:r>
          </w:p>
        </w:tc>
        <w:tc>
          <w:tcPr>
            <w:tcW w:w="100" w:type="dxa"/>
            <w:vAlign w:val="bottom"/>
          </w:tcPr>
          <w:p>
            <w:pPr>
              <w:spacing w:after="0"/>
              <w:rPr>
                <w:sz w:val="24"/>
                <w:szCs w:val="24"/>
                <w:color w:val="auto"/>
              </w:rPr>
            </w:pP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(0.15)</w:t>
            </w:r>
          </w:p>
        </w:tc>
        <w:tc>
          <w:tcPr>
            <w:tcW w:w="0" w:type="dxa"/>
            <w:vAlign w:val="bottom"/>
          </w:tcPr>
          <w:p>
            <w:pPr>
              <w:spacing w:after="0"/>
              <w:rPr>
                <w:sz w:val="1"/>
                <w:szCs w:val="1"/>
                <w:color w:val="auto"/>
              </w:rPr>
            </w:pPr>
          </w:p>
        </w:tc>
      </w:tr>
      <w:tr>
        <w:trPr>
          <w:trHeight w:val="20"/>
        </w:trPr>
        <w:tc>
          <w:tcPr>
            <w:tcW w:w="6940" w:type="dxa"/>
            <w:vAlign w:val="bottom"/>
            <w:vMerge w:val="restart"/>
          </w:tcPr>
          <w:p>
            <w:pPr>
              <w:spacing w:after="0"/>
              <w:rPr>
                <w:sz w:val="20"/>
                <w:szCs w:val="20"/>
                <w:color w:val="auto"/>
              </w:rPr>
            </w:pPr>
            <w:r>
              <w:rPr>
                <w:rFonts w:ascii="Arial" w:cs="Arial" w:eastAsia="Arial" w:hAnsi="Arial"/>
                <w:sz w:val="16"/>
                <w:szCs w:val="16"/>
                <w:color w:val="auto"/>
              </w:rPr>
              <w:t>Weighted-average common shares outstanding:</w:t>
            </w: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1"/>
        </w:trPr>
        <w:tc>
          <w:tcPr>
            <w:tcW w:w="694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6940" w:type="dxa"/>
            <w:vAlign w:val="bottom"/>
          </w:tcPr>
          <w:p>
            <w:pPr>
              <w:ind w:left="200"/>
              <w:spacing w:after="0"/>
              <w:rPr>
                <w:sz w:val="20"/>
                <w:szCs w:val="20"/>
                <w:color w:val="auto"/>
              </w:rPr>
            </w:pPr>
            <w:r>
              <w:rPr>
                <w:rFonts w:ascii="Arial" w:cs="Arial" w:eastAsia="Arial" w:hAnsi="Arial"/>
                <w:sz w:val="16"/>
                <w:szCs w:val="16"/>
                <w:color w:val="auto"/>
              </w:rPr>
              <w:t>Class A and Class B-1 basic and diluted</w:t>
            </w:r>
          </w:p>
        </w:tc>
        <w:tc>
          <w:tcPr>
            <w:tcW w:w="240" w:type="dxa"/>
            <w:vAlign w:val="bottom"/>
          </w:tcPr>
          <w:p>
            <w:pPr>
              <w:spacing w:after="0"/>
              <w:rPr>
                <w:sz w:val="23"/>
                <w:szCs w:val="23"/>
                <w:color w:val="auto"/>
              </w:rPr>
            </w:pPr>
          </w:p>
        </w:tc>
        <w:tc>
          <w:tcPr>
            <w:tcW w:w="820" w:type="dxa"/>
            <w:vAlign w:val="bottom"/>
          </w:tcPr>
          <w:p>
            <w:pPr>
              <w:jc w:val="right"/>
              <w:ind w:right="59"/>
              <w:spacing w:after="0"/>
              <w:rPr>
                <w:sz w:val="20"/>
                <w:szCs w:val="20"/>
                <w:color w:val="auto"/>
              </w:rPr>
            </w:pPr>
            <w:r>
              <w:rPr>
                <w:rFonts w:ascii="Arial" w:cs="Arial" w:eastAsia="Arial" w:hAnsi="Arial"/>
                <w:sz w:val="16"/>
                <w:szCs w:val="16"/>
                <w:color w:val="auto"/>
              </w:rPr>
              <w:t>128,016</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127,112</w:t>
            </w:r>
          </w:p>
        </w:tc>
        <w:tc>
          <w:tcPr>
            <w:tcW w:w="1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900" w:type="dxa"/>
            <w:vAlign w:val="bottom"/>
          </w:tcPr>
          <w:p>
            <w:pPr>
              <w:jc w:val="right"/>
              <w:ind w:right="19"/>
              <w:spacing w:after="0"/>
              <w:rPr>
                <w:sz w:val="20"/>
                <w:szCs w:val="20"/>
                <w:color w:val="auto"/>
              </w:rPr>
            </w:pPr>
            <w:r>
              <w:rPr>
                <w:rFonts w:ascii="Arial" w:cs="Arial" w:eastAsia="Arial" w:hAnsi="Arial"/>
                <w:sz w:val="16"/>
                <w:szCs w:val="16"/>
                <w:color w:val="auto"/>
              </w:rPr>
              <w:t>127,852</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127,112</w:t>
            </w:r>
          </w:p>
        </w:tc>
        <w:tc>
          <w:tcPr>
            <w:tcW w:w="0" w:type="dxa"/>
            <w:vAlign w:val="bottom"/>
          </w:tcPr>
          <w:p>
            <w:pPr>
              <w:spacing w:after="0"/>
              <w:rPr>
                <w:sz w:val="1"/>
                <w:szCs w:val="1"/>
                <w:color w:val="auto"/>
              </w:rPr>
            </w:pPr>
          </w:p>
        </w:tc>
      </w:tr>
    </w:tbl>
    <w:p>
      <w:pPr>
        <w:spacing w:after="0" w:line="257"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Page 10 of 23</w:t>
      </w:r>
    </w:p>
    <w:p>
      <w:pPr>
        <w:sectPr>
          <w:pgSz w:w="11900" w:h="16838" w:orient="portrait"/>
          <w:cols w:equalWidth="0" w:num="1">
            <w:col w:w="11380"/>
          </w:cols>
          <w:pgMar w:left="280" w:top="580" w:right="239" w:bottom="1440" w:gutter="0" w:footer="0" w:header="0"/>
        </w:sectPr>
      </w:pPr>
    </w:p>
    <w:bookmarkStart w:id="13" w:name="page14"/>
    <w:bookmarkEnd w:id="13"/>
    <w:p>
      <w:pPr>
        <w:jc w:val="center"/>
        <w:ind w:right="4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(Unaudited; In thousands)</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4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760" w:type="dxa"/>
            <w:vAlign w:val="bottom"/>
            <w:gridSpan w:val="2"/>
          </w:tcPr>
          <w:p>
            <w:pPr>
              <w:ind w:left="200"/>
              <w:spacing w:after="0"/>
              <w:rPr>
                <w:sz w:val="20"/>
                <w:szCs w:val="20"/>
                <w:color w:val="auto"/>
              </w:rPr>
            </w:pPr>
            <w:r>
              <w:rPr>
                <w:rFonts w:ascii="Arial" w:cs="Arial" w:eastAsia="Arial" w:hAnsi="Arial"/>
                <w:sz w:val="16"/>
                <w:szCs w:val="16"/>
                <w:b w:val="1"/>
                <w:bCs w:val="1"/>
                <w:color w:val="auto"/>
              </w:rPr>
              <w:t>June 30, 2019</w:t>
            </w:r>
          </w:p>
        </w:tc>
        <w:tc>
          <w:tcPr>
            <w:tcW w:w="200" w:type="dxa"/>
            <w:vAlign w:val="bottom"/>
          </w:tcPr>
          <w:p>
            <w:pPr>
              <w:spacing w:after="0"/>
              <w:rPr>
                <w:sz w:val="18"/>
                <w:szCs w:val="18"/>
                <w:color w:val="auto"/>
              </w:rPr>
            </w:pPr>
          </w:p>
        </w:tc>
        <w:tc>
          <w:tcPr>
            <w:tcW w:w="1720" w:type="dxa"/>
            <w:vAlign w:val="bottom"/>
          </w:tcPr>
          <w:p>
            <w:pPr>
              <w:jc w:val="right"/>
              <w:ind w:right="219"/>
              <w:spacing w:after="0"/>
              <w:rPr>
                <w:sz w:val="20"/>
                <w:szCs w:val="20"/>
                <w:color w:val="auto"/>
              </w:rPr>
            </w:pPr>
            <w:r>
              <w:rPr>
                <w:rFonts w:ascii="Arial" w:cs="Arial" w:eastAsia="Arial" w:hAnsi="Arial"/>
                <w:sz w:val="16"/>
                <w:szCs w:val="16"/>
                <w:b w:val="1"/>
                <w:bCs w:val="1"/>
                <w:color w:val="auto"/>
                <w:w w:val="97"/>
              </w:rPr>
              <w:t>December 31, 2018</w:t>
            </w:r>
          </w:p>
        </w:tc>
        <w:tc>
          <w:tcPr>
            <w:tcW w:w="0" w:type="dxa"/>
            <w:vAlign w:val="bottom"/>
          </w:tcPr>
          <w:p>
            <w:pPr>
              <w:spacing w:after="0"/>
              <w:rPr>
                <w:sz w:val="1"/>
                <w:szCs w:val="1"/>
                <w:color w:val="auto"/>
              </w:rPr>
            </w:pPr>
          </w:p>
        </w:tc>
      </w:tr>
      <w:tr>
        <w:trPr>
          <w:trHeight w:val="33"/>
        </w:trPr>
        <w:tc>
          <w:tcPr>
            <w:tcW w:w="7400" w:type="dxa"/>
            <w:vAlign w:val="bottom"/>
            <w:vMerge w:val="restart"/>
          </w:tcPr>
          <w:p>
            <w:pPr>
              <w:spacing w:after="0"/>
              <w:rPr>
                <w:sz w:val="20"/>
                <w:szCs w:val="20"/>
                <w:color w:val="auto"/>
              </w:rPr>
            </w:pPr>
            <w:r>
              <w:rPr>
                <w:rFonts w:ascii="Arial" w:cs="Arial" w:eastAsia="Arial" w:hAnsi="Arial"/>
                <w:sz w:val="16"/>
                <w:szCs w:val="16"/>
                <w:b w:val="1"/>
                <w:bCs w:val="1"/>
                <w:color w:val="auto"/>
              </w:rPr>
              <w:t>Assets</w:t>
            </w: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740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7400" w:type="dxa"/>
            <w:vAlign w:val="bottom"/>
          </w:tcPr>
          <w:p>
            <w:pPr>
              <w:spacing w:after="0"/>
              <w:rPr>
                <w:sz w:val="20"/>
                <w:szCs w:val="20"/>
                <w:color w:val="auto"/>
              </w:rPr>
            </w:pPr>
            <w:r>
              <w:rPr>
                <w:rFonts w:ascii="Arial" w:cs="Arial" w:eastAsia="Arial" w:hAnsi="Arial"/>
                <w:sz w:val="16"/>
                <w:szCs w:val="16"/>
                <w:color w:val="auto"/>
              </w:rPr>
              <w:t>Current assets:</w:t>
            </w:r>
          </w:p>
        </w:tc>
        <w:tc>
          <w:tcPr>
            <w:tcW w:w="30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Cash and cash equivalents</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54,893</w:t>
            </w: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213,394</w:t>
            </w: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Restricted cash</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2,129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5,385</w:t>
            </w: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Trade accounts receivable, net</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634,666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481,495</w:t>
            </w: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Inventories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414,627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457,219</w:t>
            </w: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Prepaid expenses and other current assets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77,062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128,321</w:t>
            </w:r>
          </w:p>
        </w:tc>
        <w:tc>
          <w:tcPr>
            <w:tcW w:w="0" w:type="dxa"/>
            <w:vAlign w:val="bottom"/>
          </w:tcPr>
          <w:p>
            <w:pPr>
              <w:spacing w:after="0"/>
              <w:rPr>
                <w:sz w:val="1"/>
                <w:szCs w:val="1"/>
                <w:color w:val="auto"/>
              </w:rPr>
            </w:pPr>
          </w:p>
        </w:tc>
      </w:tr>
      <w:tr>
        <w:trPr>
          <w:trHeight w:val="257"/>
        </w:trPr>
        <w:tc>
          <w:tcPr>
            <w:tcW w:w="7400" w:type="dxa"/>
            <w:vAlign w:val="bottom"/>
          </w:tcPr>
          <w:p>
            <w:pPr>
              <w:ind w:left="160"/>
              <w:spacing w:after="0"/>
              <w:rPr>
                <w:sz w:val="20"/>
                <w:szCs w:val="20"/>
                <w:color w:val="auto"/>
              </w:rPr>
            </w:pPr>
            <w:r>
              <w:rPr>
                <w:rFonts w:ascii="Arial" w:cs="Arial" w:eastAsia="Arial" w:hAnsi="Arial"/>
                <w:sz w:val="16"/>
                <w:szCs w:val="16"/>
                <w:color w:val="auto"/>
              </w:rPr>
              <w:t>Related party receivables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2,470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830</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400" w:type="dxa"/>
            <w:vAlign w:val="bottom"/>
          </w:tcPr>
          <w:p>
            <w:pPr>
              <w:ind w:left="460"/>
              <w:spacing w:after="0"/>
              <w:rPr>
                <w:sz w:val="20"/>
                <w:szCs w:val="20"/>
                <w:color w:val="auto"/>
              </w:rPr>
            </w:pPr>
            <w:r>
              <w:rPr>
                <w:rFonts w:ascii="Arial" w:cs="Arial" w:eastAsia="Arial" w:hAnsi="Arial"/>
                <w:sz w:val="16"/>
                <w:szCs w:val="16"/>
                <w:color w:val="auto"/>
              </w:rPr>
              <w:t>Total current assets</w:t>
            </w:r>
          </w:p>
        </w:tc>
        <w:tc>
          <w:tcPr>
            <w:tcW w:w="300" w:type="dxa"/>
            <w:vAlign w:val="bottom"/>
          </w:tcPr>
          <w:p>
            <w:pPr>
              <w:spacing w:after="0"/>
              <w:rPr>
                <w:sz w:val="18"/>
                <w:szCs w:val="18"/>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1,185,847</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1,286,644</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74"/>
        </w:trPr>
        <w:tc>
          <w:tcPr>
            <w:tcW w:w="7400" w:type="dxa"/>
            <w:vAlign w:val="bottom"/>
          </w:tcPr>
          <w:p>
            <w:pPr>
              <w:spacing w:after="0"/>
              <w:rPr>
                <w:sz w:val="20"/>
                <w:szCs w:val="20"/>
                <w:color w:val="auto"/>
              </w:rPr>
            </w:pPr>
            <w:r>
              <w:rPr>
                <w:rFonts w:ascii="Arial" w:cs="Arial" w:eastAsia="Arial" w:hAnsi="Arial"/>
                <w:sz w:val="16"/>
                <w:szCs w:val="16"/>
                <w:color w:val="auto"/>
              </w:rPr>
              <w:t>Property, plant and equipment, net</w:t>
            </w:r>
          </w:p>
        </w:tc>
        <w:tc>
          <w:tcPr>
            <w:tcW w:w="300" w:type="dxa"/>
            <w:vAlign w:val="bottom"/>
          </w:tcPr>
          <w:p>
            <w:pPr>
              <w:spacing w:after="0"/>
              <w:rPr>
                <w:sz w:val="24"/>
                <w:szCs w:val="24"/>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508,086</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544,146</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Goodwill</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420,017</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426,226</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Intangible assets, net</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1,553,330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1,654,969</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Deferred tax asset, net</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391,881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373,159</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Operating lease right-of-use assets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59,900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Operating lease right-of-use assets - related party</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17,031</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Financing lease right-of-use assets - related party</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62,588</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Other assets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63,459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67,592</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Pr>
          <w:p>
            <w:pPr>
              <w:ind w:left="460"/>
              <w:spacing w:after="0"/>
              <w:rPr>
                <w:sz w:val="20"/>
                <w:szCs w:val="20"/>
                <w:color w:val="auto"/>
              </w:rPr>
            </w:pPr>
            <w:r>
              <w:rPr>
                <w:rFonts w:ascii="Arial" w:cs="Arial" w:eastAsia="Arial" w:hAnsi="Arial"/>
                <w:sz w:val="16"/>
                <w:szCs w:val="16"/>
                <w:color w:val="auto"/>
              </w:rPr>
              <w:t>Total assets</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4,262,139</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4,352,736</w:t>
            </w:r>
          </w:p>
        </w:tc>
        <w:tc>
          <w:tcPr>
            <w:tcW w:w="0" w:type="dxa"/>
            <w:vAlign w:val="bottom"/>
          </w:tcPr>
          <w:p>
            <w:pPr>
              <w:spacing w:after="0"/>
              <w:rPr>
                <w:sz w:val="1"/>
                <w:szCs w:val="1"/>
                <w:color w:val="auto"/>
              </w:rPr>
            </w:pPr>
          </w:p>
        </w:tc>
      </w:tr>
      <w:tr>
        <w:trPr>
          <w:trHeight w:val="20"/>
        </w:trPr>
        <w:tc>
          <w:tcPr>
            <w:tcW w:w="7400" w:type="dxa"/>
            <w:vAlign w:val="bottom"/>
            <w:vMerge w:val="restart"/>
          </w:tcPr>
          <w:p>
            <w:pPr>
              <w:spacing w:after="0"/>
              <w:rPr>
                <w:sz w:val="20"/>
                <w:szCs w:val="20"/>
                <w:color w:val="auto"/>
              </w:rPr>
            </w:pPr>
            <w:r>
              <w:rPr>
                <w:rFonts w:ascii="Arial" w:cs="Arial" w:eastAsia="Arial" w:hAnsi="Arial"/>
                <w:sz w:val="16"/>
                <w:szCs w:val="16"/>
                <w:b w:val="1"/>
                <w:bCs w:val="1"/>
                <w:color w:val="auto"/>
              </w:rPr>
              <w:t>Liabilities and Stockholders' Equity</w:t>
            </w:r>
          </w:p>
        </w:tc>
        <w:tc>
          <w:tcPr>
            <w:tcW w:w="3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7"/>
        </w:trPr>
        <w:tc>
          <w:tcPr>
            <w:tcW w:w="740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Current liabilities:</w:t>
            </w:r>
          </w:p>
        </w:tc>
        <w:tc>
          <w:tcPr>
            <w:tcW w:w="30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Accounts payable and accrued expenses</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505,143</w:t>
            </w:r>
          </w:p>
        </w:tc>
        <w:tc>
          <w:tcPr>
            <w:tcW w:w="100" w:type="dxa"/>
            <w:vAlign w:val="bottom"/>
          </w:tcPr>
          <w:p>
            <w:pPr>
              <w:spacing w:after="0"/>
              <w:rPr>
                <w:sz w:val="22"/>
                <w:szCs w:val="22"/>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514,440</w:t>
            </w: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Current portion of long-term debt, net</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21,445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21,449</w:t>
            </w: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Current portion of operating lease liabilities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13,313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Current portion of operating and financing lease liabilities - related party</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3,293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Related party payables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2,965</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17,695</w:t>
            </w:r>
          </w:p>
        </w:tc>
        <w:tc>
          <w:tcPr>
            <w:tcW w:w="0" w:type="dxa"/>
            <w:vAlign w:val="bottom"/>
          </w:tcPr>
          <w:p>
            <w:pPr>
              <w:spacing w:after="0"/>
              <w:rPr>
                <w:sz w:val="1"/>
                <w:szCs w:val="1"/>
                <w:color w:val="auto"/>
              </w:rPr>
            </w:pPr>
          </w:p>
        </w:tc>
      </w:tr>
      <w:tr>
        <w:trPr>
          <w:trHeight w:val="257"/>
        </w:trPr>
        <w:tc>
          <w:tcPr>
            <w:tcW w:w="7400" w:type="dxa"/>
            <w:vAlign w:val="bottom"/>
          </w:tcPr>
          <w:p>
            <w:pPr>
              <w:ind w:left="140"/>
              <w:spacing w:after="0"/>
              <w:rPr>
                <w:sz w:val="20"/>
                <w:szCs w:val="20"/>
                <w:color w:val="auto"/>
              </w:rPr>
            </w:pPr>
            <w:r>
              <w:rPr>
                <w:rFonts w:ascii="Arial" w:cs="Arial" w:eastAsia="Arial" w:hAnsi="Arial"/>
                <w:sz w:val="16"/>
                <w:szCs w:val="16"/>
                <w:color w:val="auto"/>
              </w:rPr>
              <w:t>Current portion of financing obligation - related party</w:t>
            </w:r>
          </w:p>
        </w:tc>
        <w:tc>
          <w:tcPr>
            <w:tcW w:w="300" w:type="dxa"/>
            <w:vAlign w:val="bottom"/>
          </w:tcPr>
          <w:p>
            <w:pPr>
              <w:spacing w:after="0"/>
              <w:rPr>
                <w:sz w:val="22"/>
                <w:szCs w:val="22"/>
                <w:color w:val="auto"/>
              </w:rPr>
            </w:pPr>
          </w:p>
        </w:tc>
        <w:tc>
          <w:tcPr>
            <w:tcW w:w="17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266</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400" w:type="dxa"/>
            <w:vAlign w:val="bottom"/>
          </w:tcPr>
          <w:p>
            <w:pPr>
              <w:ind w:left="460"/>
              <w:spacing w:after="0"/>
              <w:rPr>
                <w:sz w:val="20"/>
                <w:szCs w:val="20"/>
                <w:color w:val="auto"/>
              </w:rPr>
            </w:pPr>
            <w:r>
              <w:rPr>
                <w:rFonts w:ascii="Arial" w:cs="Arial" w:eastAsia="Arial" w:hAnsi="Arial"/>
                <w:sz w:val="16"/>
                <w:szCs w:val="16"/>
                <w:color w:val="auto"/>
              </w:rPr>
              <w:t>Total current liabilities</w:t>
            </w:r>
          </w:p>
        </w:tc>
        <w:tc>
          <w:tcPr>
            <w:tcW w:w="300" w:type="dxa"/>
            <w:vAlign w:val="bottom"/>
          </w:tcPr>
          <w:p>
            <w:pPr>
              <w:spacing w:after="0"/>
              <w:rPr>
                <w:sz w:val="18"/>
                <w:szCs w:val="18"/>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546,159</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553,850</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400" w:type="dxa"/>
            <w:vAlign w:val="bottom"/>
          </w:tcPr>
          <w:p>
            <w:pPr>
              <w:spacing w:after="0"/>
              <w:rPr>
                <w:sz w:val="20"/>
                <w:szCs w:val="20"/>
                <w:color w:val="auto"/>
              </w:rPr>
            </w:pPr>
            <w:r>
              <w:rPr>
                <w:rFonts w:ascii="Arial" w:cs="Arial" w:eastAsia="Arial" w:hAnsi="Arial"/>
                <w:sz w:val="16"/>
                <w:szCs w:val="16"/>
                <w:color w:val="auto"/>
              </w:rPr>
              <w:t>Long-term debt, net</w:t>
            </w:r>
          </w:p>
        </w:tc>
        <w:tc>
          <w:tcPr>
            <w:tcW w:w="300" w:type="dxa"/>
            <w:vAlign w:val="bottom"/>
          </w:tcPr>
          <w:p>
            <w:pPr>
              <w:spacing w:after="0"/>
              <w:rPr>
                <w:sz w:val="18"/>
                <w:szCs w:val="18"/>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2,619,788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2,630,598</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Deferred income taxes</w:t>
            </w:r>
          </w:p>
        </w:tc>
        <w:tc>
          <w:tcPr>
            <w:tcW w:w="300" w:type="dxa"/>
            <w:vAlign w:val="bottom"/>
          </w:tcPr>
          <w:p>
            <w:pPr>
              <w:spacing w:after="0"/>
              <w:rPr>
                <w:sz w:val="22"/>
                <w:szCs w:val="22"/>
                <w:color w:val="auto"/>
              </w:rPr>
            </w:pPr>
          </w:p>
        </w:tc>
        <w:tc>
          <w:tcPr>
            <w:tcW w:w="17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1,178</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Liabilities under tax receivable agreement</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193,499</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192,884</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Operating lease liabilities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47,836</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Operating lease liabilities - related party</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14,862</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Financing lease liabilities - related party</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61,990</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Financing obligation - related party</w:t>
            </w:r>
          </w:p>
        </w:tc>
        <w:tc>
          <w:tcPr>
            <w:tcW w:w="300" w:type="dxa"/>
            <w:vAlign w:val="bottom"/>
          </w:tcPr>
          <w:p>
            <w:pPr>
              <w:spacing w:after="0"/>
              <w:rPr>
                <w:sz w:val="22"/>
                <w:szCs w:val="22"/>
                <w:color w:val="auto"/>
              </w:rPr>
            </w:pPr>
          </w:p>
        </w:tc>
        <w:tc>
          <w:tcPr>
            <w:tcW w:w="17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39,083</w:t>
            </w:r>
          </w:p>
        </w:tc>
        <w:tc>
          <w:tcPr>
            <w:tcW w:w="0" w:type="dxa"/>
            <w:vAlign w:val="bottom"/>
          </w:tcPr>
          <w:p>
            <w:pPr>
              <w:spacing w:after="0"/>
              <w:rPr>
                <w:sz w:val="1"/>
                <w:szCs w:val="1"/>
                <w:color w:val="auto"/>
              </w:rPr>
            </w:pPr>
          </w:p>
        </w:tc>
      </w:tr>
      <w:tr>
        <w:trPr>
          <w:trHeight w:val="257"/>
        </w:trPr>
        <w:tc>
          <w:tcPr>
            <w:tcW w:w="7400" w:type="dxa"/>
            <w:vAlign w:val="bottom"/>
          </w:tcPr>
          <w:p>
            <w:pPr>
              <w:spacing w:after="0"/>
              <w:rPr>
                <w:sz w:val="20"/>
                <w:szCs w:val="20"/>
                <w:color w:val="auto"/>
              </w:rPr>
            </w:pPr>
            <w:r>
              <w:rPr>
                <w:rFonts w:ascii="Arial" w:cs="Arial" w:eastAsia="Arial" w:hAnsi="Arial"/>
                <w:sz w:val="16"/>
                <w:szCs w:val="16"/>
                <w:color w:val="auto"/>
              </w:rPr>
              <w:t>Other liabilities</w:t>
            </w:r>
          </w:p>
        </w:tc>
        <w:tc>
          <w:tcPr>
            <w:tcW w:w="300" w:type="dxa"/>
            <w:vAlign w:val="bottom"/>
          </w:tcPr>
          <w:p>
            <w:pPr>
              <w:spacing w:after="0"/>
              <w:rPr>
                <w:sz w:val="22"/>
                <w:szCs w:val="22"/>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28,653</w:t>
            </w:r>
          </w:p>
        </w:tc>
        <w:tc>
          <w:tcPr>
            <w:tcW w:w="1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38,780</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400" w:type="dxa"/>
            <w:vAlign w:val="bottom"/>
          </w:tcPr>
          <w:p>
            <w:pPr>
              <w:ind w:left="460"/>
              <w:spacing w:after="0"/>
              <w:rPr>
                <w:sz w:val="20"/>
                <w:szCs w:val="20"/>
                <w:color w:val="auto"/>
              </w:rPr>
            </w:pPr>
            <w:r>
              <w:rPr>
                <w:rFonts w:ascii="Arial" w:cs="Arial" w:eastAsia="Arial" w:hAnsi="Arial"/>
                <w:sz w:val="16"/>
                <w:szCs w:val="16"/>
                <w:color w:val="auto"/>
              </w:rPr>
              <w:t>Total long-term liabilities</w:t>
            </w:r>
          </w:p>
        </w:tc>
        <w:tc>
          <w:tcPr>
            <w:tcW w:w="300" w:type="dxa"/>
            <w:vAlign w:val="bottom"/>
          </w:tcPr>
          <w:p>
            <w:pPr>
              <w:spacing w:after="0"/>
              <w:rPr>
                <w:sz w:val="18"/>
                <w:szCs w:val="18"/>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2,966,628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2,902,523</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7400" w:type="dxa"/>
            <w:vAlign w:val="bottom"/>
          </w:tcPr>
          <w:p>
            <w:pPr>
              <w:spacing w:after="0"/>
              <w:rPr>
                <w:sz w:val="20"/>
                <w:szCs w:val="20"/>
                <w:color w:val="auto"/>
              </w:rPr>
            </w:pPr>
            <w:r>
              <w:rPr>
                <w:rFonts w:ascii="Arial" w:cs="Arial" w:eastAsia="Arial" w:hAnsi="Arial"/>
                <w:sz w:val="16"/>
                <w:szCs w:val="16"/>
                <w:color w:val="auto"/>
              </w:rPr>
              <w:t>Total stockholders' equity</w:t>
            </w:r>
          </w:p>
        </w:tc>
        <w:tc>
          <w:tcPr>
            <w:tcW w:w="300" w:type="dxa"/>
            <w:vAlign w:val="bottom"/>
          </w:tcPr>
          <w:p>
            <w:pPr>
              <w:spacing w:after="0"/>
              <w:rPr>
                <w:sz w:val="18"/>
                <w:szCs w:val="18"/>
                <w:color w:val="auto"/>
              </w:rPr>
            </w:pPr>
          </w:p>
        </w:tc>
        <w:tc>
          <w:tcPr>
            <w:tcW w:w="1660" w:type="dxa"/>
            <w:vAlign w:val="bottom"/>
          </w:tcPr>
          <w:p>
            <w:pPr>
              <w:jc w:val="right"/>
              <w:ind w:right="39"/>
              <w:spacing w:after="0"/>
              <w:rPr>
                <w:sz w:val="20"/>
                <w:szCs w:val="20"/>
                <w:color w:val="auto"/>
              </w:rPr>
            </w:pPr>
            <w:r>
              <w:rPr>
                <w:rFonts w:ascii="Arial" w:cs="Arial" w:eastAsia="Arial" w:hAnsi="Arial"/>
                <w:sz w:val="16"/>
                <w:szCs w:val="16"/>
                <w:color w:val="auto"/>
              </w:rPr>
              <w:t>749,352</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20" w:type="dxa"/>
            <w:vAlign w:val="bottom"/>
          </w:tcPr>
          <w:p>
            <w:pPr>
              <w:jc w:val="right"/>
              <w:ind w:right="19"/>
              <w:spacing w:after="0"/>
              <w:rPr>
                <w:sz w:val="20"/>
                <w:szCs w:val="20"/>
                <w:color w:val="auto"/>
              </w:rPr>
            </w:pPr>
            <w:r>
              <w:rPr>
                <w:rFonts w:ascii="Arial" w:cs="Arial" w:eastAsia="Arial" w:hAnsi="Arial"/>
                <w:sz w:val="16"/>
                <w:szCs w:val="16"/>
                <w:color w:val="auto"/>
              </w:rPr>
              <w:t>896,363</w:t>
            </w:r>
          </w:p>
        </w:tc>
        <w:tc>
          <w:tcPr>
            <w:tcW w:w="0" w:type="dxa"/>
            <w:vAlign w:val="bottom"/>
          </w:tcPr>
          <w:p>
            <w:pPr>
              <w:spacing w:after="0"/>
              <w:rPr>
                <w:sz w:val="1"/>
                <w:szCs w:val="1"/>
                <w:color w:val="auto"/>
              </w:rPr>
            </w:pPr>
          </w:p>
        </w:tc>
      </w:tr>
      <w:tr>
        <w:trPr>
          <w:trHeight w:val="33"/>
        </w:trPr>
        <w:tc>
          <w:tcPr>
            <w:tcW w:w="74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7400" w:type="dxa"/>
            <w:vAlign w:val="bottom"/>
          </w:tcPr>
          <w:p>
            <w:pPr>
              <w:ind w:left="620"/>
              <w:spacing w:after="0"/>
              <w:rPr>
                <w:sz w:val="20"/>
                <w:szCs w:val="20"/>
                <w:color w:val="auto"/>
              </w:rPr>
            </w:pPr>
            <w:r>
              <w:rPr>
                <w:rFonts w:ascii="Arial" w:cs="Arial" w:eastAsia="Arial" w:hAnsi="Arial"/>
                <w:sz w:val="16"/>
                <w:szCs w:val="16"/>
                <w:color w:val="auto"/>
              </w:rPr>
              <w:t>Total liabilities and stockholders' equity</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4,262,139</w:t>
            </w:r>
          </w:p>
        </w:tc>
        <w:tc>
          <w:tcPr>
            <w:tcW w:w="100" w:type="dxa"/>
            <w:vAlign w:val="bottom"/>
          </w:tcPr>
          <w:p>
            <w:pPr>
              <w:spacing w:after="0"/>
              <w:rPr>
                <w:sz w:val="21"/>
                <w:szCs w:val="21"/>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4,352,736</w:t>
            </w:r>
          </w:p>
        </w:tc>
        <w:tc>
          <w:tcPr>
            <w:tcW w:w="0" w:type="dxa"/>
            <w:vAlign w:val="bottom"/>
          </w:tcPr>
          <w:p>
            <w:pPr>
              <w:spacing w:after="0"/>
              <w:rPr>
                <w:sz w:val="1"/>
                <w:szCs w:val="1"/>
                <w:color w:val="auto"/>
              </w:rPr>
            </w:pPr>
          </w:p>
        </w:tc>
      </w:tr>
      <w:tr>
        <w:trPr>
          <w:trHeight w:val="20"/>
        </w:trPr>
        <w:tc>
          <w:tcPr>
            <w:tcW w:w="74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Page 11 of 23</w:t>
      </w:r>
    </w:p>
    <w:p>
      <w:pPr>
        <w:sectPr>
          <w:pgSz w:w="11900" w:h="16838" w:orient="portrait"/>
          <w:cols w:equalWidth="0" w:num="1">
            <w:col w:w="11380"/>
          </w:cols>
          <w:pgMar w:left="280" w:top="580" w:right="239" w:bottom="1440" w:gutter="0" w:footer="0" w:header="0"/>
        </w:sectPr>
      </w:pPr>
    </w:p>
    <w:bookmarkStart w:id="14" w:name="page15"/>
    <w:bookmarkEnd w:id="14"/>
    <w:p>
      <w:pPr>
        <w:jc w:val="center"/>
        <w:ind w:right="4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p>
      <w:pPr>
        <w:jc w:val="center"/>
        <w:ind w:right="40"/>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76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320" w:type="dxa"/>
            <w:vAlign w:val="bottom"/>
            <w:tcBorders>
              <w:bottom w:val="single" w:sz="8" w:color="auto"/>
            </w:tcBorders>
            <w:gridSpan w:val="4"/>
          </w:tcPr>
          <w:p>
            <w:pPr>
              <w:jc w:val="right"/>
              <w:ind w:right="388"/>
              <w:spacing w:after="0"/>
              <w:rPr>
                <w:sz w:val="20"/>
                <w:szCs w:val="20"/>
                <w:color w:val="auto"/>
              </w:rPr>
            </w:pPr>
            <w:r>
              <w:rPr>
                <w:rFonts w:ascii="Arial" w:cs="Arial" w:eastAsia="Arial" w:hAnsi="Arial"/>
                <w:sz w:val="14"/>
                <w:szCs w:val="14"/>
                <w:b w:val="1"/>
                <w:bCs w:val="1"/>
                <w:color w:val="auto"/>
              </w:rPr>
              <w:t>Six Months Ended June 30,</w:t>
            </w:r>
          </w:p>
        </w:tc>
      </w:tr>
      <w:tr>
        <w:trPr>
          <w:trHeight w:val="263"/>
        </w:trPr>
        <w:tc>
          <w:tcPr>
            <w:tcW w:w="876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c>
          <w:tcPr>
            <w:tcW w:w="120" w:type="dxa"/>
            <w:vAlign w:val="bottom"/>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2018</w:t>
            </w:r>
          </w:p>
        </w:tc>
      </w:tr>
      <w:tr>
        <w:trPr>
          <w:trHeight w:val="177"/>
        </w:trPr>
        <w:tc>
          <w:tcPr>
            <w:tcW w:w="8760" w:type="dxa"/>
            <w:vAlign w:val="bottom"/>
          </w:tcPr>
          <w:p>
            <w:pPr>
              <w:spacing w:after="0"/>
              <w:rPr>
                <w:sz w:val="20"/>
                <w:szCs w:val="20"/>
                <w:color w:val="auto"/>
              </w:rPr>
            </w:pPr>
            <w:r>
              <w:rPr>
                <w:rFonts w:ascii="Arial" w:cs="Arial" w:eastAsia="Arial" w:hAnsi="Arial"/>
                <w:sz w:val="14"/>
                <w:szCs w:val="14"/>
                <w:b w:val="1"/>
                <w:bCs w:val="1"/>
                <w:color w:val="auto"/>
              </w:rPr>
              <w:t>Cash flows from operating activities:</w:t>
            </w: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16"/>
        </w:trPr>
        <w:tc>
          <w:tcPr>
            <w:tcW w:w="8760" w:type="dxa"/>
            <w:vAlign w:val="bottom"/>
          </w:tcPr>
          <w:p>
            <w:pPr>
              <w:spacing w:after="0"/>
              <w:rPr>
                <w:sz w:val="20"/>
                <w:szCs w:val="20"/>
                <w:color w:val="auto"/>
              </w:rPr>
            </w:pPr>
            <w:r>
              <w:rPr>
                <w:rFonts w:ascii="Arial" w:cs="Arial" w:eastAsia="Arial" w:hAnsi="Arial"/>
                <w:sz w:val="14"/>
                <w:szCs w:val="14"/>
                <w:color w:val="auto"/>
              </w:rPr>
              <w:t>Net loss</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(175,278)</w:t>
            </w:r>
          </w:p>
        </w:tc>
        <w:tc>
          <w:tcPr>
            <w:tcW w:w="120" w:type="dxa"/>
            <w:vAlign w:val="bottom"/>
          </w:tcPr>
          <w:p>
            <w:pPr>
              <w:spacing w:after="0"/>
              <w:rPr>
                <w:sz w:val="18"/>
                <w:szCs w:val="18"/>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(198,438)</w:t>
            </w:r>
          </w:p>
        </w:tc>
      </w:tr>
      <w:tr>
        <w:trPr>
          <w:trHeight w:val="203"/>
        </w:trPr>
        <w:tc>
          <w:tcPr>
            <w:tcW w:w="8760" w:type="dxa"/>
            <w:vAlign w:val="bottom"/>
          </w:tcPr>
          <w:p>
            <w:pPr>
              <w:spacing w:after="0"/>
              <w:rPr>
                <w:sz w:val="20"/>
                <w:szCs w:val="20"/>
                <w:color w:val="auto"/>
              </w:rPr>
            </w:pPr>
            <w:r>
              <w:rPr>
                <w:rFonts w:ascii="Arial" w:cs="Arial" w:eastAsia="Arial" w:hAnsi="Arial"/>
                <w:sz w:val="14"/>
                <w:szCs w:val="14"/>
                <w:color w:val="auto"/>
              </w:rPr>
              <w:t>Adjustments to reconcile net loss to net cash used in operating activities:</w:t>
            </w:r>
          </w:p>
        </w:tc>
        <w:tc>
          <w:tcPr>
            <w:tcW w:w="3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Depreciation and amortization</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99,574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46,897</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Amortization of Levothyroxine Transition Agreement asset</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36,393</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Unrealized foreign currency (gain) loss</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(3,695)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17,032</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Amortization of debt issuance costs</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3,218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2,577</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Loss on extinguishment of debt</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19,667</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Gain on sale of international businesses, net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(6,930)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Gain on termination of lease</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(3,524)</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Intangible asset impairment charges</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79,096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03"/>
        </w:trPr>
        <w:tc>
          <w:tcPr>
            <w:tcW w:w="8760" w:type="dxa"/>
            <w:vAlign w:val="bottom"/>
          </w:tcPr>
          <w:p>
            <w:pPr>
              <w:ind w:left="240"/>
              <w:spacing w:after="0"/>
              <w:rPr>
                <w:sz w:val="20"/>
                <w:szCs w:val="20"/>
                <w:color w:val="auto"/>
              </w:rPr>
            </w:pPr>
            <w:r>
              <w:rPr>
                <w:rFonts w:ascii="Arial" w:cs="Arial" w:eastAsia="Arial" w:hAnsi="Arial"/>
                <w:sz w:val="14"/>
                <w:szCs w:val="14"/>
                <w:color w:val="auto"/>
              </w:rPr>
              <w:t>Non-cash restructuring and asset-related charges</w:t>
            </w:r>
          </w:p>
        </w:tc>
        <w:tc>
          <w:tcPr>
            <w:tcW w:w="30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1,314</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Deferred tax benefit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(18,209)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(14,993)</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Stock-based compensation and PPU expense</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10,571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160,401</w:t>
            </w:r>
          </w:p>
        </w:tc>
      </w:tr>
      <w:tr>
        <w:trPr>
          <w:trHeight w:val="203"/>
        </w:trPr>
        <w:tc>
          <w:tcPr>
            <w:tcW w:w="8760" w:type="dxa"/>
            <w:vAlign w:val="bottom"/>
          </w:tcPr>
          <w:p>
            <w:pPr>
              <w:ind w:left="240"/>
              <w:spacing w:after="0"/>
              <w:rPr>
                <w:sz w:val="20"/>
                <w:szCs w:val="20"/>
                <w:color w:val="auto"/>
              </w:rPr>
            </w:pPr>
            <w:r>
              <w:rPr>
                <w:rFonts w:ascii="Arial" w:cs="Arial" w:eastAsia="Arial" w:hAnsi="Arial"/>
                <w:sz w:val="14"/>
                <w:szCs w:val="14"/>
                <w:color w:val="auto"/>
              </w:rPr>
              <w:t>Inventory provision</w:t>
            </w:r>
          </w:p>
        </w:tc>
        <w:tc>
          <w:tcPr>
            <w:tcW w:w="30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50,410</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17,426</w:t>
            </w:r>
          </w:p>
        </w:tc>
      </w:tr>
      <w:tr>
        <w:trPr>
          <w:trHeight w:val="230"/>
        </w:trPr>
        <w:tc>
          <w:tcPr>
            <w:tcW w:w="8760" w:type="dxa"/>
            <w:vAlign w:val="bottom"/>
          </w:tcPr>
          <w:p>
            <w:pPr>
              <w:ind w:left="240"/>
              <w:spacing w:after="0"/>
              <w:rPr>
                <w:sz w:val="20"/>
                <w:szCs w:val="20"/>
                <w:color w:val="auto"/>
              </w:rPr>
            </w:pPr>
            <w:r>
              <w:rPr>
                <w:rFonts w:ascii="Arial" w:cs="Arial" w:eastAsia="Arial" w:hAnsi="Arial"/>
                <w:sz w:val="14"/>
                <w:szCs w:val="14"/>
                <w:color w:val="auto"/>
              </w:rPr>
              <w:t>Other operating charges and credits, net</w:t>
            </w:r>
          </w:p>
        </w:tc>
        <w:tc>
          <w:tcPr>
            <w:tcW w:w="300" w:type="dxa"/>
            <w:vAlign w:val="bottom"/>
          </w:tcPr>
          <w:p>
            <w:pPr>
              <w:spacing w:after="0"/>
              <w:rPr>
                <w:sz w:val="19"/>
                <w:szCs w:val="19"/>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3,155</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927</w:t>
            </w:r>
          </w:p>
        </w:tc>
      </w:tr>
      <w:tr>
        <w:trPr>
          <w:trHeight w:val="203"/>
        </w:trPr>
        <w:tc>
          <w:tcPr>
            <w:tcW w:w="8760" w:type="dxa"/>
            <w:vAlign w:val="bottom"/>
          </w:tcPr>
          <w:p>
            <w:pPr>
              <w:ind w:left="240"/>
              <w:spacing w:after="0"/>
              <w:rPr>
                <w:sz w:val="20"/>
                <w:szCs w:val="20"/>
                <w:color w:val="auto"/>
              </w:rPr>
            </w:pPr>
            <w:r>
              <w:rPr>
                <w:rFonts w:ascii="Arial" w:cs="Arial" w:eastAsia="Arial" w:hAnsi="Arial"/>
                <w:sz w:val="14"/>
                <w:szCs w:val="14"/>
                <w:color w:val="auto"/>
              </w:rPr>
              <w:t>Changes in assets and liabilities:</w:t>
            </w:r>
          </w:p>
        </w:tc>
        <w:tc>
          <w:tcPr>
            <w:tcW w:w="3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spacing w:after="0"/>
              <w:rPr>
                <w:sz w:val="17"/>
                <w:szCs w:val="17"/>
                <w:color w:val="auto"/>
              </w:rPr>
            </w:pPr>
          </w:p>
        </w:tc>
      </w:tr>
      <w:tr>
        <w:trPr>
          <w:trHeight w:val="203"/>
        </w:trPr>
        <w:tc>
          <w:tcPr>
            <w:tcW w:w="8760" w:type="dxa"/>
            <w:vAlign w:val="bottom"/>
          </w:tcPr>
          <w:p>
            <w:pPr>
              <w:ind w:left="460"/>
              <w:spacing w:after="0"/>
              <w:rPr>
                <w:sz w:val="20"/>
                <w:szCs w:val="20"/>
                <w:color w:val="auto"/>
              </w:rPr>
            </w:pPr>
            <w:r>
              <w:rPr>
                <w:rFonts w:ascii="Arial" w:cs="Arial" w:eastAsia="Arial" w:hAnsi="Arial"/>
                <w:sz w:val="14"/>
                <w:szCs w:val="14"/>
                <w:color w:val="auto"/>
              </w:rPr>
              <w:t>Trade accounts receivable, net</w:t>
            </w:r>
          </w:p>
        </w:tc>
        <w:tc>
          <w:tcPr>
            <w:tcW w:w="3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(162,954)</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(60,051)</w:t>
            </w:r>
          </w:p>
        </w:tc>
      </w:tr>
      <w:tr>
        <w:trPr>
          <w:trHeight w:val="203"/>
        </w:trPr>
        <w:tc>
          <w:tcPr>
            <w:tcW w:w="8760" w:type="dxa"/>
            <w:vAlign w:val="bottom"/>
          </w:tcPr>
          <w:p>
            <w:pPr>
              <w:ind w:left="460"/>
              <w:spacing w:after="0"/>
              <w:rPr>
                <w:sz w:val="20"/>
                <w:szCs w:val="20"/>
                <w:color w:val="auto"/>
              </w:rPr>
            </w:pPr>
            <w:r>
              <w:rPr>
                <w:rFonts w:ascii="Arial" w:cs="Arial" w:eastAsia="Arial" w:hAnsi="Arial"/>
                <w:sz w:val="14"/>
                <w:szCs w:val="14"/>
                <w:color w:val="auto"/>
              </w:rPr>
              <w:t>Inventories</w:t>
            </w:r>
          </w:p>
        </w:tc>
        <w:tc>
          <w:tcPr>
            <w:tcW w:w="3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(19,658)</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(71,655)</w:t>
            </w:r>
          </w:p>
        </w:tc>
      </w:tr>
      <w:tr>
        <w:trPr>
          <w:trHeight w:val="216"/>
        </w:trPr>
        <w:tc>
          <w:tcPr>
            <w:tcW w:w="8760" w:type="dxa"/>
            <w:vAlign w:val="bottom"/>
          </w:tcPr>
          <w:p>
            <w:pPr>
              <w:ind w:left="460"/>
              <w:spacing w:after="0"/>
              <w:rPr>
                <w:sz w:val="20"/>
                <w:szCs w:val="20"/>
                <w:color w:val="auto"/>
              </w:rPr>
            </w:pPr>
            <w:r>
              <w:rPr>
                <w:rFonts w:ascii="Arial" w:cs="Arial" w:eastAsia="Arial" w:hAnsi="Arial"/>
                <w:sz w:val="14"/>
                <w:szCs w:val="14"/>
                <w:color w:val="auto"/>
              </w:rPr>
              <w:t>Prepaid expenses, other current assets and other assets</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28,614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(5,107)</w:t>
            </w:r>
          </w:p>
        </w:tc>
      </w:tr>
      <w:tr>
        <w:trPr>
          <w:trHeight w:val="216"/>
        </w:trPr>
        <w:tc>
          <w:tcPr>
            <w:tcW w:w="8760" w:type="dxa"/>
            <w:vAlign w:val="bottom"/>
          </w:tcPr>
          <w:p>
            <w:pPr>
              <w:ind w:left="460"/>
              <w:spacing w:after="0"/>
              <w:rPr>
                <w:sz w:val="20"/>
                <w:szCs w:val="20"/>
                <w:color w:val="auto"/>
              </w:rPr>
            </w:pPr>
            <w:r>
              <w:rPr>
                <w:rFonts w:ascii="Arial" w:cs="Arial" w:eastAsia="Arial" w:hAnsi="Arial"/>
                <w:sz w:val="14"/>
                <w:szCs w:val="14"/>
                <w:color w:val="auto"/>
              </w:rPr>
              <w:t>Related party receivables</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(1,624)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11,017</w:t>
            </w:r>
          </w:p>
        </w:tc>
      </w:tr>
      <w:tr>
        <w:trPr>
          <w:trHeight w:val="216"/>
        </w:trPr>
        <w:tc>
          <w:tcPr>
            <w:tcW w:w="8760" w:type="dxa"/>
            <w:vAlign w:val="bottom"/>
          </w:tcPr>
          <w:p>
            <w:pPr>
              <w:ind w:left="460"/>
              <w:spacing w:after="0"/>
              <w:rPr>
                <w:sz w:val="20"/>
                <w:szCs w:val="20"/>
                <w:color w:val="auto"/>
              </w:rPr>
            </w:pPr>
            <w:r>
              <w:rPr>
                <w:rFonts w:ascii="Arial" w:cs="Arial" w:eastAsia="Arial" w:hAnsi="Arial"/>
                <w:sz w:val="14"/>
                <w:szCs w:val="14"/>
                <w:color w:val="auto"/>
              </w:rPr>
              <w:t>Accounts payable, accrued expenses and other liabilities</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(13,538)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19,630</w:t>
            </w:r>
          </w:p>
        </w:tc>
      </w:tr>
      <w:tr>
        <w:trPr>
          <w:trHeight w:val="222"/>
        </w:trPr>
        <w:tc>
          <w:tcPr>
            <w:tcW w:w="8760" w:type="dxa"/>
            <w:vAlign w:val="bottom"/>
          </w:tcPr>
          <w:p>
            <w:pPr>
              <w:ind w:left="460"/>
              <w:spacing w:after="0"/>
              <w:rPr>
                <w:sz w:val="20"/>
                <w:szCs w:val="20"/>
                <w:color w:val="auto"/>
              </w:rPr>
            </w:pPr>
            <w:r>
              <w:rPr>
                <w:rFonts w:ascii="Arial" w:cs="Arial" w:eastAsia="Arial" w:hAnsi="Arial"/>
                <w:sz w:val="14"/>
                <w:szCs w:val="14"/>
                <w:color w:val="auto"/>
              </w:rPr>
              <w:t>Related party payables</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2,225</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(13,356)</w:t>
            </w:r>
          </w:p>
        </w:tc>
      </w:tr>
      <w:tr>
        <w:trPr>
          <w:trHeight w:val="196"/>
        </w:trPr>
        <w:tc>
          <w:tcPr>
            <w:tcW w:w="8760" w:type="dxa"/>
            <w:vAlign w:val="bottom"/>
          </w:tcPr>
          <w:p>
            <w:pPr>
              <w:ind w:left="680"/>
              <w:spacing w:after="0"/>
              <w:rPr>
                <w:sz w:val="20"/>
                <w:szCs w:val="20"/>
                <w:color w:val="auto"/>
              </w:rPr>
            </w:pPr>
            <w:r>
              <w:rPr>
                <w:rFonts w:ascii="Arial" w:cs="Arial" w:eastAsia="Arial" w:hAnsi="Arial"/>
                <w:sz w:val="14"/>
                <w:szCs w:val="14"/>
                <w:color w:val="auto"/>
              </w:rPr>
              <w:t>Net cash used in operating activities</w:t>
            </w:r>
          </w:p>
        </w:tc>
        <w:tc>
          <w:tcPr>
            <w:tcW w:w="3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(87,316)</w:t>
            </w:r>
          </w:p>
        </w:tc>
        <w:tc>
          <w:tcPr>
            <w:tcW w:w="1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(71,550)</w:t>
            </w:r>
          </w:p>
        </w:tc>
      </w:tr>
      <w:tr>
        <w:trPr>
          <w:trHeight w:val="177"/>
        </w:trPr>
        <w:tc>
          <w:tcPr>
            <w:tcW w:w="8760" w:type="dxa"/>
            <w:vAlign w:val="bottom"/>
          </w:tcPr>
          <w:p>
            <w:pPr>
              <w:spacing w:after="0"/>
              <w:rPr>
                <w:sz w:val="20"/>
                <w:szCs w:val="20"/>
                <w:color w:val="auto"/>
              </w:rPr>
            </w:pPr>
            <w:r>
              <w:rPr>
                <w:rFonts w:ascii="Arial" w:cs="Arial" w:eastAsia="Arial" w:hAnsi="Arial"/>
                <w:sz w:val="14"/>
                <w:szCs w:val="14"/>
                <w:b w:val="1"/>
                <w:bCs w:val="1"/>
                <w:color w:val="auto"/>
              </w:rPr>
              <w:t>Cash flows from investing activities:</w:t>
            </w: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Purchases of property, plant and equipment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(29,629)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(36,600)</w:t>
            </w:r>
          </w:p>
        </w:tc>
      </w:tr>
      <w:tr>
        <w:trPr>
          <w:trHeight w:val="203"/>
        </w:trPr>
        <w:tc>
          <w:tcPr>
            <w:tcW w:w="8760" w:type="dxa"/>
            <w:vAlign w:val="bottom"/>
          </w:tcPr>
          <w:p>
            <w:pPr>
              <w:ind w:left="240"/>
              <w:spacing w:after="0"/>
              <w:rPr>
                <w:sz w:val="20"/>
                <w:szCs w:val="20"/>
                <w:color w:val="auto"/>
              </w:rPr>
            </w:pPr>
            <w:r>
              <w:rPr>
                <w:rFonts w:ascii="Arial" w:cs="Arial" w:eastAsia="Arial" w:hAnsi="Arial"/>
                <w:sz w:val="14"/>
                <w:szCs w:val="14"/>
                <w:color w:val="auto"/>
              </w:rPr>
              <w:t>Acquisition of product rights and licenses</w:t>
            </w:r>
          </w:p>
        </w:tc>
        <w:tc>
          <w:tcPr>
            <w:tcW w:w="3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(50,000)</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(3,000)</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Acquisitions, net of cash acquired</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(321,324)</w:t>
            </w:r>
          </w:p>
        </w:tc>
      </w:tr>
      <w:tr>
        <w:trPr>
          <w:trHeight w:val="222"/>
        </w:trPr>
        <w:tc>
          <w:tcPr>
            <w:tcW w:w="8760" w:type="dxa"/>
            <w:vAlign w:val="bottom"/>
          </w:tcPr>
          <w:p>
            <w:pPr>
              <w:ind w:left="240"/>
              <w:spacing w:after="0"/>
              <w:rPr>
                <w:sz w:val="20"/>
                <w:szCs w:val="20"/>
                <w:color w:val="auto"/>
              </w:rPr>
            </w:pPr>
            <w:r>
              <w:rPr>
                <w:rFonts w:ascii="Arial" w:cs="Arial" w:eastAsia="Arial" w:hAnsi="Arial"/>
                <w:sz w:val="14"/>
                <w:szCs w:val="14"/>
                <w:color w:val="auto"/>
              </w:rPr>
              <w:t>Proceeds from sale of international businesses, net of cash sold</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34,834</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196"/>
        </w:trPr>
        <w:tc>
          <w:tcPr>
            <w:tcW w:w="8760" w:type="dxa"/>
            <w:vAlign w:val="bottom"/>
          </w:tcPr>
          <w:p>
            <w:pPr>
              <w:ind w:left="460"/>
              <w:spacing w:after="0"/>
              <w:rPr>
                <w:sz w:val="20"/>
                <w:szCs w:val="20"/>
                <w:color w:val="auto"/>
              </w:rPr>
            </w:pPr>
            <w:r>
              <w:rPr>
                <w:rFonts w:ascii="Arial" w:cs="Arial" w:eastAsia="Arial" w:hAnsi="Arial"/>
                <w:sz w:val="14"/>
                <w:szCs w:val="14"/>
                <w:color w:val="auto"/>
              </w:rPr>
              <w:t>Net cash used in investing activities</w:t>
            </w:r>
          </w:p>
        </w:tc>
        <w:tc>
          <w:tcPr>
            <w:tcW w:w="3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(44,795)</w:t>
            </w:r>
          </w:p>
        </w:tc>
        <w:tc>
          <w:tcPr>
            <w:tcW w:w="12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(360,924)</w:t>
            </w:r>
          </w:p>
        </w:tc>
      </w:tr>
      <w:tr>
        <w:trPr>
          <w:trHeight w:val="177"/>
        </w:trPr>
        <w:tc>
          <w:tcPr>
            <w:tcW w:w="8760" w:type="dxa"/>
            <w:vAlign w:val="bottom"/>
          </w:tcPr>
          <w:p>
            <w:pPr>
              <w:spacing w:after="0"/>
              <w:rPr>
                <w:sz w:val="20"/>
                <w:szCs w:val="20"/>
                <w:color w:val="auto"/>
              </w:rPr>
            </w:pPr>
            <w:r>
              <w:rPr>
                <w:rFonts w:ascii="Arial" w:cs="Arial" w:eastAsia="Arial" w:hAnsi="Arial"/>
                <w:sz w:val="14"/>
                <w:szCs w:val="14"/>
                <w:b w:val="1"/>
                <w:bCs w:val="1"/>
                <w:color w:val="auto"/>
              </w:rPr>
              <w:t>Cash flows from financing activities:</w:t>
            </w:r>
          </w:p>
        </w:tc>
        <w:tc>
          <w:tcPr>
            <w:tcW w:w="3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Pr>
          <w:p>
            <w:pPr>
              <w:spacing w:after="0"/>
              <w:rPr>
                <w:sz w:val="15"/>
                <w:szCs w:val="15"/>
                <w:color w:val="auto"/>
              </w:rPr>
            </w:pPr>
          </w:p>
        </w:tc>
      </w:tr>
      <w:tr>
        <w:trPr>
          <w:trHeight w:val="230"/>
        </w:trPr>
        <w:tc>
          <w:tcPr>
            <w:tcW w:w="8760" w:type="dxa"/>
            <w:vAlign w:val="bottom"/>
          </w:tcPr>
          <w:p>
            <w:pPr>
              <w:ind w:left="240"/>
              <w:spacing w:after="0"/>
              <w:rPr>
                <w:sz w:val="20"/>
                <w:szCs w:val="20"/>
                <w:color w:val="auto"/>
              </w:rPr>
            </w:pPr>
            <w:r>
              <w:rPr>
                <w:rFonts w:ascii="Arial" w:cs="Arial" w:eastAsia="Arial" w:hAnsi="Arial"/>
                <w:sz w:val="14"/>
                <w:szCs w:val="14"/>
                <w:color w:val="auto"/>
              </w:rPr>
              <w:t>Payments of deferred financing costs and debt extinguishment costs</w:t>
            </w:r>
          </w:p>
        </w:tc>
        <w:tc>
          <w:tcPr>
            <w:tcW w:w="30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(54,955)</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Proceeds from issuance of debt</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1,325,383</w:t>
            </w:r>
          </w:p>
        </w:tc>
      </w:tr>
      <w:tr>
        <w:trPr>
          <w:trHeight w:val="203"/>
        </w:trPr>
        <w:tc>
          <w:tcPr>
            <w:tcW w:w="8760" w:type="dxa"/>
            <w:vAlign w:val="bottom"/>
          </w:tcPr>
          <w:p>
            <w:pPr>
              <w:ind w:left="240"/>
              <w:spacing w:after="0"/>
              <w:rPr>
                <w:sz w:val="20"/>
                <w:szCs w:val="20"/>
                <w:color w:val="auto"/>
              </w:rPr>
            </w:pPr>
            <w:r>
              <w:rPr>
                <w:rFonts w:ascii="Arial" w:cs="Arial" w:eastAsia="Arial" w:hAnsi="Arial"/>
                <w:sz w:val="14"/>
                <w:szCs w:val="14"/>
                <w:color w:val="auto"/>
              </w:rPr>
              <w:t>Payments of principal on debt and capital leases</w:t>
            </w:r>
          </w:p>
        </w:tc>
        <w:tc>
          <w:tcPr>
            <w:tcW w:w="3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(13,500)</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(603,551)</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Payments on revolving credit line</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(75,000)</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Payments of principal on financing lease - related party</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(866)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Payments of financing obligation - related party</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(121)</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Proceeds from exercise of stock options</w:t>
            </w:r>
          </w:p>
        </w:tc>
        <w:tc>
          <w:tcPr>
            <w:tcW w:w="30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1,385</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1,977</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Employee payroll tax withholding on restricted stock unit vesting</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(921)</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Equity contributions</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27,742</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Capital contribution from non-controlling interest</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360</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Acquisition of non-controlling interest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(3,543)</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Tax distribution to non-controlling interest</w:t>
            </w:r>
          </w:p>
        </w:tc>
        <w:tc>
          <w:tcPr>
            <w:tcW w:w="3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(13,494)</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16"/>
        </w:trPr>
        <w:tc>
          <w:tcPr>
            <w:tcW w:w="8760" w:type="dxa"/>
            <w:vAlign w:val="bottom"/>
          </w:tcPr>
          <w:p>
            <w:pPr>
              <w:ind w:left="240"/>
              <w:spacing w:after="0"/>
              <w:rPr>
                <w:sz w:val="20"/>
                <w:szCs w:val="20"/>
                <w:color w:val="auto"/>
              </w:rPr>
            </w:pPr>
            <w:r>
              <w:rPr>
                <w:rFonts w:ascii="Arial" w:cs="Arial" w:eastAsia="Arial" w:hAnsi="Arial"/>
                <w:sz w:val="14"/>
                <w:szCs w:val="14"/>
                <w:color w:val="auto"/>
              </w:rPr>
              <w:t>Distributions to members</w:t>
            </w:r>
          </w:p>
        </w:tc>
        <w:tc>
          <w:tcPr>
            <w:tcW w:w="300" w:type="dxa"/>
            <w:vAlign w:val="bottom"/>
          </w:tcPr>
          <w:p>
            <w:pPr>
              <w:spacing w:after="0"/>
              <w:rPr>
                <w:sz w:val="18"/>
                <w:szCs w:val="18"/>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(182,998)</w:t>
            </w:r>
          </w:p>
        </w:tc>
      </w:tr>
      <w:tr>
        <w:trPr>
          <w:trHeight w:val="222"/>
        </w:trPr>
        <w:tc>
          <w:tcPr>
            <w:tcW w:w="8760" w:type="dxa"/>
            <w:vAlign w:val="bottom"/>
          </w:tcPr>
          <w:p>
            <w:pPr>
              <w:ind w:left="240"/>
              <w:spacing w:after="0"/>
              <w:rPr>
                <w:sz w:val="20"/>
                <w:szCs w:val="20"/>
                <w:color w:val="auto"/>
              </w:rPr>
            </w:pPr>
            <w:r>
              <w:rPr>
                <w:rFonts w:ascii="Arial" w:cs="Arial" w:eastAsia="Arial" w:hAnsi="Arial"/>
                <w:sz w:val="14"/>
                <w:szCs w:val="14"/>
                <w:color w:val="auto"/>
              </w:rPr>
              <w:t>Repayment of related party note</w:t>
            </w:r>
          </w:p>
        </w:tc>
        <w:tc>
          <w:tcPr>
            <w:tcW w:w="300" w:type="dxa"/>
            <w:vAlign w:val="bottom"/>
          </w:tcPr>
          <w:p>
            <w:pPr>
              <w:spacing w:after="0"/>
              <w:rPr>
                <w:sz w:val="19"/>
                <w:szCs w:val="19"/>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(14,842)</w:t>
            </w:r>
          </w:p>
        </w:tc>
      </w:tr>
      <w:tr>
        <w:trPr>
          <w:trHeight w:val="210"/>
        </w:trPr>
        <w:tc>
          <w:tcPr>
            <w:tcW w:w="8760" w:type="dxa"/>
            <w:vAlign w:val="bottom"/>
          </w:tcPr>
          <w:p>
            <w:pPr>
              <w:ind w:left="360"/>
              <w:spacing w:after="0"/>
              <w:rPr>
                <w:sz w:val="20"/>
                <w:szCs w:val="20"/>
                <w:color w:val="auto"/>
              </w:rPr>
            </w:pPr>
            <w:r>
              <w:rPr>
                <w:rFonts w:ascii="Arial" w:cs="Arial" w:eastAsia="Arial" w:hAnsi="Arial"/>
                <w:sz w:val="14"/>
                <w:szCs w:val="14"/>
                <w:color w:val="auto"/>
              </w:rPr>
              <w:t>Net cash (used in) provided by financing activities</w:t>
            </w:r>
          </w:p>
        </w:tc>
        <w:tc>
          <w:tcPr>
            <w:tcW w:w="3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(30,939)</w:t>
            </w:r>
          </w:p>
        </w:tc>
        <w:tc>
          <w:tcPr>
            <w:tcW w:w="120" w:type="dxa"/>
            <w:vAlign w:val="bottom"/>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423,995</w:t>
            </w:r>
          </w:p>
        </w:tc>
      </w:tr>
      <w:tr>
        <w:trPr>
          <w:trHeight w:val="204"/>
        </w:trPr>
        <w:tc>
          <w:tcPr>
            <w:tcW w:w="8760" w:type="dxa"/>
            <w:vAlign w:val="bottom"/>
          </w:tcPr>
          <w:p>
            <w:pPr>
              <w:spacing w:after="0"/>
              <w:rPr>
                <w:sz w:val="20"/>
                <w:szCs w:val="20"/>
                <w:color w:val="auto"/>
              </w:rPr>
            </w:pPr>
            <w:r>
              <w:rPr>
                <w:rFonts w:ascii="Arial" w:cs="Arial" w:eastAsia="Arial" w:hAnsi="Arial"/>
                <w:sz w:val="14"/>
                <w:szCs w:val="14"/>
                <w:color w:val="auto"/>
              </w:rPr>
              <w:t>Effect of foreign exchange rate on cash</w:t>
            </w:r>
          </w:p>
        </w:tc>
        <w:tc>
          <w:tcPr>
            <w:tcW w:w="300" w:type="dxa"/>
            <w:vAlign w:val="bottom"/>
          </w:tcPr>
          <w:p>
            <w:pPr>
              <w:spacing w:after="0"/>
              <w:rPr>
                <w:sz w:val="17"/>
                <w:szCs w:val="17"/>
                <w:color w:val="auto"/>
              </w:rPr>
            </w:pP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1,293</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(853)</w:t>
            </w:r>
          </w:p>
        </w:tc>
      </w:tr>
      <w:tr>
        <w:trPr>
          <w:trHeight w:val="203"/>
        </w:trPr>
        <w:tc>
          <w:tcPr>
            <w:tcW w:w="8760" w:type="dxa"/>
            <w:vAlign w:val="bottom"/>
          </w:tcPr>
          <w:p>
            <w:pPr>
              <w:spacing w:after="0"/>
              <w:rPr>
                <w:sz w:val="20"/>
                <w:szCs w:val="20"/>
                <w:color w:val="auto"/>
              </w:rPr>
            </w:pPr>
            <w:r>
              <w:rPr>
                <w:rFonts w:ascii="Arial" w:cs="Arial" w:eastAsia="Arial" w:hAnsi="Arial"/>
                <w:sz w:val="14"/>
                <w:szCs w:val="14"/>
                <w:color w:val="auto"/>
              </w:rPr>
              <w:t>Net decrease in cash, cash equivalents, and restricted cash</w:t>
            </w:r>
          </w:p>
        </w:tc>
        <w:tc>
          <w:tcPr>
            <w:tcW w:w="3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(161,757)</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(9,332)</w:t>
            </w:r>
          </w:p>
        </w:tc>
      </w:tr>
      <w:tr>
        <w:trPr>
          <w:trHeight w:val="222"/>
        </w:trPr>
        <w:tc>
          <w:tcPr>
            <w:tcW w:w="8760" w:type="dxa"/>
            <w:vAlign w:val="bottom"/>
          </w:tcPr>
          <w:p>
            <w:pPr>
              <w:spacing w:after="0"/>
              <w:rPr>
                <w:sz w:val="20"/>
                <w:szCs w:val="20"/>
                <w:color w:val="auto"/>
              </w:rPr>
            </w:pPr>
            <w:r>
              <w:rPr>
                <w:rFonts w:ascii="Arial" w:cs="Arial" w:eastAsia="Arial" w:hAnsi="Arial"/>
                <w:sz w:val="14"/>
                <w:szCs w:val="14"/>
                <w:color w:val="auto"/>
              </w:rPr>
              <w:t>Cash, cash equivalents, and restricted cash - beginning of period</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218,779</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77,922</w:t>
            </w:r>
          </w:p>
        </w:tc>
      </w:tr>
      <w:tr>
        <w:trPr>
          <w:trHeight w:val="216"/>
        </w:trPr>
        <w:tc>
          <w:tcPr>
            <w:tcW w:w="8760" w:type="dxa"/>
            <w:vAlign w:val="bottom"/>
          </w:tcPr>
          <w:p>
            <w:pPr>
              <w:spacing w:after="0"/>
              <w:rPr>
                <w:sz w:val="20"/>
                <w:szCs w:val="20"/>
                <w:color w:val="auto"/>
              </w:rPr>
            </w:pPr>
            <w:r>
              <w:rPr>
                <w:rFonts w:ascii="Arial" w:cs="Arial" w:eastAsia="Arial" w:hAnsi="Arial"/>
                <w:sz w:val="14"/>
                <w:szCs w:val="14"/>
                <w:color w:val="auto"/>
              </w:rPr>
              <w:t>Cash, cash equivalents, and restricted cash - end of period</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57,022</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68,590</w:t>
            </w:r>
          </w:p>
        </w:tc>
      </w:tr>
      <w:tr>
        <w:trPr>
          <w:trHeight w:val="20"/>
        </w:trPr>
        <w:tc>
          <w:tcPr>
            <w:tcW w:w="87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185"/>
        </w:trPr>
        <w:tc>
          <w:tcPr>
            <w:tcW w:w="8760" w:type="dxa"/>
            <w:vAlign w:val="bottom"/>
          </w:tcPr>
          <w:p>
            <w:pPr>
              <w:spacing w:after="0"/>
              <w:rPr>
                <w:sz w:val="20"/>
                <w:szCs w:val="20"/>
                <w:color w:val="auto"/>
              </w:rPr>
            </w:pPr>
            <w:r>
              <w:rPr>
                <w:rFonts w:ascii="Arial" w:cs="Arial" w:eastAsia="Arial" w:hAnsi="Arial"/>
                <w:sz w:val="14"/>
                <w:szCs w:val="14"/>
                <w:color w:val="auto"/>
              </w:rPr>
              <w:t>Cash and cash equivalents - end of period</w:t>
            </w:r>
          </w:p>
        </w:tc>
        <w:tc>
          <w:tcPr>
            <w:tcW w:w="3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54,893</w:t>
            </w:r>
          </w:p>
        </w:tc>
        <w:tc>
          <w:tcPr>
            <w:tcW w:w="120" w:type="dxa"/>
            <w:vAlign w:val="bottom"/>
          </w:tcPr>
          <w:p>
            <w:pPr>
              <w:spacing w:after="0"/>
              <w:rPr>
                <w:sz w:val="16"/>
                <w:szCs w:val="16"/>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61,521</w:t>
            </w:r>
          </w:p>
        </w:tc>
      </w:tr>
      <w:tr>
        <w:trPr>
          <w:trHeight w:val="222"/>
        </w:trPr>
        <w:tc>
          <w:tcPr>
            <w:tcW w:w="8760" w:type="dxa"/>
            <w:vAlign w:val="bottom"/>
          </w:tcPr>
          <w:p>
            <w:pPr>
              <w:spacing w:after="0"/>
              <w:rPr>
                <w:sz w:val="20"/>
                <w:szCs w:val="20"/>
                <w:color w:val="auto"/>
              </w:rPr>
            </w:pPr>
            <w:r>
              <w:rPr>
                <w:rFonts w:ascii="Arial" w:cs="Arial" w:eastAsia="Arial" w:hAnsi="Arial"/>
                <w:sz w:val="14"/>
                <w:szCs w:val="14"/>
                <w:color w:val="auto"/>
              </w:rPr>
              <w:t>Restricted cash - end of period</w:t>
            </w:r>
          </w:p>
        </w:tc>
        <w:tc>
          <w:tcPr>
            <w:tcW w:w="3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2,129</w:t>
            </w:r>
          </w:p>
        </w:tc>
        <w:tc>
          <w:tcPr>
            <w:tcW w:w="12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7,069</w:t>
            </w:r>
          </w:p>
        </w:tc>
      </w:tr>
      <w:tr>
        <w:trPr>
          <w:trHeight w:val="216"/>
        </w:trPr>
        <w:tc>
          <w:tcPr>
            <w:tcW w:w="8760" w:type="dxa"/>
            <w:vAlign w:val="bottom"/>
          </w:tcPr>
          <w:p>
            <w:pPr>
              <w:spacing w:after="0"/>
              <w:rPr>
                <w:sz w:val="20"/>
                <w:szCs w:val="20"/>
                <w:color w:val="auto"/>
              </w:rPr>
            </w:pPr>
            <w:r>
              <w:rPr>
                <w:rFonts w:ascii="Arial" w:cs="Arial" w:eastAsia="Arial" w:hAnsi="Arial"/>
                <w:sz w:val="14"/>
                <w:szCs w:val="14"/>
                <w:color w:val="auto"/>
              </w:rPr>
              <w:t>Cash, cash equivalents, and restricted cash - end of period</w:t>
            </w:r>
          </w:p>
        </w:tc>
        <w:tc>
          <w:tcPr>
            <w:tcW w:w="3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57,022</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68,590</w:t>
            </w:r>
          </w:p>
        </w:tc>
      </w:tr>
      <w:tr>
        <w:trPr>
          <w:trHeight w:val="20"/>
        </w:trPr>
        <w:tc>
          <w:tcPr>
            <w:tcW w:w="87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jc w:val="center"/>
        <w:ind w:right="40"/>
        <w:spacing w:after="0"/>
        <w:rPr>
          <w:sz w:val="20"/>
          <w:szCs w:val="20"/>
          <w:color w:val="auto"/>
        </w:rPr>
      </w:pPr>
      <w:r>
        <w:rPr>
          <w:rFonts w:ascii="Arial" w:cs="Arial" w:eastAsia="Arial" w:hAnsi="Arial"/>
          <w:sz w:val="14"/>
          <w:szCs w:val="14"/>
          <w:color w:val="auto"/>
        </w:rPr>
        <w:t>Page 12 of 23</w:t>
      </w:r>
    </w:p>
    <w:p>
      <w:pPr>
        <w:sectPr>
          <w:pgSz w:w="11900" w:h="16838" w:orient="portrait"/>
          <w:cols w:equalWidth="0" w:num="1">
            <w:col w:w="11380"/>
          </w:cols>
          <w:pgMar w:left="280" w:top="121" w:right="239" w:bottom="1440" w:gutter="0" w:footer="0" w:header="0"/>
        </w:sectPr>
      </w:pPr>
    </w:p>
    <w:bookmarkStart w:id="15" w:name="page16"/>
    <w:bookmarkEnd w:id="15"/>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Reconciliation of Non-GAAP Combined Results of Operations</w:t>
      </w:r>
    </w:p>
    <w:p>
      <w:pPr>
        <w:spacing w:after="0" w:line="25"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ectPr>
          <w:pgSz w:w="11900" w:h="16838" w:orient="portrait"/>
          <w:cols w:equalWidth="0" w:num="1">
            <w:col w:w="11360"/>
          </w:cols>
          <w:pgMar w:left="280" w:top="580" w:right="259" w:bottom="1440" w:gutter="0" w:footer="0" w:header="0"/>
        </w:sectPr>
      </w:pPr>
    </w:p>
    <w:p>
      <w:pPr>
        <w:spacing w:after="0" w:line="332" w:lineRule="exact"/>
        <w:rPr>
          <w:sz w:val="20"/>
          <w:szCs w:val="20"/>
          <w:color w:val="auto"/>
        </w:rPr>
      </w:pPr>
    </w:p>
    <w:p>
      <w:pPr>
        <w:ind w:left="3900"/>
        <w:spacing w:after="0"/>
        <w:rPr>
          <w:sz w:val="20"/>
          <w:szCs w:val="20"/>
          <w:color w:val="auto"/>
        </w:rPr>
      </w:pPr>
      <w:r>
        <w:rPr>
          <w:rFonts w:ascii="Arial" w:cs="Arial" w:eastAsia="Arial" w:hAnsi="Arial"/>
          <w:sz w:val="16"/>
          <w:szCs w:val="16"/>
          <w:b w:val="1"/>
          <w:bCs w:val="1"/>
          <w:color w:val="auto"/>
        </w:rPr>
        <w:t>Three months ended June 30,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1934845</wp:posOffset>
            </wp:positionH>
            <wp:positionV relativeFrom="paragraph">
              <wp:posOffset>37465</wp:posOffset>
            </wp:positionV>
            <wp:extent cx="25812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80" w:lineRule="exact"/>
        <w:rPr>
          <w:sz w:val="20"/>
          <w:szCs w:val="20"/>
          <w:color w:val="auto"/>
        </w:rPr>
      </w:pPr>
    </w:p>
    <w:p>
      <w:pPr>
        <w:jc w:val="both"/>
        <w:ind w:left="4920"/>
        <w:spacing w:after="0"/>
        <w:tabs>
          <w:tab w:leader="none" w:pos="5960" w:val="left"/>
        </w:tabs>
        <w:rPr>
          <w:sz w:val="20"/>
          <w:szCs w:val="20"/>
          <w:color w:val="auto"/>
        </w:rPr>
      </w:pPr>
      <w:r>
        <w:rPr>
          <w:rFonts w:ascii="Arial" w:cs="Arial" w:eastAsia="Arial" w:hAnsi="Arial"/>
          <w:sz w:val="16"/>
          <w:szCs w:val="16"/>
          <w:b w:val="1"/>
          <w:bCs w:val="1"/>
          <w:color w:val="auto"/>
        </w:rPr>
        <w:t>Add:</w:t>
      </w:r>
      <w:r>
        <w:rPr>
          <w:sz w:val="20"/>
          <w:szCs w:val="20"/>
          <w:color w:val="auto"/>
        </w:rPr>
        <w:tab/>
      </w:r>
      <w:r>
        <w:rPr>
          <w:rFonts w:ascii="Arial" w:cs="Arial" w:eastAsia="Arial" w:hAnsi="Arial"/>
          <w:sz w:val="16"/>
          <w:szCs w:val="16"/>
          <w:b w:val="1"/>
          <w:bCs w:val="1"/>
          <w:color w:val="auto"/>
        </w:rPr>
        <w:t>(Non-GAAP)</w:t>
      </w:r>
    </w:p>
    <w:p>
      <w:pPr>
        <w:spacing w:after="0" w:line="86" w:lineRule="exact"/>
        <w:rPr>
          <w:sz w:val="20"/>
          <w:szCs w:val="20"/>
          <w:color w:val="auto"/>
        </w:rPr>
      </w:pPr>
    </w:p>
    <w:p>
      <w:pPr>
        <w:ind w:left="3500"/>
        <w:spacing w:after="0"/>
        <w:tabs>
          <w:tab w:leader="none" w:pos="4540" w:val="left"/>
          <w:tab w:leader="none" w:pos="6060" w:val="left"/>
        </w:tabs>
        <w:rPr>
          <w:sz w:val="20"/>
          <w:szCs w:val="20"/>
          <w:color w:val="auto"/>
        </w:rPr>
      </w:pPr>
      <w:r>
        <w:rPr>
          <w:rFonts w:ascii="Arial" w:cs="Arial" w:eastAsia="Arial" w:hAnsi="Arial"/>
          <w:sz w:val="16"/>
          <w:szCs w:val="16"/>
          <w:b w:val="1"/>
          <w:bCs w:val="1"/>
          <w:color w:val="auto"/>
        </w:rPr>
        <w:t>Actual</w:t>
      </w:r>
      <w:r>
        <w:rPr>
          <w:sz w:val="20"/>
          <w:szCs w:val="20"/>
          <w:color w:val="auto"/>
        </w:rPr>
        <w:tab/>
      </w:r>
      <w:r>
        <w:rPr>
          <w:rFonts w:ascii="Arial" w:cs="Arial" w:eastAsia="Arial" w:hAnsi="Arial"/>
          <w:sz w:val="16"/>
          <w:szCs w:val="16"/>
          <w:b w:val="1"/>
          <w:bCs w:val="1"/>
          <w:color w:val="auto"/>
        </w:rPr>
        <w:t>Impax/ Gemini</w:t>
      </w:r>
      <w:r>
        <w:rPr>
          <w:sz w:val="20"/>
          <w:szCs w:val="20"/>
          <w:color w:val="auto"/>
        </w:rPr>
        <w:tab/>
      </w:r>
      <w:r>
        <w:rPr>
          <w:rFonts w:ascii="Arial" w:cs="Arial" w:eastAsia="Arial" w:hAnsi="Arial"/>
          <w:sz w:val="14"/>
          <w:szCs w:val="14"/>
          <w:b w:val="1"/>
          <w:bCs w:val="1"/>
          <w:color w:val="auto"/>
        </w:rPr>
        <w:t>Combined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1934845</wp:posOffset>
            </wp:positionH>
            <wp:positionV relativeFrom="paragraph">
              <wp:posOffset>37465</wp:posOffset>
            </wp:positionV>
            <wp:extent cx="25812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58127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12" w:lineRule="exact"/>
        <w:rPr>
          <w:sz w:val="20"/>
          <w:szCs w:val="20"/>
          <w:color w:val="auto"/>
        </w:rPr>
      </w:pPr>
    </w:p>
    <w:p>
      <w:pPr>
        <w:ind w:left="420"/>
        <w:spacing w:after="0"/>
        <w:rPr>
          <w:sz w:val="20"/>
          <w:szCs w:val="20"/>
          <w:color w:val="auto"/>
        </w:rPr>
      </w:pPr>
      <w:r>
        <w:rPr>
          <w:rFonts w:ascii="Arial" w:cs="Arial" w:eastAsia="Arial" w:hAnsi="Arial"/>
          <w:sz w:val="16"/>
          <w:szCs w:val="16"/>
          <w:b w:val="1"/>
          <w:bCs w:val="1"/>
          <w:color w:val="auto"/>
        </w:rPr>
        <w:t>Three months ended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-291465</wp:posOffset>
            </wp:positionH>
            <wp:positionV relativeFrom="paragraph">
              <wp:posOffset>37465</wp:posOffset>
            </wp:positionV>
            <wp:extent cx="26244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624455" cy="8890"/>
                    </a:xfrm>
                    <a:prstGeom prst="rect">
                      <a:avLst/>
                    </a:prstGeom>
                    <a:noFill/>
                  </pic:spPr>
                </pic:pic>
              </a:graphicData>
            </a:graphic>
          </wp:anchor>
        </w:drawing>
      </w:r>
    </w:p>
    <w:p>
      <w:pPr>
        <w:spacing w:after="0" w:line="80" w:lineRule="exact"/>
        <w:rPr>
          <w:sz w:val="20"/>
          <w:szCs w:val="20"/>
          <w:color w:val="auto"/>
        </w:rPr>
      </w:pPr>
    </w:p>
    <w:p>
      <w:pPr>
        <w:jc w:val="both"/>
        <w:ind w:left="1440"/>
        <w:spacing w:after="0"/>
        <w:tabs>
          <w:tab w:leader="none" w:pos="2500" w:val="left"/>
        </w:tabs>
        <w:rPr>
          <w:sz w:val="20"/>
          <w:szCs w:val="20"/>
          <w:color w:val="auto"/>
        </w:rPr>
      </w:pPr>
      <w:r>
        <w:rPr>
          <w:rFonts w:ascii="Arial" w:cs="Arial" w:eastAsia="Arial" w:hAnsi="Arial"/>
          <w:sz w:val="16"/>
          <w:szCs w:val="16"/>
          <w:b w:val="1"/>
          <w:bCs w:val="1"/>
          <w:color w:val="auto"/>
        </w:rPr>
        <w:t>Add:</w:t>
      </w:r>
      <w:r>
        <w:rPr>
          <w:sz w:val="20"/>
          <w:szCs w:val="20"/>
          <w:color w:val="auto"/>
        </w:rPr>
        <w:tab/>
      </w:r>
      <w:r>
        <w:rPr>
          <w:rFonts w:ascii="Arial" w:cs="Arial" w:eastAsia="Arial" w:hAnsi="Arial"/>
          <w:sz w:val="16"/>
          <w:szCs w:val="16"/>
          <w:b w:val="1"/>
          <w:bCs w:val="1"/>
          <w:color w:val="auto"/>
        </w:rPr>
        <w:t>(Non-GAAP)</w:t>
      </w:r>
    </w:p>
    <w:p>
      <w:pPr>
        <w:spacing w:after="0" w:line="86" w:lineRule="exact"/>
        <w:rPr>
          <w:sz w:val="20"/>
          <w:szCs w:val="20"/>
          <w:color w:val="auto"/>
        </w:rPr>
      </w:pPr>
    </w:p>
    <w:p>
      <w:pPr>
        <w:spacing w:after="0"/>
        <w:tabs>
          <w:tab w:leader="none" w:pos="1060" w:val="left"/>
          <w:tab w:leader="none" w:pos="2600" w:val="left"/>
        </w:tabs>
        <w:rPr>
          <w:sz w:val="20"/>
          <w:szCs w:val="20"/>
          <w:color w:val="auto"/>
        </w:rPr>
      </w:pPr>
      <w:r>
        <w:rPr>
          <w:rFonts w:ascii="Arial" w:cs="Arial" w:eastAsia="Arial" w:hAnsi="Arial"/>
          <w:sz w:val="16"/>
          <w:szCs w:val="16"/>
          <w:b w:val="1"/>
          <w:bCs w:val="1"/>
          <w:color w:val="auto"/>
        </w:rPr>
        <w:t>Actual</w:t>
      </w:r>
      <w:r>
        <w:rPr>
          <w:sz w:val="20"/>
          <w:szCs w:val="20"/>
          <w:color w:val="auto"/>
        </w:rPr>
        <w:tab/>
      </w:r>
      <w:r>
        <w:rPr>
          <w:rFonts w:ascii="Arial" w:cs="Arial" w:eastAsia="Arial" w:hAnsi="Arial"/>
          <w:sz w:val="16"/>
          <w:szCs w:val="16"/>
          <w:b w:val="1"/>
          <w:bCs w:val="1"/>
          <w:color w:val="auto"/>
        </w:rPr>
        <w:t>Impax/ Gemini</w:t>
      </w:r>
      <w:r>
        <w:rPr>
          <w:sz w:val="20"/>
          <w:szCs w:val="20"/>
          <w:color w:val="auto"/>
        </w:rPr>
        <w:tab/>
      </w:r>
      <w:r>
        <w:rPr>
          <w:rFonts w:ascii="Arial" w:cs="Arial" w:eastAsia="Arial" w:hAnsi="Arial"/>
          <w:sz w:val="14"/>
          <w:szCs w:val="14"/>
          <w:b w:val="1"/>
          <w:bCs w:val="1"/>
          <w:color w:val="auto"/>
        </w:rPr>
        <w:t>Combined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-291465</wp:posOffset>
            </wp:positionH>
            <wp:positionV relativeFrom="paragraph">
              <wp:posOffset>37465</wp:posOffset>
            </wp:positionV>
            <wp:extent cx="26244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624455" cy="8890"/>
                    </a:xfrm>
                    <a:prstGeom prst="rect">
                      <a:avLst/>
                    </a:prstGeom>
                    <a:noFill/>
                  </pic:spPr>
                </pic:pic>
              </a:graphicData>
            </a:graphic>
          </wp:anchor>
        </w:drawing>
      </w:r>
    </w:p>
    <w:p>
      <w:pPr>
        <w:spacing w:after="0" w:line="100" w:lineRule="exact"/>
        <w:rPr>
          <w:sz w:val="20"/>
          <w:szCs w:val="20"/>
          <w:color w:val="auto"/>
        </w:rPr>
      </w:pPr>
    </w:p>
    <w:p>
      <w:pPr>
        <w:sectPr>
          <w:pgSz w:w="11900" w:h="16838" w:orient="portrait"/>
          <w:cols w:equalWidth="0" w:num="2">
            <w:col w:w="6960" w:space="720"/>
            <w:col w:w="3680"/>
          </w:cols>
          <w:pgMar w:left="280" w:top="580" w:right="259" w:bottom="1440" w:gutter="0" w:footer="0" w:header="0"/>
          <w:type w:val="continuous"/>
        </w:sectPr>
      </w:pPr>
    </w:p>
    <w:tbl>
      <w:tblPr>
        <w:tblLayout w:type="fixed"/>
        <w:tblInd w:w="0" w:type="dxa"/>
        <w:tblCellMar>
          <w:top w:w="0" w:type="dxa"/>
          <w:left w:w="0" w:type="dxa"/>
          <w:bottom w:w="0" w:type="dxa"/>
          <w:right w:w="0" w:type="dxa"/>
        </w:tblCellMar>
      </w:tblPr>
      <w:tr>
        <w:trPr>
          <w:trHeight w:val="210"/>
        </w:trPr>
        <w:tc>
          <w:tcPr>
            <w:tcW w:w="3040" w:type="dxa"/>
            <w:vAlign w:val="bottom"/>
          </w:tcPr>
          <w:p>
            <w:pPr>
              <w:spacing w:after="0"/>
              <w:rPr>
                <w:sz w:val="20"/>
                <w:szCs w:val="20"/>
                <w:color w:val="auto"/>
              </w:rPr>
            </w:pPr>
            <w:r>
              <w:rPr>
                <w:rFonts w:ascii="Arial" w:cs="Arial" w:eastAsia="Arial" w:hAnsi="Arial"/>
                <w:sz w:val="16"/>
                <w:szCs w:val="16"/>
                <w:b w:val="1"/>
                <w:bCs w:val="1"/>
                <w:color w:val="auto"/>
              </w:rPr>
              <w:t>Net revenue:</w:t>
            </w: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60"/>
              <w:spacing w:after="0"/>
              <w:rPr>
                <w:sz w:val="20"/>
                <w:szCs w:val="20"/>
                <w:color w:val="auto"/>
              </w:rPr>
            </w:pPr>
            <w:r>
              <w:rPr>
                <w:rFonts w:ascii="Arial" w:cs="Arial" w:eastAsia="Arial" w:hAnsi="Arial"/>
                <w:sz w:val="16"/>
                <w:szCs w:val="16"/>
                <w:color w:val="auto"/>
              </w:rPr>
              <w:t>Generics</w:t>
            </w:r>
          </w:p>
        </w:tc>
        <w:tc>
          <w:tcPr>
            <w:tcW w:w="42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335,064</w:t>
            </w:r>
          </w:p>
        </w:tc>
        <w:tc>
          <w:tcPr>
            <w:tcW w:w="600" w:type="dxa"/>
            <w:vAlign w:val="bottom"/>
          </w:tcPr>
          <w:p>
            <w:pPr>
              <w:jc w:val="right"/>
              <w:ind w:right="399"/>
              <w:spacing w:after="0"/>
              <w:rPr>
                <w:sz w:val="20"/>
                <w:szCs w:val="20"/>
                <w:color w:val="auto"/>
              </w:rPr>
            </w:pPr>
            <w:r>
              <w:rPr>
                <w:rFonts w:ascii="Arial" w:cs="Arial" w:eastAsia="Arial" w:hAnsi="Arial"/>
                <w:sz w:val="16"/>
                <w:szCs w:val="16"/>
                <w:color w:val="auto"/>
              </w:rPr>
              <w:t>$</w:t>
            </w: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jc w:val="right"/>
              <w:ind w:right="23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335,064</w:t>
            </w:r>
          </w:p>
        </w:tc>
        <w:tc>
          <w:tcPr>
            <w:tcW w:w="100" w:type="dxa"/>
            <w:vAlign w:val="bottom"/>
          </w:tcPr>
          <w:p>
            <w:pPr>
              <w:spacing w:after="0"/>
              <w:rPr>
                <w:sz w:val="23"/>
                <w:szCs w:val="23"/>
                <w:color w:val="auto"/>
              </w:rPr>
            </w:pPr>
          </w:p>
        </w:tc>
        <w:tc>
          <w:tcPr>
            <w:tcW w:w="42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361,770</w:t>
            </w:r>
          </w:p>
        </w:tc>
        <w:tc>
          <w:tcPr>
            <w:tcW w:w="460" w:type="dxa"/>
            <w:vAlign w:val="bottom"/>
          </w:tcPr>
          <w:p>
            <w:pPr>
              <w:jc w:val="right"/>
              <w:ind w:right="23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20,995</w:t>
            </w:r>
          </w:p>
        </w:tc>
        <w:tc>
          <w:tcPr>
            <w:tcW w:w="4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382,765</w:t>
            </w:r>
          </w:p>
        </w:tc>
        <w:tc>
          <w:tcPr>
            <w:tcW w:w="0" w:type="dxa"/>
            <w:vAlign w:val="bottom"/>
          </w:tcPr>
          <w:p>
            <w:pPr>
              <w:spacing w:after="0"/>
              <w:rPr>
                <w:sz w:val="1"/>
                <w:szCs w:val="1"/>
                <w:color w:val="auto"/>
              </w:rPr>
            </w:pPr>
          </w:p>
        </w:tc>
      </w:tr>
      <w:tr>
        <w:trPr>
          <w:trHeight w:val="270"/>
        </w:trPr>
        <w:tc>
          <w:tcPr>
            <w:tcW w:w="3040" w:type="dxa"/>
            <w:vAlign w:val="bottom"/>
          </w:tcPr>
          <w:p>
            <w:pPr>
              <w:ind w:left="160"/>
              <w:spacing w:after="0"/>
              <w:rPr>
                <w:sz w:val="20"/>
                <w:szCs w:val="20"/>
                <w:color w:val="auto"/>
              </w:rPr>
            </w:pPr>
            <w:r>
              <w:rPr>
                <w:rFonts w:ascii="Arial" w:cs="Arial" w:eastAsia="Arial" w:hAnsi="Arial"/>
                <w:sz w:val="16"/>
                <w:szCs w:val="16"/>
                <w:color w:val="auto"/>
              </w:rPr>
              <w:t>Specialty</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69,578</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69,578</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52,017</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27,546</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79,563</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ind w:left="480"/>
              <w:spacing w:after="0"/>
              <w:rPr>
                <w:sz w:val="20"/>
                <w:szCs w:val="20"/>
                <w:color w:val="auto"/>
              </w:rPr>
            </w:pPr>
            <w:r>
              <w:rPr>
                <w:rFonts w:ascii="Arial" w:cs="Arial" w:eastAsia="Arial" w:hAnsi="Arial"/>
                <w:sz w:val="16"/>
                <w:szCs w:val="16"/>
                <w:color w:val="auto"/>
              </w:rPr>
              <w:t>Total net revenue</w:t>
            </w:r>
          </w:p>
        </w:tc>
        <w:tc>
          <w:tcPr>
            <w:tcW w:w="420" w:type="dxa"/>
            <w:vAlign w:val="bottom"/>
          </w:tcPr>
          <w:p>
            <w:pPr>
              <w:spacing w:after="0"/>
              <w:rPr>
                <w:sz w:val="18"/>
                <w:szCs w:val="18"/>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404,642</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404,642</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413,787</w:t>
            </w:r>
          </w:p>
        </w:tc>
        <w:tc>
          <w:tcPr>
            <w:tcW w:w="4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48,541</w:t>
            </w:r>
          </w:p>
        </w:tc>
        <w:tc>
          <w:tcPr>
            <w:tcW w:w="4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462,328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Cost of goods sold</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296,381</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296,381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235,492</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36,335</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271,827</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Cost of goods sold impairment charges</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3,012</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3,012</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04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Gross profit</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105,249</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105,249</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178,295</w:t>
            </w:r>
          </w:p>
        </w:tc>
        <w:tc>
          <w:tcPr>
            <w:tcW w:w="4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12,206</w:t>
            </w:r>
          </w:p>
        </w:tc>
        <w:tc>
          <w:tcPr>
            <w:tcW w:w="4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190,501</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420" w:type="dxa"/>
            <w:vAlign w:val="bottom"/>
          </w:tcPr>
          <w:p>
            <w:pPr>
              <w:spacing w:after="0"/>
              <w:rPr>
                <w:sz w:val="18"/>
                <w:szCs w:val="18"/>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67,281</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67,281</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56,003</w:t>
            </w:r>
          </w:p>
        </w:tc>
        <w:tc>
          <w:tcPr>
            <w:tcW w:w="46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20,047</w:t>
            </w:r>
          </w:p>
        </w:tc>
        <w:tc>
          <w:tcPr>
            <w:tcW w:w="400" w:type="dxa"/>
            <w:vAlign w:val="bottom"/>
          </w:tcPr>
          <w:p>
            <w:pPr>
              <w:spacing w:after="0"/>
              <w:rPr>
                <w:sz w:val="18"/>
                <w:szCs w:val="18"/>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76,050</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48,016</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48,016</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50,335</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4,991</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55,326</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Acquisition, transaction-related and</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integration expenses</w:t>
            </w:r>
          </w:p>
        </w:tc>
        <w:tc>
          <w:tcPr>
            <w:tcW w:w="4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3,519</w:t>
            </w:r>
          </w:p>
        </w:tc>
        <w:tc>
          <w:tcPr>
            <w:tcW w:w="600" w:type="dxa"/>
            <w:vAlign w:val="bottom"/>
          </w:tcPr>
          <w:p>
            <w:pPr>
              <w:spacing w:after="0"/>
              <w:rPr>
                <w:sz w:val="17"/>
                <w:szCs w:val="17"/>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7"/>
                <w:szCs w:val="17"/>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3,519</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207,507</w:t>
            </w:r>
          </w:p>
        </w:tc>
        <w:tc>
          <w:tcPr>
            <w:tcW w:w="46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4,381</w:t>
            </w:r>
          </w:p>
        </w:tc>
        <w:tc>
          <w:tcPr>
            <w:tcW w:w="4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211,888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2,835</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2,835</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44,465</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223</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44,688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Legal settlement gains</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(3,000)</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expenses</w:t>
            </w:r>
          </w:p>
        </w:tc>
        <w:tc>
          <w:tcPr>
            <w:tcW w:w="4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2,511</w:t>
            </w:r>
          </w:p>
        </w:tc>
        <w:tc>
          <w:tcPr>
            <w:tcW w:w="600" w:type="dxa"/>
            <w:vAlign w:val="bottom"/>
          </w:tcPr>
          <w:p>
            <w:pPr>
              <w:spacing w:after="0"/>
              <w:rPr>
                <w:sz w:val="17"/>
                <w:szCs w:val="17"/>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7"/>
                <w:szCs w:val="17"/>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2,511</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4,047</w:t>
            </w:r>
          </w:p>
        </w:tc>
        <w:tc>
          <w:tcPr>
            <w:tcW w:w="460" w:type="dxa"/>
            <w:vAlign w:val="bottom"/>
          </w:tcPr>
          <w:p>
            <w:pPr>
              <w:spacing w:after="0"/>
              <w:rPr>
                <w:sz w:val="17"/>
                <w:szCs w:val="17"/>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4,047</w:t>
            </w:r>
          </w:p>
        </w:tc>
        <w:tc>
          <w:tcPr>
            <w:tcW w:w="0" w:type="dxa"/>
            <w:vAlign w:val="bottom"/>
          </w:tcPr>
          <w:p>
            <w:pPr>
              <w:spacing w:after="0"/>
              <w:rPr>
                <w:sz w:val="1"/>
                <w:szCs w:val="1"/>
                <w:color w:val="auto"/>
              </w:rPr>
            </w:pPr>
          </w:p>
        </w:tc>
      </w:tr>
      <w:tr>
        <w:trPr>
          <w:trHeight w:val="33"/>
        </w:trPr>
        <w:tc>
          <w:tcPr>
            <w:tcW w:w="304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Operating loss</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(18,913)</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(18,913)</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(181,062)</w:t>
            </w:r>
          </w:p>
        </w:tc>
        <w:tc>
          <w:tcPr>
            <w:tcW w:w="4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(17,436)</w:t>
            </w: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(198,498)</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color w:val="auto"/>
              </w:rPr>
              <w:t>Other (expense) income:</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3040" w:type="dxa"/>
            <w:vAlign w:val="bottom"/>
            <w:vMerge w:val="continue"/>
          </w:tcPr>
          <w:p>
            <w:pPr>
              <w:spacing w:after="0"/>
              <w:rPr>
                <w:sz w:val="20"/>
                <w:szCs w:val="20"/>
                <w:color w:val="auto"/>
              </w:rPr>
            </w:pPr>
          </w:p>
        </w:tc>
        <w:tc>
          <w:tcPr>
            <w:tcW w:w="4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Interest expense, net</w:t>
            </w:r>
          </w:p>
        </w:tc>
        <w:tc>
          <w:tcPr>
            <w:tcW w:w="4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(43,886)</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(43,886)</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(36,622)</w:t>
            </w:r>
          </w:p>
        </w:tc>
        <w:tc>
          <w:tcPr>
            <w:tcW w:w="46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(4,539)</w:t>
            </w:r>
          </w:p>
        </w:tc>
        <w:tc>
          <w:tcPr>
            <w:tcW w:w="4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(41,161)</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Foreign exchange gain (loss), net</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8,311</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8,311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(25,946)</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(25,946)</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(19,667)</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Loss on sale of international businesses</w:t>
            </w:r>
          </w:p>
        </w:tc>
        <w:tc>
          <w:tcPr>
            <w:tcW w:w="4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(1,888)</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(1,888)</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Other income (expense), net</w:t>
            </w:r>
          </w:p>
        </w:tc>
        <w:tc>
          <w:tcPr>
            <w:tcW w:w="420" w:type="dxa"/>
            <w:vAlign w:val="bottom"/>
          </w:tcPr>
          <w:p>
            <w:pPr>
              <w:spacing w:after="0"/>
              <w:rPr>
                <w:sz w:val="23"/>
                <w:szCs w:val="23"/>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149</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149</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791</w:t>
            </w:r>
          </w:p>
        </w:tc>
        <w:tc>
          <w:tcPr>
            <w:tcW w:w="46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(14)</w:t>
            </w:r>
          </w:p>
        </w:tc>
        <w:tc>
          <w:tcPr>
            <w:tcW w:w="4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777</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Total other expense, net</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(37,314)</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(37,314)</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(81,444)</w:t>
            </w:r>
          </w:p>
        </w:tc>
        <w:tc>
          <w:tcPr>
            <w:tcW w:w="4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(4,553)</w:t>
            </w: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(85,997)</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(56,227)</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(56,227)</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(262,506)</w:t>
            </w:r>
          </w:p>
        </w:tc>
        <w:tc>
          <w:tcPr>
            <w:tcW w:w="4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(21,989)</w:t>
            </w: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(284,495)</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(Benefit from) provision for income taxes</w:t>
            </w:r>
          </w:p>
        </w:tc>
        <w:tc>
          <w:tcPr>
            <w:tcW w:w="42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(5,701)</w:t>
            </w:r>
          </w:p>
        </w:tc>
        <w:tc>
          <w:tcPr>
            <w:tcW w:w="600" w:type="dxa"/>
            <w:vAlign w:val="bottom"/>
          </w:tcPr>
          <w:p>
            <w:pPr>
              <w:spacing w:after="0"/>
              <w:rPr>
                <w:sz w:val="23"/>
                <w:szCs w:val="23"/>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23"/>
                <w:szCs w:val="23"/>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(5,701)</w:t>
            </w:r>
          </w:p>
        </w:tc>
        <w:tc>
          <w:tcPr>
            <w:tcW w:w="1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(12,416)</w:t>
            </w:r>
          </w:p>
        </w:tc>
        <w:tc>
          <w:tcPr>
            <w:tcW w:w="46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1,017</w:t>
            </w:r>
          </w:p>
        </w:tc>
        <w:tc>
          <w:tcPr>
            <w:tcW w:w="40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(11,399)</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(50,526)</w:t>
            </w:r>
          </w:p>
        </w:tc>
        <w:tc>
          <w:tcPr>
            <w:tcW w:w="600" w:type="dxa"/>
            <w:vAlign w:val="bottom"/>
          </w:tcPr>
          <w:p>
            <w:pPr>
              <w:spacing w:after="0"/>
              <w:rPr>
                <w:sz w:val="18"/>
                <w:szCs w:val="18"/>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(50,526)</w:t>
            </w:r>
          </w:p>
        </w:tc>
        <w:tc>
          <w:tcPr>
            <w:tcW w:w="1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(250,090)</w:t>
            </w:r>
          </w:p>
        </w:tc>
        <w:tc>
          <w:tcPr>
            <w:tcW w:w="46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(23,006)</w:t>
            </w:r>
          </w:p>
        </w:tc>
        <w:tc>
          <w:tcPr>
            <w:tcW w:w="4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(273,096)</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Less: Net loss attributable to Amneal</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Pharmaceuticals LLC pre-Combination</w:t>
            </w:r>
          </w:p>
        </w:tc>
        <w:tc>
          <w:tcPr>
            <w:tcW w:w="4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7"/>
                <w:szCs w:val="17"/>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200,341</w:t>
            </w:r>
          </w:p>
        </w:tc>
        <w:tc>
          <w:tcPr>
            <w:tcW w:w="4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w w:val="97"/>
              </w:rPr>
              <w:t>Less: Net loss attributable to non-controlling</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interests</w:t>
            </w:r>
          </w:p>
        </w:tc>
        <w:tc>
          <w:tcPr>
            <w:tcW w:w="4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33,624</w:t>
            </w:r>
          </w:p>
        </w:tc>
        <w:tc>
          <w:tcPr>
            <w:tcW w:w="600" w:type="dxa"/>
            <w:vAlign w:val="bottom"/>
          </w:tcPr>
          <w:p>
            <w:pPr>
              <w:spacing w:after="0"/>
              <w:rPr>
                <w:sz w:val="17"/>
                <w:szCs w:val="17"/>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7"/>
                <w:szCs w:val="17"/>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33,624</w:t>
            </w: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31,885</w:t>
            </w:r>
          </w:p>
        </w:tc>
        <w:tc>
          <w:tcPr>
            <w:tcW w:w="4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Accretion of redeemable non-controlling</w:t>
            </w:r>
          </w:p>
        </w:tc>
        <w:tc>
          <w:tcPr>
            <w:tcW w:w="4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interest</w:t>
            </w:r>
          </w:p>
        </w:tc>
        <w:tc>
          <w:tcPr>
            <w:tcW w:w="420" w:type="dxa"/>
            <w:vAlign w:val="bottom"/>
          </w:tcPr>
          <w:p>
            <w:pPr>
              <w:spacing w:after="0"/>
              <w:rPr>
                <w:sz w:val="17"/>
                <w:szCs w:val="17"/>
                <w:color w:val="auto"/>
              </w:rPr>
            </w:pPr>
          </w:p>
        </w:tc>
        <w:tc>
          <w:tcPr>
            <w:tcW w:w="94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600" w:type="dxa"/>
            <w:vAlign w:val="bottom"/>
          </w:tcPr>
          <w:p>
            <w:pPr>
              <w:spacing w:after="0"/>
              <w:rPr>
                <w:sz w:val="17"/>
                <w:szCs w:val="17"/>
                <w:color w:val="auto"/>
              </w:rPr>
            </w:pPr>
          </w:p>
        </w:tc>
        <w:tc>
          <w:tcPr>
            <w:tcW w:w="720" w:type="dxa"/>
            <w:vAlign w:val="bottom"/>
          </w:tcPr>
          <w:p>
            <w:pPr>
              <w:ind w:left="500"/>
              <w:spacing w:after="0"/>
              <w:rPr>
                <w:sz w:val="20"/>
                <w:szCs w:val="20"/>
                <w:color w:val="auto"/>
              </w:rPr>
            </w:pPr>
            <w:r>
              <w:rPr>
                <w:rFonts w:ascii="Arial" w:cs="Arial" w:eastAsia="Arial" w:hAnsi="Arial"/>
                <w:sz w:val="16"/>
                <w:szCs w:val="16"/>
                <w:color w:val="auto"/>
              </w:rPr>
              <w:t>—</w:t>
            </w:r>
          </w:p>
        </w:tc>
        <w:tc>
          <w:tcPr>
            <w:tcW w:w="46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42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(1,240)</w:t>
            </w:r>
          </w:p>
        </w:tc>
        <w:tc>
          <w:tcPr>
            <w:tcW w:w="4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loss attributable to Amneal</w:t>
            </w:r>
          </w:p>
        </w:tc>
        <w:tc>
          <w:tcPr>
            <w:tcW w:w="4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460" w:type="dxa"/>
            <w:vAlign w:val="bottom"/>
          </w:tcPr>
          <w:p>
            <w:pPr>
              <w:spacing w:after="0"/>
              <w:rPr>
                <w:sz w:val="2"/>
                <w:szCs w:val="2"/>
                <w:color w:val="auto"/>
              </w:rPr>
            </w:pPr>
          </w:p>
        </w:tc>
        <w:tc>
          <w:tcPr>
            <w:tcW w:w="9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040" w:type="dxa"/>
            <w:vAlign w:val="bottom"/>
            <w:vMerge w:val="continue"/>
          </w:tcPr>
          <w:p>
            <w:pPr>
              <w:spacing w:after="0"/>
              <w:rPr>
                <w:sz w:val="17"/>
                <w:szCs w:val="17"/>
                <w:color w:val="auto"/>
              </w:rPr>
            </w:pPr>
          </w:p>
        </w:tc>
        <w:tc>
          <w:tcPr>
            <w:tcW w:w="420" w:type="dxa"/>
            <w:vAlign w:val="bottom"/>
            <w:vMerge w:val="restart"/>
          </w:tcPr>
          <w:p>
            <w:pPr>
              <w:jc w:val="right"/>
              <w:ind w:right="219"/>
              <w:spacing w:after="0"/>
              <w:rPr>
                <w:sz w:val="20"/>
                <w:szCs w:val="20"/>
                <w:color w:val="auto"/>
              </w:rPr>
            </w:pPr>
            <w:r>
              <w:rPr>
                <w:rFonts w:ascii="Arial" w:cs="Arial" w:eastAsia="Arial" w:hAnsi="Arial"/>
                <w:sz w:val="16"/>
                <w:szCs w:val="16"/>
                <w:color w:val="auto"/>
              </w:rPr>
              <w:t>$</w:t>
            </w:r>
          </w:p>
        </w:tc>
        <w:tc>
          <w:tcPr>
            <w:tcW w:w="940" w:type="dxa"/>
            <w:vAlign w:val="bottom"/>
            <w:vMerge w:val="restart"/>
          </w:tcPr>
          <w:p>
            <w:pPr>
              <w:jc w:val="right"/>
              <w:spacing w:after="0"/>
              <w:rPr>
                <w:sz w:val="20"/>
                <w:szCs w:val="20"/>
                <w:color w:val="auto"/>
              </w:rPr>
            </w:pPr>
            <w:r>
              <w:rPr>
                <w:rFonts w:ascii="Arial" w:cs="Arial" w:eastAsia="Arial" w:hAnsi="Arial"/>
                <w:sz w:val="16"/>
                <w:szCs w:val="16"/>
                <w:color w:val="auto"/>
              </w:rPr>
              <w:t>(16,902)</w:t>
            </w:r>
          </w:p>
        </w:tc>
        <w:tc>
          <w:tcPr>
            <w:tcW w:w="600" w:type="dxa"/>
            <w:vAlign w:val="bottom"/>
            <w:vMerge w:val="restart"/>
          </w:tcPr>
          <w:p>
            <w:pPr>
              <w:jc w:val="right"/>
              <w:ind w:right="399"/>
              <w:spacing w:after="0"/>
              <w:rPr>
                <w:sz w:val="20"/>
                <w:szCs w:val="20"/>
                <w:color w:val="auto"/>
              </w:rPr>
            </w:pPr>
            <w:r>
              <w:rPr>
                <w:rFonts w:ascii="Arial" w:cs="Arial" w:eastAsia="Arial" w:hAnsi="Arial"/>
                <w:sz w:val="16"/>
                <w:szCs w:val="16"/>
                <w:color w:val="auto"/>
              </w:rPr>
              <w:t>$</w:t>
            </w:r>
          </w:p>
        </w:tc>
        <w:tc>
          <w:tcPr>
            <w:tcW w:w="720" w:type="dxa"/>
            <w:vAlign w:val="bottom"/>
            <w:vMerge w:val="restart"/>
          </w:tcPr>
          <w:p>
            <w:pPr>
              <w:ind w:left="500"/>
              <w:spacing w:after="0"/>
              <w:rPr>
                <w:sz w:val="20"/>
                <w:szCs w:val="20"/>
                <w:color w:val="auto"/>
              </w:rPr>
            </w:pPr>
            <w:r>
              <w:rPr>
                <w:rFonts w:ascii="Arial" w:cs="Arial" w:eastAsia="Arial" w:hAnsi="Arial"/>
                <w:sz w:val="16"/>
                <w:szCs w:val="16"/>
                <w:color w:val="auto"/>
              </w:rPr>
              <w:t>—</w:t>
            </w:r>
          </w:p>
        </w:tc>
        <w:tc>
          <w:tcPr>
            <w:tcW w:w="460" w:type="dxa"/>
            <w:vAlign w:val="bottom"/>
            <w:vMerge w:val="restart"/>
          </w:tcPr>
          <w:p>
            <w:pPr>
              <w:jc w:val="right"/>
              <w:ind w:right="239"/>
              <w:spacing w:after="0"/>
              <w:rPr>
                <w:sz w:val="20"/>
                <w:szCs w:val="20"/>
                <w:color w:val="auto"/>
              </w:rPr>
            </w:pPr>
            <w:r>
              <w:rPr>
                <w:rFonts w:ascii="Arial" w:cs="Arial" w:eastAsia="Arial" w:hAnsi="Arial"/>
                <w:sz w:val="16"/>
                <w:szCs w:val="16"/>
                <w:color w:val="auto"/>
              </w:rPr>
              <w:t>$</w:t>
            </w:r>
          </w:p>
        </w:tc>
        <w:tc>
          <w:tcPr>
            <w:tcW w:w="940" w:type="dxa"/>
            <w:vAlign w:val="bottom"/>
            <w:vMerge w:val="restart"/>
          </w:tcPr>
          <w:p>
            <w:pPr>
              <w:jc w:val="right"/>
              <w:spacing w:after="0"/>
              <w:rPr>
                <w:sz w:val="20"/>
                <w:szCs w:val="20"/>
                <w:color w:val="auto"/>
              </w:rPr>
            </w:pPr>
            <w:r>
              <w:rPr>
                <w:rFonts w:ascii="Arial" w:cs="Arial" w:eastAsia="Arial" w:hAnsi="Arial"/>
                <w:sz w:val="16"/>
                <w:szCs w:val="16"/>
                <w:color w:val="auto"/>
              </w:rPr>
              <w:t>(16,902)</w:t>
            </w:r>
          </w:p>
        </w:tc>
        <w:tc>
          <w:tcPr>
            <w:tcW w:w="100" w:type="dxa"/>
            <w:vAlign w:val="bottom"/>
          </w:tcPr>
          <w:p>
            <w:pPr>
              <w:spacing w:after="0"/>
              <w:rPr>
                <w:sz w:val="17"/>
                <w:szCs w:val="17"/>
                <w:color w:val="auto"/>
              </w:rPr>
            </w:pPr>
          </w:p>
        </w:tc>
        <w:tc>
          <w:tcPr>
            <w:tcW w:w="420" w:type="dxa"/>
            <w:vAlign w:val="bottom"/>
            <w:vMerge w:val="restart"/>
          </w:tcPr>
          <w:p>
            <w:pPr>
              <w:jc w:val="right"/>
              <w:ind w:right="239"/>
              <w:spacing w:after="0"/>
              <w:rPr>
                <w:sz w:val="20"/>
                <w:szCs w:val="20"/>
                <w:color w:val="auto"/>
              </w:rPr>
            </w:pPr>
            <w:r>
              <w:rPr>
                <w:rFonts w:ascii="Arial" w:cs="Arial" w:eastAsia="Arial" w:hAnsi="Arial"/>
                <w:sz w:val="16"/>
                <w:szCs w:val="16"/>
                <w:color w:val="auto"/>
                <w:w w:val="89"/>
              </w:rPr>
              <w:t>$</w:t>
            </w: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(19,104)</w:t>
            </w:r>
          </w:p>
        </w:tc>
        <w:tc>
          <w:tcPr>
            <w:tcW w:w="4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3040" w:type="dxa"/>
            <w:vAlign w:val="bottom"/>
          </w:tcPr>
          <w:p>
            <w:pPr>
              <w:spacing w:after="0"/>
              <w:rPr>
                <w:sz w:val="20"/>
                <w:szCs w:val="20"/>
                <w:color w:val="auto"/>
              </w:rPr>
            </w:pPr>
            <w:r>
              <w:rPr>
                <w:rFonts w:ascii="Arial" w:cs="Arial" w:eastAsia="Arial" w:hAnsi="Arial"/>
                <w:sz w:val="16"/>
                <w:szCs w:val="16"/>
                <w:b w:val="1"/>
                <w:bCs w:val="1"/>
                <w:color w:val="auto"/>
              </w:rPr>
              <w:t>Pharmaceuticals, Inc.</w:t>
            </w:r>
          </w:p>
        </w:tc>
        <w:tc>
          <w:tcPr>
            <w:tcW w:w="420" w:type="dxa"/>
            <w:vAlign w:val="bottom"/>
            <w:tcBorders>
              <w:bottom w:val="single" w:sz="8" w:color="auto"/>
            </w:tcBorders>
            <w:vMerge w:val="continue"/>
          </w:tcPr>
          <w:p>
            <w:pPr>
              <w:spacing w:after="0"/>
              <w:rPr>
                <w:sz w:val="19"/>
                <w:szCs w:val="19"/>
                <w:color w:val="auto"/>
              </w:rPr>
            </w:pPr>
          </w:p>
        </w:tc>
        <w:tc>
          <w:tcPr>
            <w:tcW w:w="940" w:type="dxa"/>
            <w:vAlign w:val="bottom"/>
            <w:tcBorders>
              <w:bottom w:val="single" w:sz="8" w:color="auto"/>
            </w:tcBorders>
            <w:vMerge w:val="continue"/>
          </w:tcPr>
          <w:p>
            <w:pPr>
              <w:spacing w:after="0"/>
              <w:rPr>
                <w:sz w:val="19"/>
                <w:szCs w:val="19"/>
                <w:color w:val="auto"/>
              </w:rPr>
            </w:pPr>
          </w:p>
        </w:tc>
        <w:tc>
          <w:tcPr>
            <w:tcW w:w="600" w:type="dxa"/>
            <w:vAlign w:val="bottom"/>
            <w:tcBorders>
              <w:bottom w:val="single" w:sz="8" w:color="auto"/>
            </w:tcBorders>
            <w:vMerge w:val="continue"/>
          </w:tcPr>
          <w:p>
            <w:pPr>
              <w:spacing w:after="0"/>
              <w:rPr>
                <w:sz w:val="19"/>
                <w:szCs w:val="19"/>
                <w:color w:val="auto"/>
              </w:rPr>
            </w:pPr>
          </w:p>
        </w:tc>
        <w:tc>
          <w:tcPr>
            <w:tcW w:w="720" w:type="dxa"/>
            <w:vAlign w:val="bottom"/>
            <w:tcBorders>
              <w:bottom w:val="single" w:sz="8" w:color="auto"/>
            </w:tcBorders>
            <w:vMerge w:val="continue"/>
          </w:tcPr>
          <w:p>
            <w:pPr>
              <w:spacing w:after="0"/>
              <w:rPr>
                <w:sz w:val="19"/>
                <w:szCs w:val="19"/>
                <w:color w:val="auto"/>
              </w:rPr>
            </w:pPr>
          </w:p>
        </w:tc>
        <w:tc>
          <w:tcPr>
            <w:tcW w:w="460" w:type="dxa"/>
            <w:vAlign w:val="bottom"/>
            <w:tcBorders>
              <w:bottom w:val="single" w:sz="8" w:color="auto"/>
            </w:tcBorders>
            <w:vMerge w:val="continue"/>
          </w:tcPr>
          <w:p>
            <w:pPr>
              <w:spacing w:after="0"/>
              <w:rPr>
                <w:sz w:val="19"/>
                <w:szCs w:val="19"/>
                <w:color w:val="auto"/>
              </w:rPr>
            </w:pPr>
          </w:p>
        </w:tc>
        <w:tc>
          <w:tcPr>
            <w:tcW w:w="94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420" w:type="dxa"/>
            <w:vAlign w:val="bottom"/>
            <w:tcBorders>
              <w:bottom w:val="single" w:sz="8" w:color="auto"/>
            </w:tcBorders>
            <w:vMerge w:val="continue"/>
          </w:tcPr>
          <w:p>
            <w:pPr>
              <w:spacing w:after="0"/>
              <w:rPr>
                <w:sz w:val="19"/>
                <w:szCs w:val="19"/>
                <w:color w:val="auto"/>
              </w:rPr>
            </w:pPr>
          </w:p>
        </w:tc>
        <w:tc>
          <w:tcPr>
            <w:tcW w:w="960" w:type="dxa"/>
            <w:vAlign w:val="bottom"/>
            <w:tcBorders>
              <w:bottom w:val="single" w:sz="8" w:color="auto"/>
            </w:tcBorders>
            <w:vMerge w:val="continue"/>
          </w:tcPr>
          <w:p>
            <w:pPr>
              <w:spacing w:after="0"/>
              <w:rPr>
                <w:sz w:val="19"/>
                <w:szCs w:val="19"/>
                <w:color w:val="auto"/>
              </w:rPr>
            </w:pPr>
          </w:p>
        </w:tc>
        <w:tc>
          <w:tcPr>
            <w:tcW w:w="4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13 of 23</w:t>
      </w:r>
    </w:p>
    <w:p>
      <w:pPr>
        <w:sectPr>
          <w:pgSz w:w="11900" w:h="16838" w:orient="portrait"/>
          <w:cols w:equalWidth="0" w:num="1">
            <w:col w:w="11360"/>
          </w:cols>
          <w:pgMar w:left="280" w:top="580" w:right="259" w:bottom="1440" w:gutter="0" w:footer="0" w:header="0"/>
          <w:type w:val="continuous"/>
        </w:sectPr>
      </w:pPr>
    </w:p>
    <w:bookmarkStart w:id="16" w:name="page17"/>
    <w:bookmarkEnd w:id="16"/>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Non-GAAP Combined Results of Operations</w:t>
      </w:r>
    </w:p>
    <w:p>
      <w:pPr>
        <w:spacing w:after="0" w:line="13"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90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89"/>
              </w:rPr>
              <w:t>Six months ended June 30, 2019</w:t>
            </w:r>
          </w:p>
        </w:tc>
        <w:tc>
          <w:tcPr>
            <w:tcW w:w="300" w:type="dxa"/>
            <w:vAlign w:val="bottom"/>
          </w:tcPr>
          <w:p>
            <w:pPr>
              <w:spacing w:after="0"/>
              <w:rPr>
                <w:sz w:val="18"/>
                <w:szCs w:val="18"/>
                <w:color w:val="auto"/>
              </w:rPr>
            </w:pPr>
          </w:p>
        </w:tc>
        <w:tc>
          <w:tcPr>
            <w:tcW w:w="382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43"/>
        </w:trPr>
        <w:tc>
          <w:tcPr>
            <w:tcW w:w="304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jc w:val="center"/>
              <w:ind w:right="79"/>
              <w:spacing w:after="0"/>
              <w:rPr>
                <w:sz w:val="20"/>
                <w:szCs w:val="20"/>
                <w:color w:val="auto"/>
              </w:rPr>
            </w:pPr>
            <w:r>
              <w:rPr>
                <w:rFonts w:ascii="Arial" w:cs="Arial" w:eastAsia="Arial" w:hAnsi="Arial"/>
                <w:sz w:val="16"/>
                <w:szCs w:val="16"/>
                <w:b w:val="1"/>
                <w:bCs w:val="1"/>
                <w:color w:val="auto"/>
                <w:w w:val="93"/>
              </w:rPr>
              <w:t>Add:</w:t>
            </w: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59"/>
        </w:trPr>
        <w:tc>
          <w:tcPr>
            <w:tcW w:w="30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4"/>
                <w:szCs w:val="24"/>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20" w:type="dxa"/>
            <w:vAlign w:val="bottom"/>
          </w:tcPr>
          <w:p>
            <w:pPr>
              <w:spacing w:after="0"/>
              <w:rPr>
                <w:sz w:val="24"/>
                <w:szCs w:val="24"/>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4"/>
                <w:szCs w:val="24"/>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4"/>
                <w:szCs w:val="24"/>
                <w:color w:val="auto"/>
              </w:rPr>
            </w:pPr>
          </w:p>
        </w:tc>
        <w:tc>
          <w:tcPr>
            <w:tcW w:w="1220" w:type="dxa"/>
            <w:vAlign w:val="bottom"/>
          </w:tcPr>
          <w:p>
            <w:pPr>
              <w:jc w:val="center"/>
              <w:ind w:right="79"/>
              <w:spacing w:after="0"/>
              <w:rPr>
                <w:sz w:val="20"/>
                <w:szCs w:val="20"/>
                <w:color w:val="auto"/>
              </w:rPr>
            </w:pPr>
            <w:r>
              <w:rPr>
                <w:rFonts w:ascii="Arial" w:cs="Arial" w:eastAsia="Arial" w:hAnsi="Arial"/>
                <w:sz w:val="16"/>
                <w:szCs w:val="16"/>
                <w:b w:val="1"/>
                <w:bCs w:val="1"/>
                <w:color w:val="auto"/>
                <w:w w:val="96"/>
              </w:rPr>
              <w:t>Impax/ Gemini</w:t>
            </w:r>
          </w:p>
        </w:tc>
        <w:tc>
          <w:tcPr>
            <w:tcW w:w="160" w:type="dxa"/>
            <w:vAlign w:val="bottom"/>
          </w:tcPr>
          <w:p>
            <w:pPr>
              <w:spacing w:after="0"/>
              <w:rPr>
                <w:sz w:val="24"/>
                <w:szCs w:val="24"/>
                <w:color w:val="auto"/>
              </w:rPr>
            </w:pPr>
          </w:p>
        </w:tc>
        <w:tc>
          <w:tcPr>
            <w:tcW w:w="120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revenue:</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304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60"/>
              <w:spacing w:after="0"/>
              <w:rPr>
                <w:sz w:val="20"/>
                <w:szCs w:val="20"/>
                <w:color w:val="auto"/>
              </w:rPr>
            </w:pPr>
            <w:r>
              <w:rPr>
                <w:rFonts w:ascii="Arial" w:cs="Arial" w:eastAsia="Arial" w:hAnsi="Arial"/>
                <w:sz w:val="16"/>
                <w:szCs w:val="16"/>
                <w:color w:val="auto"/>
              </w:rPr>
              <w:t>Generics</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717,541</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717,541</w:t>
            </w:r>
          </w:p>
        </w:tc>
        <w:tc>
          <w:tcPr>
            <w:tcW w:w="100" w:type="dxa"/>
            <w:vAlign w:val="bottom"/>
          </w:tcPr>
          <w:p>
            <w:pPr>
              <w:spacing w:after="0"/>
              <w:rPr>
                <w:sz w:val="23"/>
                <w:szCs w:val="23"/>
                <w:color w:val="auto"/>
              </w:rPr>
            </w:pP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636,959</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102,237</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739,196</w:t>
            </w:r>
          </w:p>
        </w:tc>
        <w:tc>
          <w:tcPr>
            <w:tcW w:w="0" w:type="dxa"/>
            <w:vAlign w:val="bottom"/>
          </w:tcPr>
          <w:p>
            <w:pPr>
              <w:spacing w:after="0"/>
              <w:rPr>
                <w:sz w:val="1"/>
                <w:szCs w:val="1"/>
                <w:color w:val="auto"/>
              </w:rPr>
            </w:pPr>
          </w:p>
        </w:tc>
      </w:tr>
      <w:tr>
        <w:trPr>
          <w:trHeight w:val="270"/>
        </w:trPr>
        <w:tc>
          <w:tcPr>
            <w:tcW w:w="3040" w:type="dxa"/>
            <w:vAlign w:val="bottom"/>
          </w:tcPr>
          <w:p>
            <w:pPr>
              <w:ind w:left="160"/>
              <w:spacing w:after="0"/>
              <w:rPr>
                <w:sz w:val="20"/>
                <w:szCs w:val="20"/>
                <w:color w:val="auto"/>
              </w:rPr>
            </w:pPr>
            <w:r>
              <w:rPr>
                <w:rFonts w:ascii="Arial" w:cs="Arial" w:eastAsia="Arial" w:hAnsi="Arial"/>
                <w:sz w:val="16"/>
                <w:szCs w:val="16"/>
                <w:color w:val="auto"/>
              </w:rPr>
              <w:t>Specialty</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133,221</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133,221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52,017</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96,245</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148,262</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ind w:left="480"/>
              <w:spacing w:after="0"/>
              <w:rPr>
                <w:sz w:val="20"/>
                <w:szCs w:val="20"/>
                <w:color w:val="auto"/>
              </w:rPr>
            </w:pPr>
            <w:r>
              <w:rPr>
                <w:rFonts w:ascii="Arial" w:cs="Arial" w:eastAsia="Arial" w:hAnsi="Arial"/>
                <w:sz w:val="16"/>
                <w:szCs w:val="16"/>
                <w:color w:val="auto"/>
              </w:rPr>
              <w:t>Total net revenue</w:t>
            </w:r>
          </w:p>
        </w:tc>
        <w:tc>
          <w:tcPr>
            <w:tcW w:w="300" w:type="dxa"/>
            <w:vAlign w:val="bottom"/>
          </w:tcPr>
          <w:p>
            <w:pPr>
              <w:spacing w:after="0"/>
              <w:rPr>
                <w:sz w:val="18"/>
                <w:szCs w:val="18"/>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850,762</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850,762</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688,976</w:t>
            </w:r>
          </w:p>
        </w:tc>
        <w:tc>
          <w:tcPr>
            <w:tcW w:w="160" w:type="dxa"/>
            <w:vAlign w:val="bottom"/>
          </w:tcPr>
          <w:p>
            <w:pPr>
              <w:spacing w:after="0"/>
              <w:rPr>
                <w:sz w:val="18"/>
                <w:szCs w:val="18"/>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198,482</w:t>
            </w:r>
          </w:p>
        </w:tc>
        <w:tc>
          <w:tcPr>
            <w:tcW w:w="160" w:type="dxa"/>
            <w:vAlign w:val="bottom"/>
          </w:tcPr>
          <w:p>
            <w:pPr>
              <w:spacing w:after="0"/>
              <w:rPr>
                <w:sz w:val="18"/>
                <w:szCs w:val="18"/>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887,458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Cost of goods sold</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606,124</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606,124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366,086</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149,492</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515,578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Cost of goods sold impairment charges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56,309</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56,309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04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Gross profit</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188,329</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188,329</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322,890</w:t>
            </w:r>
          </w:p>
        </w:tc>
        <w:tc>
          <w:tcPr>
            <w:tcW w:w="160" w:type="dxa"/>
            <w:vAlign w:val="bottom"/>
          </w:tcPr>
          <w:p>
            <w:pPr>
              <w:spacing w:after="0"/>
              <w:rPr>
                <w:sz w:val="18"/>
                <w:szCs w:val="18"/>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48,990</w:t>
            </w:r>
          </w:p>
        </w:tc>
        <w:tc>
          <w:tcPr>
            <w:tcW w:w="160" w:type="dxa"/>
            <w:vAlign w:val="bottom"/>
          </w:tcPr>
          <w:p>
            <w:pPr>
              <w:spacing w:after="0"/>
              <w:rPr>
                <w:sz w:val="18"/>
                <w:szCs w:val="18"/>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371,880</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20"/>
                <w:szCs w:val="20"/>
                <w:color w:val="auto"/>
              </w:rPr>
            </w:pPr>
            <w:r>
              <w:rPr>
                <w:rFonts w:ascii="Arial" w:cs="Arial" w:eastAsia="Arial" w:hAnsi="Arial"/>
                <w:sz w:val="16"/>
                <w:szCs w:val="16"/>
                <w:color w:val="auto"/>
              </w:rPr>
              <w:t>Selling, general and administrative</w:t>
            </w:r>
          </w:p>
        </w:tc>
        <w:tc>
          <w:tcPr>
            <w:tcW w:w="300" w:type="dxa"/>
            <w:vAlign w:val="bottom"/>
          </w:tcPr>
          <w:p>
            <w:pPr>
              <w:spacing w:after="0"/>
              <w:rPr>
                <w:sz w:val="18"/>
                <w:szCs w:val="18"/>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151,717</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151,717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81,124</w:t>
            </w:r>
          </w:p>
        </w:tc>
        <w:tc>
          <w:tcPr>
            <w:tcW w:w="160" w:type="dxa"/>
            <w:vAlign w:val="bottom"/>
          </w:tcPr>
          <w:p>
            <w:pPr>
              <w:spacing w:after="0"/>
              <w:rPr>
                <w:sz w:val="18"/>
                <w:szCs w:val="18"/>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64,013</w:t>
            </w:r>
          </w:p>
        </w:tc>
        <w:tc>
          <w:tcPr>
            <w:tcW w:w="160" w:type="dxa"/>
            <w:vAlign w:val="bottom"/>
          </w:tcPr>
          <w:p>
            <w:pPr>
              <w:spacing w:after="0"/>
              <w:rPr>
                <w:sz w:val="18"/>
                <w:szCs w:val="18"/>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145,137</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Research and development</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101,874</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101,874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94,544</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17,287</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111,831</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In-process research and development</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impairment charges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22,787</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22,787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Acquisition, transaction-related and</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integration expenses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9,551</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9,551</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214,642</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10,925</w:t>
            </w:r>
          </w:p>
        </w:tc>
        <w:tc>
          <w:tcPr>
            <w:tcW w:w="16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225,567</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Restructuring and other charges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8,996</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8,996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5,123</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49,588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Legal settlement gains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(3,000)</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(3,000)</w:t>
            </w: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Intellectual property legal development</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expenses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6,677</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6,677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8,623</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23</w:t>
            </w:r>
          </w:p>
        </w:tc>
        <w:tc>
          <w:tcPr>
            <w:tcW w:w="16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8,646</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Litigation, settlements and related charges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90,099</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90,099</w:t>
            </w:r>
          </w:p>
        </w:tc>
        <w:tc>
          <w:tcPr>
            <w:tcW w:w="0" w:type="dxa"/>
            <w:vAlign w:val="bottom"/>
          </w:tcPr>
          <w:p>
            <w:pPr>
              <w:spacing w:after="0"/>
              <w:rPr>
                <w:sz w:val="1"/>
                <w:szCs w:val="1"/>
                <w:color w:val="auto"/>
              </w:rPr>
            </w:pPr>
          </w:p>
        </w:tc>
      </w:tr>
      <w:tr>
        <w:trPr>
          <w:trHeight w:val="33"/>
        </w:trPr>
        <w:tc>
          <w:tcPr>
            <w:tcW w:w="3040" w:type="dxa"/>
            <w:vAlign w:val="bottom"/>
            <w:vMerge w:val="restart"/>
          </w:tcPr>
          <w:p>
            <w:pPr>
              <w:ind w:left="480"/>
              <w:spacing w:after="0"/>
              <w:rPr>
                <w:sz w:val="20"/>
                <w:szCs w:val="20"/>
                <w:color w:val="auto"/>
              </w:rPr>
            </w:pPr>
            <w:r>
              <w:rPr>
                <w:rFonts w:ascii="Arial" w:cs="Arial" w:eastAsia="Arial" w:hAnsi="Arial"/>
                <w:sz w:val="16"/>
                <w:szCs w:val="16"/>
                <w:b w:val="1"/>
                <w:bCs w:val="1"/>
                <w:color w:val="auto"/>
              </w:rPr>
              <w:t>Operating loss</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(113,273)</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(113,273)</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(117,508 )</w:t>
            </w: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(138,480 )</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(255,988 )</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color w:val="auto"/>
              </w:rPr>
              <w:t>Other (expense) income:</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3040" w:type="dxa"/>
            <w:vAlign w:val="bottom"/>
            <w:vMerge w:val="continue"/>
          </w:tcPr>
          <w:p>
            <w:pPr>
              <w:spacing w:after="0"/>
              <w:rPr>
                <w:sz w:val="20"/>
                <w:szCs w:val="20"/>
                <w:color w:val="auto"/>
              </w:rPr>
            </w:pPr>
          </w:p>
        </w:tc>
        <w:tc>
          <w:tcPr>
            <w:tcW w:w="3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Interest expense, net</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(87,167)</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(87,167)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(57,673)</w:t>
            </w:r>
          </w:p>
        </w:tc>
        <w:tc>
          <w:tcPr>
            <w:tcW w:w="16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(18,231)</w:t>
            </w:r>
          </w:p>
        </w:tc>
        <w:tc>
          <w:tcPr>
            <w:tcW w:w="16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(75,904)</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Foreign exchange gain (loss)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2,847</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2,847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(17,381)</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921</w:t>
            </w:r>
          </w:p>
        </w:tc>
        <w:tc>
          <w:tcPr>
            <w:tcW w:w="16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(16,460)</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(19,667)</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Gain on sale of international businesses</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6,930</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Other income (expense)</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1,256</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1,256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1,739</w:t>
            </w:r>
          </w:p>
        </w:tc>
        <w:tc>
          <w:tcPr>
            <w:tcW w:w="16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(638)</w:t>
            </w:r>
          </w:p>
        </w:tc>
        <w:tc>
          <w:tcPr>
            <w:tcW w:w="16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1,101</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Total other expense, net</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(76,134)</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(76,134)</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(92,982 )</w:t>
            </w: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(17,948 )</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(110,930 )</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(189,407)</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(189,407)</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(210,490 )</w:t>
            </w: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(156,428 )</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(366,918 )</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Benefit from income taxes</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(14,129)</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(14,129)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(12,052)</w:t>
            </w:r>
          </w:p>
        </w:tc>
        <w:tc>
          <w:tcPr>
            <w:tcW w:w="16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(6,273)</w:t>
            </w:r>
          </w:p>
        </w:tc>
        <w:tc>
          <w:tcPr>
            <w:tcW w:w="16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(18,325)</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(175,278)</w:t>
            </w:r>
          </w:p>
        </w:tc>
        <w:tc>
          <w:tcPr>
            <w:tcW w:w="160" w:type="dxa"/>
            <w:vAlign w:val="bottom"/>
          </w:tcPr>
          <w:p>
            <w:pPr>
              <w:spacing w:after="0"/>
              <w:rPr>
                <w:sz w:val="18"/>
                <w:szCs w:val="18"/>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(175,278)</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(198,438)</w:t>
            </w:r>
          </w:p>
        </w:tc>
        <w:tc>
          <w:tcPr>
            <w:tcW w:w="1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(150,155)</w:t>
            </w:r>
          </w:p>
        </w:tc>
        <w:tc>
          <w:tcPr>
            <w:tcW w:w="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(348,593)</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color w:val="auto"/>
              </w:rPr>
              <w:t>Less: Net loss attributable to Amneal</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3040" w:type="dxa"/>
            <w:vAlign w:val="bottom"/>
            <w:vMerge w:val="continue"/>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Pharmaceuticals LLC pre-Combination</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148,806</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w w:val="97"/>
              </w:rPr>
              <w:t>Less: Net loss attributable to non-controlling</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interests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110,495</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110,495</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31,768</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3040" w:type="dxa"/>
            <w:vAlign w:val="bottom"/>
          </w:tcPr>
          <w:p>
            <w:pPr>
              <w:spacing w:after="0"/>
              <w:rPr>
                <w:sz w:val="20"/>
                <w:szCs w:val="20"/>
                <w:color w:val="auto"/>
              </w:rPr>
            </w:pPr>
            <w:r>
              <w:rPr>
                <w:rFonts w:ascii="Arial" w:cs="Arial" w:eastAsia="Arial" w:hAnsi="Arial"/>
                <w:sz w:val="16"/>
                <w:szCs w:val="16"/>
                <w:color w:val="auto"/>
              </w:rPr>
              <w:t>Accretion of redeemable non-controlling</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040" w:type="dxa"/>
            <w:vAlign w:val="bottom"/>
          </w:tcPr>
          <w:p>
            <w:pPr>
              <w:spacing w:after="0"/>
              <w:rPr>
                <w:sz w:val="20"/>
                <w:szCs w:val="20"/>
                <w:color w:val="auto"/>
              </w:rPr>
            </w:pPr>
            <w:r>
              <w:rPr>
                <w:rFonts w:ascii="Arial" w:cs="Arial" w:eastAsia="Arial" w:hAnsi="Arial"/>
                <w:sz w:val="16"/>
                <w:szCs w:val="16"/>
                <w:color w:val="auto"/>
              </w:rPr>
              <w:t>interest</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(1,240)</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loss attributable to Amneal</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3040" w:type="dxa"/>
            <w:vAlign w:val="bottom"/>
            <w:vMerge w:val="continue"/>
          </w:tcPr>
          <w:p>
            <w:pPr>
              <w:spacing w:after="0"/>
              <w:rPr>
                <w:sz w:val="17"/>
                <w:szCs w:val="17"/>
                <w:color w:val="auto"/>
              </w:rPr>
            </w:pPr>
          </w:p>
        </w:tc>
        <w:tc>
          <w:tcPr>
            <w:tcW w:w="300" w:type="dxa"/>
            <w:vAlign w:val="bottom"/>
            <w:vMerge w:val="restart"/>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vMerge w:val="restart"/>
          </w:tcPr>
          <w:p>
            <w:pPr>
              <w:jc w:val="right"/>
              <w:spacing w:after="0"/>
              <w:rPr>
                <w:sz w:val="20"/>
                <w:szCs w:val="20"/>
                <w:color w:val="auto"/>
              </w:rPr>
            </w:pPr>
            <w:r>
              <w:rPr>
                <w:rFonts w:ascii="Arial" w:cs="Arial" w:eastAsia="Arial" w:hAnsi="Arial"/>
                <w:sz w:val="16"/>
                <w:szCs w:val="16"/>
                <w:color w:val="auto"/>
              </w:rPr>
              <w:t>(64,783)</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180" w:type="dxa"/>
            <w:vAlign w:val="bottom"/>
            <w:vMerge w:val="restart"/>
          </w:tcPr>
          <w:p>
            <w:pPr>
              <w:ind w:left="960"/>
              <w:spacing w:after="0"/>
              <w:rPr>
                <w:sz w:val="20"/>
                <w:szCs w:val="20"/>
                <w:color w:val="auto"/>
              </w:rPr>
            </w:pPr>
            <w:r>
              <w:rPr>
                <w:rFonts w:ascii="Arial" w:cs="Arial" w:eastAsia="Arial" w:hAnsi="Arial"/>
                <w:sz w:val="16"/>
                <w:szCs w:val="16"/>
                <w:color w:val="auto"/>
              </w:rPr>
              <w:t>—</w:t>
            </w:r>
          </w:p>
        </w:tc>
        <w:tc>
          <w:tcPr>
            <w:tcW w:w="2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180" w:type="dxa"/>
            <w:vAlign w:val="bottom"/>
            <w:vMerge w:val="restart"/>
          </w:tcPr>
          <w:p>
            <w:pPr>
              <w:jc w:val="right"/>
              <w:spacing w:after="0"/>
              <w:rPr>
                <w:sz w:val="20"/>
                <w:szCs w:val="20"/>
                <w:color w:val="auto"/>
              </w:rPr>
            </w:pPr>
            <w:r>
              <w:rPr>
                <w:rFonts w:ascii="Arial" w:cs="Arial" w:eastAsia="Arial" w:hAnsi="Arial"/>
                <w:sz w:val="16"/>
                <w:szCs w:val="16"/>
                <w:color w:val="auto"/>
              </w:rPr>
              <w:t>(64,783)</w:t>
            </w:r>
          </w:p>
        </w:tc>
        <w:tc>
          <w:tcPr>
            <w:tcW w:w="100" w:type="dxa"/>
            <w:vAlign w:val="bottom"/>
          </w:tcPr>
          <w:p>
            <w:pPr>
              <w:spacing w:after="0"/>
              <w:rPr>
                <w:sz w:val="17"/>
                <w:szCs w:val="17"/>
                <w:color w:val="auto"/>
              </w:rPr>
            </w:pPr>
          </w:p>
        </w:tc>
        <w:tc>
          <w:tcPr>
            <w:tcW w:w="300" w:type="dxa"/>
            <w:vAlign w:val="bottom"/>
            <w:vMerge w:val="restart"/>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vMerge w:val="restart"/>
          </w:tcPr>
          <w:p>
            <w:pPr>
              <w:jc w:val="right"/>
              <w:spacing w:after="0"/>
              <w:rPr>
                <w:sz w:val="20"/>
                <w:szCs w:val="20"/>
                <w:color w:val="auto"/>
              </w:rPr>
            </w:pPr>
            <w:r>
              <w:rPr>
                <w:rFonts w:ascii="Arial" w:cs="Arial" w:eastAsia="Arial" w:hAnsi="Arial"/>
                <w:sz w:val="16"/>
                <w:szCs w:val="16"/>
                <w:color w:val="auto"/>
              </w:rPr>
              <w:t>(19,104)</w:t>
            </w: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3040" w:type="dxa"/>
            <w:vAlign w:val="bottom"/>
          </w:tcPr>
          <w:p>
            <w:pPr>
              <w:spacing w:after="0"/>
              <w:rPr>
                <w:sz w:val="20"/>
                <w:szCs w:val="20"/>
                <w:color w:val="auto"/>
              </w:rPr>
            </w:pPr>
            <w:r>
              <w:rPr>
                <w:rFonts w:ascii="Arial" w:cs="Arial" w:eastAsia="Arial" w:hAnsi="Arial"/>
                <w:sz w:val="16"/>
                <w:szCs w:val="16"/>
                <w:b w:val="1"/>
                <w:bCs w:val="1"/>
                <w:color w:val="auto"/>
              </w:rPr>
              <w:t>Pharmaceuticals, Inc.</w:t>
            </w:r>
          </w:p>
        </w:tc>
        <w:tc>
          <w:tcPr>
            <w:tcW w:w="300" w:type="dxa"/>
            <w:vAlign w:val="bottom"/>
            <w:tcBorders>
              <w:bottom w:val="single" w:sz="8" w:color="auto"/>
            </w:tcBorders>
            <w:vMerge w:val="continue"/>
          </w:tcPr>
          <w:p>
            <w:pPr>
              <w:spacing w:after="0"/>
              <w:rPr>
                <w:sz w:val="19"/>
                <w:szCs w:val="19"/>
                <w:color w:val="auto"/>
              </w:rPr>
            </w:pPr>
          </w:p>
        </w:tc>
        <w:tc>
          <w:tcPr>
            <w:tcW w:w="1060" w:type="dxa"/>
            <w:vAlign w:val="bottom"/>
            <w:tcBorders>
              <w:bottom w:val="single" w:sz="8" w:color="auto"/>
            </w:tcBorders>
            <w:vMerge w:val="continue"/>
          </w:tcPr>
          <w:p>
            <w:pPr>
              <w:spacing w:after="0"/>
              <w:rPr>
                <w:sz w:val="19"/>
                <w:szCs w:val="19"/>
                <w:color w:val="auto"/>
              </w:rPr>
            </w:pPr>
          </w:p>
        </w:tc>
        <w:tc>
          <w:tcPr>
            <w:tcW w:w="160" w:type="dxa"/>
            <w:vAlign w:val="bottom"/>
            <w:tcBorders>
              <w:bottom w:val="single" w:sz="8" w:color="auto"/>
            </w:tcBorders>
            <w:vMerge w:val="continue"/>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220" w:type="dxa"/>
            <w:vAlign w:val="bottom"/>
            <w:tcBorders>
              <w:bottom w:val="single" w:sz="8" w:color="auto"/>
            </w:tcBorders>
            <w:vMerge w:val="continue"/>
          </w:tcPr>
          <w:p>
            <w:pPr>
              <w:spacing w:after="0"/>
              <w:rPr>
                <w:sz w:val="19"/>
                <w:szCs w:val="19"/>
                <w:color w:val="auto"/>
              </w:rPr>
            </w:pPr>
          </w:p>
        </w:tc>
        <w:tc>
          <w:tcPr>
            <w:tcW w:w="1180" w:type="dxa"/>
            <w:vAlign w:val="bottom"/>
            <w:tcBorders>
              <w:bottom w:val="single" w:sz="8" w:color="auto"/>
            </w:tcBorders>
            <w:vMerge w:val="continue"/>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bottom w:val="single" w:sz="8" w:color="auto"/>
            </w:tcBorders>
            <w:vMerge w:val="continue"/>
          </w:tcPr>
          <w:p>
            <w:pPr>
              <w:spacing w:after="0"/>
              <w:rPr>
                <w:sz w:val="19"/>
                <w:szCs w:val="19"/>
                <w:color w:val="auto"/>
              </w:rPr>
            </w:pPr>
          </w:p>
        </w:tc>
        <w:tc>
          <w:tcPr>
            <w:tcW w:w="1080" w:type="dxa"/>
            <w:vAlign w:val="bottom"/>
            <w:tcBorders>
              <w:bottom w:val="single" w:sz="8" w:color="auto"/>
            </w:tcBorders>
            <w:vMerge w:val="continue"/>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14 of 23</w:t>
      </w:r>
    </w:p>
    <w:p>
      <w:pPr>
        <w:sectPr>
          <w:pgSz w:w="11900" w:h="16838" w:orient="portrait"/>
          <w:cols w:equalWidth="0" w:num="1">
            <w:col w:w="11360"/>
          </w:cols>
          <w:pgMar w:left="280" w:top="364" w:right="259" w:bottom="1440" w:gutter="0" w:footer="0" w:header="0"/>
        </w:sectPr>
      </w:pPr>
    </w:p>
    <w:bookmarkStart w:id="17" w:name="page18"/>
    <w:bookmarkEnd w:id="17"/>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pacing w:after="0" w:line="24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Reconciliations of Generics Cost of Goods Sold to Combined Adjusted Cost of Goods Sold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4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32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280" w:type="dxa"/>
            <w:vAlign w:val="bottom"/>
          </w:tcPr>
          <w:p>
            <w:pPr>
              <w:spacing w:after="0"/>
              <w:rPr>
                <w:sz w:val="18"/>
                <w:szCs w:val="18"/>
                <w:color w:val="auto"/>
              </w:rPr>
            </w:pPr>
          </w:p>
        </w:tc>
        <w:tc>
          <w:tcPr>
            <w:tcW w:w="378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2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6"/>
              </w:rPr>
              <w:t>(Non-GAAP)</w:t>
            </w:r>
          </w:p>
        </w:tc>
        <w:tc>
          <w:tcPr>
            <w:tcW w:w="2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28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180" w:type="dxa"/>
            <w:vAlign w:val="bottom"/>
          </w:tcPr>
          <w:p>
            <w:pPr>
              <w:jc w:val="center"/>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20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Cost of goods sold</w:t>
            </w: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2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263,423</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263,423</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211,534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29,624</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241,158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b w:val="1"/>
                <w:bCs w:val="1"/>
                <w:color w:val="auto"/>
              </w:rPr>
              <w:t>Cost of goods sold impairment charges</w:t>
            </w:r>
          </w:p>
        </w:tc>
        <w:tc>
          <w:tcPr>
            <w:tcW w:w="32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3,012</w:t>
            </w:r>
          </w:p>
        </w:tc>
        <w:tc>
          <w:tcPr>
            <w:tcW w:w="160" w:type="dxa"/>
            <w:vAlign w:val="bottom"/>
          </w:tcPr>
          <w:p>
            <w:pPr>
              <w:spacing w:after="0"/>
              <w:rPr>
                <w:sz w:val="23"/>
                <w:szCs w:val="23"/>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3,012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Adjusted to deduct (add):</w:t>
            </w:r>
          </w:p>
        </w:tc>
        <w:tc>
          <w:tcPr>
            <w:tcW w:w="32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2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14,636</w:t>
            </w:r>
          </w:p>
        </w:tc>
        <w:tc>
          <w:tcPr>
            <w:tcW w:w="160" w:type="dxa"/>
            <w:vAlign w:val="bottom"/>
          </w:tcPr>
          <w:p>
            <w:pPr>
              <w:spacing w:after="0"/>
              <w:rPr>
                <w:sz w:val="23"/>
                <w:szCs w:val="23"/>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14,636</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6,043</w:t>
            </w:r>
          </w:p>
        </w:tc>
        <w:tc>
          <w:tcPr>
            <w:tcW w:w="1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3,934</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9,977</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2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160" w:type="dxa"/>
            <w:vAlign w:val="bottom"/>
          </w:tcPr>
          <w:p>
            <w:pPr>
              <w:spacing w:after="0"/>
              <w:rPr>
                <w:sz w:val="24"/>
                <w:szCs w:val="24"/>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21,443</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30,569</w:t>
            </w:r>
          </w:p>
        </w:tc>
        <w:tc>
          <w:tcPr>
            <w:tcW w:w="16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3,005</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33,574</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32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6,969</w:t>
            </w:r>
          </w:p>
        </w:tc>
        <w:tc>
          <w:tcPr>
            <w:tcW w:w="160" w:type="dxa"/>
            <w:vAlign w:val="bottom"/>
          </w:tcPr>
          <w:p>
            <w:pPr>
              <w:spacing w:after="0"/>
              <w:rPr>
                <w:sz w:val="23"/>
                <w:szCs w:val="23"/>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6,969</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32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3,012</w:t>
            </w:r>
          </w:p>
        </w:tc>
        <w:tc>
          <w:tcPr>
            <w:tcW w:w="160" w:type="dxa"/>
            <w:vAlign w:val="bottom"/>
          </w:tcPr>
          <w:p>
            <w:pPr>
              <w:spacing w:after="0"/>
              <w:rPr>
                <w:sz w:val="23"/>
                <w:szCs w:val="23"/>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3,012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2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813</w:t>
            </w:r>
          </w:p>
        </w:tc>
        <w:tc>
          <w:tcPr>
            <w:tcW w:w="160" w:type="dxa"/>
            <w:vAlign w:val="bottom"/>
          </w:tcPr>
          <w:p>
            <w:pPr>
              <w:spacing w:after="0"/>
              <w:rPr>
                <w:sz w:val="17"/>
                <w:szCs w:val="17"/>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813</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Other</w:t>
            </w:r>
          </w:p>
        </w:tc>
        <w:tc>
          <w:tcPr>
            <w:tcW w:w="32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(68)</w:t>
            </w:r>
          </w:p>
        </w:tc>
        <w:tc>
          <w:tcPr>
            <w:tcW w:w="160" w:type="dxa"/>
            <w:vAlign w:val="bottom"/>
          </w:tcPr>
          <w:p>
            <w:pPr>
              <w:spacing w:after="0"/>
              <w:rPr>
                <w:sz w:val="23"/>
                <w:szCs w:val="23"/>
                <w:color w:val="auto"/>
              </w:rPr>
            </w:pPr>
          </w:p>
        </w:tc>
        <w:tc>
          <w:tcPr>
            <w:tcW w:w="1180" w:type="dxa"/>
            <w:vAlign w:val="bottom"/>
          </w:tcPr>
          <w:p>
            <w:pPr>
              <w:ind w:left="9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(68)</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40" w:type="dxa"/>
            <w:vAlign w:val="bottom"/>
          </w:tcPr>
          <w:p>
            <w:pPr>
              <w:spacing w:after="0"/>
              <w:rPr>
                <w:sz w:val="20"/>
                <w:szCs w:val="20"/>
                <w:color w:val="auto"/>
              </w:rPr>
            </w:pPr>
            <w:r>
              <w:rPr>
                <w:rFonts w:ascii="Arial" w:cs="Arial" w:eastAsia="Arial" w:hAnsi="Arial"/>
                <w:sz w:val="16"/>
                <w:szCs w:val="16"/>
                <w:b w:val="1"/>
                <w:bCs w:val="1"/>
                <w:color w:val="auto"/>
                <w:w w:val="96"/>
              </w:rPr>
              <w:t>Adjusted cost of goods sold (Non-GAAP)</w:t>
            </w:r>
          </w:p>
        </w:tc>
        <w:tc>
          <w:tcPr>
            <w:tcW w:w="32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219,630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219,630</w:t>
            </w:r>
          </w:p>
        </w:tc>
        <w:tc>
          <w:tcPr>
            <w:tcW w:w="100" w:type="dxa"/>
            <w:vAlign w:val="bottom"/>
          </w:tcPr>
          <w:p>
            <w:pPr>
              <w:spacing w:after="0"/>
              <w:rPr>
                <w:sz w:val="21"/>
                <w:szCs w:val="21"/>
                <w:color w:val="auto"/>
              </w:rPr>
            </w:pP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174,922</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22,685</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197,607</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0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300" w:type="dxa"/>
            <w:vAlign w:val="bottom"/>
          </w:tcPr>
          <w:p>
            <w:pPr>
              <w:spacing w:after="0"/>
              <w:rPr>
                <w:sz w:val="18"/>
                <w:szCs w:val="18"/>
                <w:color w:val="auto"/>
              </w:rPr>
            </w:pPr>
          </w:p>
        </w:tc>
        <w:tc>
          <w:tcPr>
            <w:tcW w:w="3940" w:type="dxa"/>
            <w:vAlign w:val="bottom"/>
            <w:gridSpan w:val="6"/>
          </w:tcPr>
          <w:p>
            <w:pPr>
              <w:jc w:val="center"/>
              <w:ind w:right="400"/>
              <w:spacing w:after="0"/>
              <w:rPr>
                <w:sz w:val="20"/>
                <w:szCs w:val="20"/>
                <w:color w:val="auto"/>
              </w:rPr>
            </w:pPr>
            <w:r>
              <w:rPr>
                <w:rFonts w:ascii="Arial" w:cs="Arial" w:eastAsia="Arial" w:hAnsi="Arial"/>
                <w:sz w:val="16"/>
                <w:szCs w:val="16"/>
                <w:b w:val="1"/>
                <w:bCs w:val="1"/>
                <w:color w:val="auto"/>
                <w:w w:val="90"/>
              </w:rPr>
              <w:t>Six months ended June 30, 2019</w:t>
            </w:r>
          </w:p>
        </w:tc>
        <w:tc>
          <w:tcPr>
            <w:tcW w:w="300" w:type="dxa"/>
            <w:vAlign w:val="bottom"/>
          </w:tcPr>
          <w:p>
            <w:pPr>
              <w:spacing w:after="0"/>
              <w:rPr>
                <w:sz w:val="18"/>
                <w:szCs w:val="18"/>
                <w:color w:val="auto"/>
              </w:rPr>
            </w:pPr>
          </w:p>
        </w:tc>
        <w:tc>
          <w:tcPr>
            <w:tcW w:w="382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39"/>
              <w:spacing w:after="0"/>
              <w:rPr>
                <w:sz w:val="20"/>
                <w:szCs w:val="20"/>
                <w:color w:val="auto"/>
              </w:rPr>
            </w:pPr>
            <w:r>
              <w:rPr>
                <w:rFonts w:ascii="Arial" w:cs="Arial" w:eastAsia="Arial" w:hAnsi="Arial"/>
                <w:sz w:val="16"/>
                <w:szCs w:val="16"/>
                <w:b w:val="1"/>
                <w:bCs w:val="1"/>
                <w:color w:val="auto"/>
                <w:w w:val="98"/>
              </w:rPr>
              <w:t>Add:</w:t>
            </w:r>
          </w:p>
        </w:tc>
        <w:tc>
          <w:tcPr>
            <w:tcW w:w="22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39"/>
              <w:spacing w:after="0"/>
              <w:rPr>
                <w:sz w:val="20"/>
                <w:szCs w:val="20"/>
                <w:color w:val="auto"/>
              </w:rPr>
            </w:pPr>
            <w:r>
              <w:rPr>
                <w:rFonts w:ascii="Arial" w:cs="Arial" w:eastAsia="Arial" w:hAnsi="Arial"/>
                <w:sz w:val="16"/>
                <w:szCs w:val="16"/>
                <w:b w:val="1"/>
                <w:bCs w:val="1"/>
                <w:color w:val="auto"/>
                <w:w w:val="98"/>
              </w:rPr>
              <w:t>Add:</w:t>
            </w:r>
          </w:p>
        </w:tc>
        <w:tc>
          <w:tcPr>
            <w:tcW w:w="22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39"/>
              <w:spacing w:after="0"/>
              <w:rPr>
                <w:sz w:val="20"/>
                <w:szCs w:val="20"/>
                <w:color w:val="auto"/>
              </w:rPr>
            </w:pPr>
            <w:r>
              <w:rPr>
                <w:rFonts w:ascii="Arial" w:cs="Arial" w:eastAsia="Arial" w:hAnsi="Arial"/>
                <w:sz w:val="16"/>
                <w:szCs w:val="16"/>
                <w:b w:val="1"/>
                <w:bCs w:val="1"/>
                <w:color w:val="auto"/>
                <w:w w:val="95"/>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39"/>
              <w:spacing w:after="0"/>
              <w:rPr>
                <w:sz w:val="20"/>
                <w:szCs w:val="20"/>
                <w:color w:val="auto"/>
              </w:rPr>
            </w:pPr>
            <w:r>
              <w:rPr>
                <w:rFonts w:ascii="Arial" w:cs="Arial" w:eastAsia="Arial" w:hAnsi="Arial"/>
                <w:sz w:val="16"/>
                <w:szCs w:val="16"/>
                <w:b w:val="1"/>
                <w:bCs w:val="1"/>
                <w:color w:val="auto"/>
                <w:w w:val="95"/>
              </w:rPr>
              <w:t>Impax/ Gemini</w:t>
            </w:r>
          </w:p>
        </w:tc>
        <w:tc>
          <w:tcPr>
            <w:tcW w:w="220" w:type="dxa"/>
            <w:vAlign w:val="bottom"/>
          </w:tcPr>
          <w:p>
            <w:pPr>
              <w:spacing w:after="0"/>
              <w:rPr>
                <w:sz w:val="23"/>
                <w:szCs w:val="23"/>
                <w:color w:val="auto"/>
              </w:rPr>
            </w:pPr>
          </w:p>
        </w:tc>
        <w:tc>
          <w:tcPr>
            <w:tcW w:w="118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00" w:type="dxa"/>
            <w:vAlign w:val="bottom"/>
            <w:vMerge w:val="restart"/>
          </w:tcPr>
          <w:p>
            <w:pPr>
              <w:spacing w:after="0"/>
              <w:rPr>
                <w:sz w:val="20"/>
                <w:szCs w:val="20"/>
                <w:color w:val="auto"/>
              </w:rPr>
            </w:pPr>
            <w:r>
              <w:rPr>
                <w:rFonts w:ascii="Arial" w:cs="Arial" w:eastAsia="Arial" w:hAnsi="Arial"/>
                <w:sz w:val="16"/>
                <w:szCs w:val="16"/>
                <w:b w:val="1"/>
                <w:bCs w:val="1"/>
                <w:color w:val="auto"/>
              </w:rPr>
              <w:t>Cost of goods sold</w:t>
            </w: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542,301</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542,301</w:t>
            </w:r>
          </w:p>
        </w:tc>
        <w:tc>
          <w:tcPr>
            <w:tcW w:w="12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342,128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122,761</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464,889</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b w:val="1"/>
                <w:bCs w:val="1"/>
                <w:color w:val="auto"/>
                <w:w w:val="98"/>
              </w:rPr>
              <w:t>Cost of goods sold impairment charges</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56,309</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56,309</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color w:val="auto"/>
              </w:rPr>
              <w:t>Adjusted to deduct (add):</w:t>
            </w: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25,388</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25,388</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7,803</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13,823</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21,626</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21,777</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21,777</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30,569</w:t>
            </w:r>
          </w:p>
        </w:tc>
        <w:tc>
          <w:tcPr>
            <w:tcW w:w="18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9,894</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40,463</w:t>
            </w: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16,480</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16,480</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56,309</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56,309</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53</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53</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1,409</w:t>
            </w:r>
          </w:p>
        </w:tc>
        <w:tc>
          <w:tcPr>
            <w:tcW w:w="18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1,409</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Amortization of upfront payment</w:t>
            </w:r>
            <w:r>
              <w:rPr>
                <w:rFonts w:ascii="Arial" w:cs="Arial" w:eastAsia="Arial" w:hAnsi="Arial"/>
                <w:sz w:val="21"/>
                <w:szCs w:val="21"/>
                <w:color w:val="auto"/>
                <w:vertAlign w:val="superscript"/>
              </w:rPr>
              <w:t>(11)</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36,393</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36,393</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Other</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1,024</w:t>
            </w:r>
          </w:p>
        </w:tc>
        <w:tc>
          <w:tcPr>
            <w:tcW w:w="18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1,024</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00" w:type="dxa"/>
            <w:vAlign w:val="bottom"/>
          </w:tcPr>
          <w:p>
            <w:pPr>
              <w:spacing w:after="0"/>
              <w:rPr>
                <w:sz w:val="20"/>
                <w:szCs w:val="20"/>
                <w:color w:val="auto"/>
              </w:rPr>
            </w:pPr>
            <w:r>
              <w:rPr>
                <w:rFonts w:ascii="Arial" w:cs="Arial" w:eastAsia="Arial" w:hAnsi="Arial"/>
                <w:sz w:val="16"/>
                <w:szCs w:val="16"/>
                <w:b w:val="1"/>
                <w:bCs w:val="1"/>
                <w:color w:val="auto"/>
                <w:w w:val="95"/>
              </w:rPr>
              <w:t>Adjusted cost of goods sold (Non-GAAP)</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439,830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439,830</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303,756</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98,991</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402,747</w:t>
            </w: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0"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15 of 23</w:t>
      </w:r>
    </w:p>
    <w:p>
      <w:pPr>
        <w:sectPr>
          <w:pgSz w:w="11900" w:h="16838" w:orient="portrait"/>
          <w:cols w:equalWidth="0" w:num="1">
            <w:col w:w="11360"/>
          </w:cols>
          <w:pgMar w:left="280" w:top="580" w:right="259" w:bottom="1440" w:gutter="0" w:footer="0" w:header="0"/>
        </w:sectPr>
      </w:pPr>
    </w:p>
    <w:bookmarkStart w:id="18" w:name="page19"/>
    <w:bookmarkEnd w:id="18"/>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pacing w:after="0" w:line="24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Reconciliations of Specialty Cost of Goods Sold to Combined Adjusted Cost of Goods Sold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98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30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300" w:type="dxa"/>
            <w:vAlign w:val="bottom"/>
          </w:tcPr>
          <w:p>
            <w:pPr>
              <w:spacing w:after="0"/>
              <w:rPr>
                <w:sz w:val="18"/>
                <w:szCs w:val="18"/>
                <w:color w:val="auto"/>
              </w:rPr>
            </w:pPr>
          </w:p>
        </w:tc>
        <w:tc>
          <w:tcPr>
            <w:tcW w:w="3840" w:type="dxa"/>
            <w:vAlign w:val="bottom"/>
            <w:gridSpan w:val="5"/>
          </w:tcPr>
          <w:p>
            <w:pPr>
              <w:jc w:val="center"/>
              <w:ind w:right="19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18"/>
                <w:szCs w:val="18"/>
                <w:color w:val="auto"/>
              </w:rPr>
            </w:pPr>
          </w:p>
        </w:tc>
        <w:tc>
          <w:tcPr>
            <w:tcW w:w="120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29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20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b w:val="1"/>
                <w:bCs w:val="1"/>
                <w:color w:val="auto"/>
              </w:rPr>
              <w:t>Cost of goods sold</w:t>
            </w: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32,958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32,958</w:t>
            </w:r>
          </w:p>
        </w:tc>
        <w:tc>
          <w:tcPr>
            <w:tcW w:w="10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23,958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6,711</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30,669</w:t>
            </w: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0"/>
                <w:szCs w:val="20"/>
                <w:color w:val="auto"/>
              </w:rPr>
            </w:pPr>
            <w:r>
              <w:rPr>
                <w:rFonts w:ascii="Arial" w:cs="Arial" w:eastAsia="Arial" w:hAnsi="Arial"/>
                <w:sz w:val="16"/>
                <w:szCs w:val="16"/>
                <w:color w:val="auto"/>
              </w:rPr>
              <w:t>Adjusted to deduct:</w:t>
            </w: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20,160</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20,160</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10,651</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1,528</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12,179</w:t>
            </w:r>
          </w:p>
        </w:tc>
        <w:tc>
          <w:tcPr>
            <w:tcW w:w="0" w:type="dxa"/>
            <w:vAlign w:val="bottom"/>
          </w:tcPr>
          <w:p>
            <w:pPr>
              <w:spacing w:after="0"/>
              <w:rPr>
                <w:sz w:val="1"/>
                <w:szCs w:val="1"/>
                <w:color w:val="auto"/>
              </w:rPr>
            </w:pPr>
          </w:p>
        </w:tc>
      </w:tr>
      <w:tr>
        <w:trPr>
          <w:trHeight w:val="303"/>
        </w:trPr>
        <w:tc>
          <w:tcPr>
            <w:tcW w:w="298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1,950</w:t>
            </w:r>
          </w:p>
        </w:tc>
        <w:tc>
          <w:tcPr>
            <w:tcW w:w="18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1,950</w:t>
            </w:r>
          </w:p>
        </w:tc>
        <w:tc>
          <w:tcPr>
            <w:tcW w:w="0" w:type="dxa"/>
            <w:vAlign w:val="bottom"/>
          </w:tcPr>
          <w:p>
            <w:pPr>
              <w:spacing w:after="0"/>
              <w:rPr>
                <w:sz w:val="1"/>
                <w:szCs w:val="1"/>
                <w:color w:val="auto"/>
              </w:rPr>
            </w:pPr>
          </w:p>
        </w:tc>
      </w:tr>
      <w:tr>
        <w:trPr>
          <w:trHeight w:val="244"/>
        </w:trPr>
        <w:tc>
          <w:tcPr>
            <w:tcW w:w="2980" w:type="dxa"/>
            <w:vAlign w:val="bottom"/>
          </w:tcPr>
          <w:p>
            <w:pPr>
              <w:spacing w:after="0"/>
              <w:rPr>
                <w:sz w:val="20"/>
                <w:szCs w:val="20"/>
                <w:color w:val="auto"/>
              </w:rPr>
            </w:pPr>
            <w:r>
              <w:rPr>
                <w:rFonts w:ascii="Arial" w:cs="Arial" w:eastAsia="Arial" w:hAnsi="Arial"/>
                <w:sz w:val="16"/>
                <w:szCs w:val="16"/>
                <w:b w:val="1"/>
                <w:bCs w:val="1"/>
                <w:color w:val="auto"/>
                <w:w w:val="94"/>
              </w:rPr>
              <w:t>Adjusted cost of goods sold (Non-GAAP)</w:t>
            </w:r>
          </w:p>
        </w:tc>
        <w:tc>
          <w:tcPr>
            <w:tcW w:w="3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12,798</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12,798</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11,357</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5,183</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16,540</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98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30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89"/>
              </w:rPr>
              <w:t>Six months ended June 30, 2019</w:t>
            </w:r>
          </w:p>
        </w:tc>
        <w:tc>
          <w:tcPr>
            <w:tcW w:w="300" w:type="dxa"/>
            <w:vAlign w:val="bottom"/>
          </w:tcPr>
          <w:p>
            <w:pPr>
              <w:spacing w:after="0"/>
              <w:rPr>
                <w:sz w:val="18"/>
                <w:szCs w:val="18"/>
                <w:color w:val="auto"/>
              </w:rPr>
            </w:pPr>
          </w:p>
        </w:tc>
        <w:tc>
          <w:tcPr>
            <w:tcW w:w="3840" w:type="dxa"/>
            <w:vAlign w:val="bottom"/>
            <w:gridSpan w:val="5"/>
          </w:tcPr>
          <w:p>
            <w:pPr>
              <w:jc w:val="center"/>
              <w:ind w:right="19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43"/>
        </w:trPr>
        <w:tc>
          <w:tcPr>
            <w:tcW w:w="29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20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b w:val="1"/>
                <w:bCs w:val="1"/>
                <w:color w:val="auto"/>
              </w:rPr>
              <w:t>Cost of goods sold</w:t>
            </w: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63,823</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63,823</w:t>
            </w:r>
          </w:p>
        </w:tc>
        <w:tc>
          <w:tcPr>
            <w:tcW w:w="10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23,958</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26,731</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50,689</w:t>
            </w: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0"/>
                <w:szCs w:val="20"/>
                <w:color w:val="auto"/>
              </w:rPr>
            </w:pPr>
            <w:r>
              <w:rPr>
                <w:rFonts w:ascii="Arial" w:cs="Arial" w:eastAsia="Arial" w:hAnsi="Arial"/>
                <w:sz w:val="16"/>
                <w:szCs w:val="16"/>
                <w:color w:val="auto"/>
              </w:rPr>
              <w:t>Adjusted to deduct:</w:t>
            </w: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40,371</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40,371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10,651</w:t>
            </w:r>
          </w:p>
        </w:tc>
        <w:tc>
          <w:tcPr>
            <w:tcW w:w="18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6,112</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16,763</w:t>
            </w:r>
          </w:p>
        </w:tc>
        <w:tc>
          <w:tcPr>
            <w:tcW w:w="0" w:type="dxa"/>
            <w:vAlign w:val="bottom"/>
          </w:tcPr>
          <w:p>
            <w:pPr>
              <w:spacing w:after="0"/>
              <w:rPr>
                <w:sz w:val="1"/>
                <w:szCs w:val="1"/>
                <w:color w:val="auto"/>
              </w:rPr>
            </w:pPr>
          </w:p>
        </w:tc>
      </w:tr>
      <w:tr>
        <w:trPr>
          <w:trHeight w:val="303"/>
        </w:trPr>
        <w:tc>
          <w:tcPr>
            <w:tcW w:w="298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1,950</w:t>
            </w:r>
          </w:p>
        </w:tc>
        <w:tc>
          <w:tcPr>
            <w:tcW w:w="180" w:type="dxa"/>
            <w:vAlign w:val="bottom"/>
          </w:tcPr>
          <w:p>
            <w:pPr>
              <w:spacing w:after="0"/>
              <w:rPr>
                <w:sz w:val="24"/>
                <w:szCs w:val="24"/>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1,950</w:t>
            </w:r>
          </w:p>
        </w:tc>
        <w:tc>
          <w:tcPr>
            <w:tcW w:w="0" w:type="dxa"/>
            <w:vAlign w:val="bottom"/>
          </w:tcPr>
          <w:p>
            <w:pPr>
              <w:spacing w:after="0"/>
              <w:rPr>
                <w:sz w:val="1"/>
                <w:szCs w:val="1"/>
                <w:color w:val="auto"/>
              </w:rPr>
            </w:pPr>
          </w:p>
        </w:tc>
      </w:tr>
      <w:tr>
        <w:trPr>
          <w:trHeight w:val="244"/>
        </w:trPr>
        <w:tc>
          <w:tcPr>
            <w:tcW w:w="2980" w:type="dxa"/>
            <w:vAlign w:val="bottom"/>
          </w:tcPr>
          <w:p>
            <w:pPr>
              <w:spacing w:after="0"/>
              <w:rPr>
                <w:sz w:val="20"/>
                <w:szCs w:val="20"/>
                <w:color w:val="auto"/>
              </w:rPr>
            </w:pPr>
            <w:r>
              <w:rPr>
                <w:rFonts w:ascii="Arial" w:cs="Arial" w:eastAsia="Arial" w:hAnsi="Arial"/>
                <w:sz w:val="16"/>
                <w:szCs w:val="16"/>
                <w:b w:val="1"/>
                <w:bCs w:val="1"/>
                <w:color w:val="auto"/>
                <w:w w:val="94"/>
              </w:rPr>
              <w:t>Adjusted cost of goods sold (Non-GAAP)</w:t>
            </w:r>
          </w:p>
        </w:tc>
        <w:tc>
          <w:tcPr>
            <w:tcW w:w="3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23,452</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23,452</w:t>
            </w:r>
          </w:p>
        </w:tc>
        <w:tc>
          <w:tcPr>
            <w:tcW w:w="100" w:type="dxa"/>
            <w:vAlign w:val="bottom"/>
          </w:tcPr>
          <w:p>
            <w:pPr>
              <w:spacing w:after="0"/>
              <w:rPr>
                <w:sz w:val="21"/>
                <w:szCs w:val="21"/>
                <w:color w:val="auto"/>
              </w:rPr>
            </w:pPr>
          </w:p>
        </w:tc>
        <w:tc>
          <w:tcPr>
            <w:tcW w:w="30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11,357</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20,619</w:t>
            </w:r>
          </w:p>
        </w:tc>
        <w:tc>
          <w:tcPr>
            <w:tcW w:w="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31,976</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16 of 23</w:t>
      </w:r>
    </w:p>
    <w:p>
      <w:pPr>
        <w:sectPr>
          <w:pgSz w:w="11900" w:h="16838" w:orient="portrait"/>
          <w:cols w:equalWidth="0" w:num="1">
            <w:col w:w="11360"/>
          </w:cols>
          <w:pgMar w:left="280" w:top="364" w:right="259" w:bottom="1440" w:gutter="0" w:footer="0" w:header="0"/>
        </w:sectPr>
      </w:pPr>
    </w:p>
    <w:bookmarkStart w:id="19" w:name="page20"/>
    <w:bookmarkEnd w:id="19"/>
    <w:p>
      <w:pPr>
        <w:jc w:val="center"/>
        <w:ind w:right="-19"/>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(Unaudited; In thousands)</w:t>
      </w:r>
    </w:p>
    <w:p>
      <w:pPr>
        <w:spacing w:after="0" w:line="19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Reconciliations of Generics Operating Income (Loss) to Combined Adjusted Operating Income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2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280" w:type="dxa"/>
            <w:vAlign w:val="bottom"/>
          </w:tcPr>
          <w:p>
            <w:pPr>
              <w:spacing w:after="0"/>
              <w:rPr>
                <w:sz w:val="18"/>
                <w:szCs w:val="18"/>
                <w:color w:val="auto"/>
              </w:rPr>
            </w:pPr>
          </w:p>
        </w:tc>
        <w:tc>
          <w:tcPr>
            <w:tcW w:w="390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280" w:type="dxa"/>
            <w:vAlign w:val="bottom"/>
          </w:tcPr>
          <w:p>
            <w:pPr>
              <w:spacing w:after="0"/>
              <w:rPr>
                <w:sz w:val="18"/>
                <w:szCs w:val="18"/>
                <w:color w:val="auto"/>
              </w:rPr>
            </w:pPr>
          </w:p>
        </w:tc>
        <w:tc>
          <w:tcPr>
            <w:tcW w:w="378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0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8"/>
              </w:rPr>
              <w:t>(Non-GAAP)</w:t>
            </w: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8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16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Combined</w:t>
            </w:r>
          </w:p>
        </w:tc>
        <w:tc>
          <w:tcPr>
            <w:tcW w:w="280" w:type="dxa"/>
            <w:vAlign w:val="bottom"/>
          </w:tcPr>
          <w:p>
            <w:pPr>
              <w:spacing w:after="0"/>
              <w:rPr>
                <w:sz w:val="23"/>
                <w:szCs w:val="23"/>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18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20" w:type="dxa"/>
            <w:vAlign w:val="bottom"/>
            <w:vMerge w:val="restart"/>
          </w:tcPr>
          <w:p>
            <w:pPr>
              <w:spacing w:after="0"/>
              <w:rPr>
                <w:sz w:val="20"/>
                <w:szCs w:val="20"/>
                <w:color w:val="auto"/>
              </w:rPr>
            </w:pPr>
            <w:r>
              <w:rPr>
                <w:rFonts w:ascii="Arial" w:cs="Arial" w:eastAsia="Arial" w:hAnsi="Arial"/>
                <w:sz w:val="16"/>
                <w:szCs w:val="16"/>
                <w:b w:val="1"/>
                <w:bCs w:val="1"/>
                <w:color w:val="auto"/>
              </w:rPr>
              <w:t>Operating income (loss)</w:t>
            </w: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20" w:type="dxa"/>
            <w:vAlign w:val="bottom"/>
            <w:vMerge w:val="continue"/>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4,886</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4,886</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(57,014)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(16,953)</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(73,967)</w:t>
            </w:r>
          </w:p>
        </w:tc>
        <w:tc>
          <w:tcPr>
            <w:tcW w:w="0" w:type="dxa"/>
            <w:vAlign w:val="bottom"/>
          </w:tcPr>
          <w:p>
            <w:pPr>
              <w:spacing w:after="0"/>
              <w:rPr>
                <w:sz w:val="1"/>
                <w:szCs w:val="1"/>
                <w:color w:val="auto"/>
              </w:rPr>
            </w:pPr>
          </w:p>
        </w:tc>
      </w:tr>
      <w:tr>
        <w:trPr>
          <w:trHeight w:val="270"/>
        </w:trPr>
        <w:tc>
          <w:tcPr>
            <w:tcW w:w="3020" w:type="dxa"/>
            <w:vAlign w:val="bottom"/>
          </w:tcPr>
          <w:p>
            <w:pPr>
              <w:spacing w:after="0"/>
              <w:rPr>
                <w:sz w:val="20"/>
                <w:szCs w:val="20"/>
                <w:color w:val="auto"/>
              </w:rPr>
            </w:pPr>
            <w:r>
              <w:rPr>
                <w:rFonts w:ascii="Arial" w:cs="Arial" w:eastAsia="Arial" w:hAnsi="Arial"/>
                <w:sz w:val="16"/>
                <w:szCs w:val="16"/>
                <w:color w:val="auto"/>
              </w:rPr>
              <w:t>Adjusted to add (deduct):</w:t>
            </w:r>
          </w:p>
        </w:tc>
        <w:tc>
          <w:tcPr>
            <w:tcW w:w="28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34"/>
        </w:trPr>
        <w:tc>
          <w:tcPr>
            <w:tcW w:w="302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28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10,885</w:t>
            </w:r>
          </w:p>
        </w:tc>
        <w:tc>
          <w:tcPr>
            <w:tcW w:w="160" w:type="dxa"/>
            <w:vAlign w:val="bottom"/>
          </w:tcPr>
          <w:p>
            <w:pPr>
              <w:spacing w:after="0"/>
              <w:rPr>
                <w:sz w:val="24"/>
                <w:szCs w:val="24"/>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10,885</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114,622</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114,622</w:t>
            </w:r>
          </w:p>
        </w:tc>
        <w:tc>
          <w:tcPr>
            <w:tcW w:w="0" w:type="dxa"/>
            <w:vAlign w:val="bottom"/>
          </w:tcPr>
          <w:p>
            <w:pPr>
              <w:spacing w:after="0"/>
              <w:rPr>
                <w:sz w:val="1"/>
                <w:szCs w:val="1"/>
                <w:color w:val="auto"/>
              </w:rPr>
            </w:pPr>
          </w:p>
        </w:tc>
      </w:tr>
      <w:tr>
        <w:trPr>
          <w:trHeight w:val="206"/>
        </w:trPr>
        <w:tc>
          <w:tcPr>
            <w:tcW w:w="302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28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14,636</w:t>
            </w:r>
          </w:p>
        </w:tc>
        <w:tc>
          <w:tcPr>
            <w:tcW w:w="160" w:type="dxa"/>
            <w:vAlign w:val="bottom"/>
          </w:tcPr>
          <w:p>
            <w:pPr>
              <w:spacing w:after="0"/>
              <w:rPr>
                <w:sz w:val="17"/>
                <w:szCs w:val="17"/>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14,636</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6,043</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3,934</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9,977</w:t>
            </w:r>
          </w:p>
        </w:tc>
        <w:tc>
          <w:tcPr>
            <w:tcW w:w="0" w:type="dxa"/>
            <w:vAlign w:val="bottom"/>
          </w:tcPr>
          <w:p>
            <w:pPr>
              <w:spacing w:after="0"/>
              <w:rPr>
                <w:sz w:val="1"/>
                <w:szCs w:val="1"/>
                <w:color w:val="auto"/>
              </w:rPr>
            </w:pPr>
          </w:p>
        </w:tc>
      </w:tr>
      <w:tr>
        <w:trPr>
          <w:trHeight w:val="334"/>
        </w:trPr>
        <w:tc>
          <w:tcPr>
            <w:tcW w:w="302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28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160" w:type="dxa"/>
            <w:vAlign w:val="bottom"/>
          </w:tcPr>
          <w:p>
            <w:pPr>
              <w:spacing w:after="0"/>
              <w:rPr>
                <w:sz w:val="24"/>
                <w:szCs w:val="24"/>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30,569</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3,005</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33,574</w:t>
            </w:r>
          </w:p>
        </w:tc>
        <w:tc>
          <w:tcPr>
            <w:tcW w:w="0" w:type="dxa"/>
            <w:vAlign w:val="bottom"/>
          </w:tcPr>
          <w:p>
            <w:pPr>
              <w:spacing w:after="0"/>
              <w:rPr>
                <w:sz w:val="1"/>
                <w:szCs w:val="1"/>
                <w:color w:val="auto"/>
              </w:rPr>
            </w:pPr>
          </w:p>
        </w:tc>
      </w:tr>
      <w:tr>
        <w:trPr>
          <w:trHeight w:val="206"/>
        </w:trPr>
        <w:tc>
          <w:tcPr>
            <w:tcW w:w="302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28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3,875</w:t>
            </w:r>
          </w:p>
        </w:tc>
        <w:tc>
          <w:tcPr>
            <w:tcW w:w="160" w:type="dxa"/>
            <w:vAlign w:val="bottom"/>
          </w:tcPr>
          <w:p>
            <w:pPr>
              <w:spacing w:after="0"/>
              <w:rPr>
                <w:sz w:val="17"/>
                <w:szCs w:val="17"/>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3,875</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221</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221</w:t>
            </w:r>
          </w:p>
        </w:tc>
        <w:tc>
          <w:tcPr>
            <w:tcW w:w="0" w:type="dxa"/>
            <w:vAlign w:val="bottom"/>
          </w:tcPr>
          <w:p>
            <w:pPr>
              <w:spacing w:after="0"/>
              <w:rPr>
                <w:sz w:val="1"/>
                <w:szCs w:val="1"/>
                <w:color w:val="auto"/>
              </w:rPr>
            </w:pPr>
          </w:p>
        </w:tc>
      </w:tr>
      <w:tr>
        <w:trPr>
          <w:trHeight w:val="334"/>
        </w:trPr>
        <w:tc>
          <w:tcPr>
            <w:tcW w:w="302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28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3,059</w:t>
            </w:r>
          </w:p>
        </w:tc>
        <w:tc>
          <w:tcPr>
            <w:tcW w:w="160" w:type="dxa"/>
            <w:vAlign w:val="bottom"/>
          </w:tcPr>
          <w:p>
            <w:pPr>
              <w:spacing w:after="0"/>
              <w:rPr>
                <w:sz w:val="24"/>
                <w:szCs w:val="24"/>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3,059</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02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28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418</w:t>
            </w:r>
          </w:p>
        </w:tc>
        <w:tc>
          <w:tcPr>
            <w:tcW w:w="160" w:type="dxa"/>
            <w:vAlign w:val="bottom"/>
          </w:tcPr>
          <w:p>
            <w:pPr>
              <w:spacing w:after="0"/>
              <w:rPr>
                <w:sz w:val="23"/>
                <w:szCs w:val="23"/>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418</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24,797</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24,797</w:t>
            </w:r>
          </w:p>
        </w:tc>
        <w:tc>
          <w:tcPr>
            <w:tcW w:w="0" w:type="dxa"/>
            <w:vAlign w:val="bottom"/>
          </w:tcPr>
          <w:p>
            <w:pPr>
              <w:spacing w:after="0"/>
              <w:rPr>
                <w:sz w:val="1"/>
                <w:szCs w:val="1"/>
                <w:color w:val="auto"/>
              </w:rPr>
            </w:pPr>
          </w:p>
        </w:tc>
      </w:tr>
      <w:tr>
        <w:trPr>
          <w:trHeight w:val="206"/>
        </w:trPr>
        <w:tc>
          <w:tcPr>
            <w:tcW w:w="3020" w:type="dxa"/>
            <w:vAlign w:val="bottom"/>
          </w:tcPr>
          <w:p>
            <w:pPr>
              <w:ind w:left="140"/>
              <w:spacing w:after="0"/>
              <w:rPr>
                <w:sz w:val="20"/>
                <w:szCs w:val="20"/>
                <w:color w:val="auto"/>
              </w:rPr>
            </w:pPr>
            <w:r>
              <w:rPr>
                <w:rFonts w:ascii="Arial" w:cs="Arial" w:eastAsia="Arial" w:hAnsi="Arial"/>
                <w:sz w:val="16"/>
                <w:szCs w:val="16"/>
                <w:color w:val="auto"/>
              </w:rPr>
              <w:t>R&amp;D milestone payment</w:t>
            </w:r>
          </w:p>
        </w:tc>
        <w:tc>
          <w:tcPr>
            <w:tcW w:w="28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5,614</w:t>
            </w:r>
          </w:p>
        </w:tc>
        <w:tc>
          <w:tcPr>
            <w:tcW w:w="160" w:type="dxa"/>
            <w:vAlign w:val="bottom"/>
          </w:tcPr>
          <w:p>
            <w:pPr>
              <w:spacing w:after="0"/>
              <w:rPr>
                <w:sz w:val="17"/>
                <w:szCs w:val="17"/>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5,614</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1,424</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1,424</w:t>
            </w:r>
          </w:p>
        </w:tc>
        <w:tc>
          <w:tcPr>
            <w:tcW w:w="0" w:type="dxa"/>
            <w:vAlign w:val="bottom"/>
          </w:tcPr>
          <w:p>
            <w:pPr>
              <w:spacing w:after="0"/>
              <w:rPr>
                <w:sz w:val="1"/>
                <w:szCs w:val="1"/>
                <w:color w:val="auto"/>
              </w:rPr>
            </w:pPr>
          </w:p>
        </w:tc>
      </w:tr>
      <w:tr>
        <w:trPr>
          <w:trHeight w:val="270"/>
        </w:trPr>
        <w:tc>
          <w:tcPr>
            <w:tcW w:w="3020" w:type="dxa"/>
            <w:vAlign w:val="bottom"/>
          </w:tcPr>
          <w:p>
            <w:pPr>
              <w:ind w:left="140"/>
              <w:spacing w:after="0"/>
              <w:rPr>
                <w:sz w:val="20"/>
                <w:szCs w:val="20"/>
                <w:color w:val="auto"/>
              </w:rPr>
            </w:pPr>
            <w:r>
              <w:rPr>
                <w:rFonts w:ascii="Arial" w:cs="Arial" w:eastAsia="Arial" w:hAnsi="Arial"/>
                <w:sz w:val="16"/>
                <w:szCs w:val="16"/>
                <w:color w:val="auto"/>
              </w:rPr>
              <w:t>Other</w:t>
            </w:r>
          </w:p>
        </w:tc>
        <w:tc>
          <w:tcPr>
            <w:tcW w:w="28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(68)</w:t>
            </w:r>
          </w:p>
        </w:tc>
        <w:tc>
          <w:tcPr>
            <w:tcW w:w="160" w:type="dxa"/>
            <w:vAlign w:val="bottom"/>
          </w:tcPr>
          <w:p>
            <w:pPr>
              <w:spacing w:after="0"/>
              <w:rPr>
                <w:sz w:val="23"/>
                <w:szCs w:val="23"/>
                <w:color w:val="auto"/>
              </w:rPr>
            </w:pPr>
          </w:p>
        </w:tc>
        <w:tc>
          <w:tcPr>
            <w:tcW w:w="1160" w:type="dxa"/>
            <w:vAlign w:val="bottom"/>
          </w:tcPr>
          <w:p>
            <w:pPr>
              <w:ind w:left="9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(68)</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(1,325)</w:t>
            </w:r>
          </w:p>
        </w:tc>
        <w:tc>
          <w:tcPr>
            <w:tcW w:w="20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(1,325)</w:t>
            </w:r>
          </w:p>
        </w:tc>
        <w:tc>
          <w:tcPr>
            <w:tcW w:w="0" w:type="dxa"/>
            <w:vAlign w:val="bottom"/>
          </w:tcPr>
          <w:p>
            <w:pPr>
              <w:spacing w:after="0"/>
              <w:rPr>
                <w:sz w:val="1"/>
                <w:szCs w:val="1"/>
                <w:color w:val="auto"/>
              </w:rPr>
            </w:pPr>
          </w:p>
        </w:tc>
      </w:tr>
      <w:tr>
        <w:trPr>
          <w:trHeight w:val="33"/>
        </w:trPr>
        <w:tc>
          <w:tcPr>
            <w:tcW w:w="30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20" w:type="dxa"/>
            <w:vAlign w:val="bottom"/>
          </w:tcPr>
          <w:p>
            <w:pPr>
              <w:spacing w:after="0"/>
              <w:rPr>
                <w:sz w:val="20"/>
                <w:szCs w:val="20"/>
                <w:color w:val="auto"/>
              </w:rPr>
            </w:pPr>
            <w:r>
              <w:rPr>
                <w:rFonts w:ascii="Arial" w:cs="Arial" w:eastAsia="Arial" w:hAnsi="Arial"/>
                <w:sz w:val="16"/>
                <w:szCs w:val="16"/>
                <w:b w:val="1"/>
                <w:bCs w:val="1"/>
                <w:color w:val="auto"/>
                <w:w w:val="98"/>
              </w:rPr>
              <w:t>Adjusted operating income (Non-GAAP)</w:t>
            </w: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64,748</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ind w:left="940"/>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64,748</w:t>
            </w:r>
          </w:p>
        </w:tc>
        <w:tc>
          <w:tcPr>
            <w:tcW w:w="120" w:type="dxa"/>
            <w:vAlign w:val="bottom"/>
          </w:tcPr>
          <w:p>
            <w:pPr>
              <w:spacing w:after="0"/>
              <w:rPr>
                <w:sz w:val="21"/>
                <w:szCs w:val="21"/>
                <w:color w:val="auto"/>
              </w:rPr>
            </w:pP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120,662</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(11,339)</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109,323</w:t>
            </w: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60" w:type="dxa"/>
        <w:tblCellMar>
          <w:top w:w="0" w:type="dxa"/>
          <w:left w:w="0" w:type="dxa"/>
          <w:bottom w:w="0" w:type="dxa"/>
          <w:right w:w="0" w:type="dxa"/>
        </w:tblCellMar>
      </w:tblPr>
      <w:tr>
        <w:trPr>
          <w:trHeight w:val="210"/>
        </w:trPr>
        <w:tc>
          <w:tcPr>
            <w:tcW w:w="3000" w:type="dxa"/>
            <w:vAlign w:val="bottom"/>
          </w:tcPr>
          <w:p>
            <w:pPr>
              <w:spacing w:after="0"/>
              <w:rPr>
                <w:sz w:val="20"/>
                <w:szCs w:val="20"/>
                <w:color w:val="auto"/>
              </w:rPr>
            </w:pPr>
            <w:r>
              <w:rPr>
                <w:rFonts w:ascii="Arial" w:cs="Arial" w:eastAsia="Arial" w:hAnsi="Arial"/>
                <w:sz w:val="16"/>
                <w:szCs w:val="16"/>
                <w:b w:val="1"/>
                <w:bCs w:val="1"/>
                <w:color w:val="auto"/>
              </w:rPr>
              <w:t>Generics</w:t>
            </w:r>
          </w:p>
        </w:tc>
        <w:tc>
          <w:tcPr>
            <w:tcW w:w="280" w:type="dxa"/>
            <w:vAlign w:val="bottom"/>
          </w:tcPr>
          <w:p>
            <w:pPr>
              <w:spacing w:after="0"/>
              <w:rPr>
                <w:sz w:val="18"/>
                <w:szCs w:val="18"/>
                <w:color w:val="auto"/>
              </w:rPr>
            </w:pPr>
          </w:p>
        </w:tc>
        <w:tc>
          <w:tcPr>
            <w:tcW w:w="3920" w:type="dxa"/>
            <w:vAlign w:val="bottom"/>
            <w:gridSpan w:val="6"/>
          </w:tcPr>
          <w:p>
            <w:pPr>
              <w:jc w:val="center"/>
              <w:ind w:right="360"/>
              <w:spacing w:after="0"/>
              <w:rPr>
                <w:sz w:val="20"/>
                <w:szCs w:val="20"/>
                <w:color w:val="auto"/>
              </w:rPr>
            </w:pPr>
            <w:r>
              <w:rPr>
                <w:rFonts w:ascii="Arial" w:cs="Arial" w:eastAsia="Arial" w:hAnsi="Arial"/>
                <w:sz w:val="16"/>
                <w:szCs w:val="16"/>
                <w:b w:val="1"/>
                <w:bCs w:val="1"/>
                <w:color w:val="auto"/>
                <w:w w:val="89"/>
              </w:rPr>
              <w:t>Six months ended June 30, 2019</w:t>
            </w:r>
          </w:p>
        </w:tc>
        <w:tc>
          <w:tcPr>
            <w:tcW w:w="280" w:type="dxa"/>
            <w:vAlign w:val="bottom"/>
          </w:tcPr>
          <w:p>
            <w:pPr>
              <w:spacing w:after="0"/>
              <w:rPr>
                <w:sz w:val="18"/>
                <w:szCs w:val="18"/>
                <w:color w:val="auto"/>
              </w:rPr>
            </w:pPr>
          </w:p>
        </w:tc>
        <w:tc>
          <w:tcPr>
            <w:tcW w:w="378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43"/>
        </w:trPr>
        <w:tc>
          <w:tcPr>
            <w:tcW w:w="30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280" w:type="dxa"/>
            <w:vAlign w:val="bottom"/>
          </w:tcPr>
          <w:p>
            <w:pPr>
              <w:spacing w:after="0"/>
              <w:rPr>
                <w:sz w:val="23"/>
                <w:szCs w:val="23"/>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18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00" w:type="dxa"/>
            <w:vAlign w:val="bottom"/>
            <w:vMerge w:val="restart"/>
          </w:tcPr>
          <w:p>
            <w:pPr>
              <w:spacing w:after="0"/>
              <w:rPr>
                <w:sz w:val="20"/>
                <w:szCs w:val="20"/>
                <w:color w:val="auto"/>
              </w:rPr>
            </w:pPr>
            <w:r>
              <w:rPr>
                <w:rFonts w:ascii="Arial" w:cs="Arial" w:eastAsia="Arial" w:hAnsi="Arial"/>
                <w:sz w:val="16"/>
                <w:szCs w:val="16"/>
                <w:b w:val="1"/>
                <w:bCs w:val="1"/>
                <w:color w:val="auto"/>
              </w:rPr>
              <w:t>Operating (loss) income</w:t>
            </w: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vMerge w:val="continue"/>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(49,697)</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(49,697)</w:t>
            </w:r>
          </w:p>
        </w:tc>
        <w:tc>
          <w:tcPr>
            <w:tcW w:w="10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27,593</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(130,663)</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(103,070)</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color w:val="auto"/>
              </w:rPr>
              <w:t>Adjusted to add (deduct):</w:t>
            </w:r>
          </w:p>
        </w:tc>
        <w:tc>
          <w:tcPr>
            <w:tcW w:w="28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28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29,670</w:t>
            </w:r>
          </w:p>
        </w:tc>
        <w:tc>
          <w:tcPr>
            <w:tcW w:w="16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29,670</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114,622</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114,622</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25,388</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25,388</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7,803</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13,823</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21,626</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28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21,777</w:t>
            </w:r>
          </w:p>
        </w:tc>
        <w:tc>
          <w:tcPr>
            <w:tcW w:w="16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21,777</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30,569</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9,894</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40,463</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5,373</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5,373</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221</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982</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1,203</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28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79,211</w:t>
            </w: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79,211</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53</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53</w:t>
            </w:r>
          </w:p>
        </w:tc>
        <w:tc>
          <w:tcPr>
            <w:tcW w:w="0" w:type="dxa"/>
            <w:vAlign w:val="bottom"/>
          </w:tcPr>
          <w:p>
            <w:pPr>
              <w:spacing w:after="0"/>
              <w:rPr>
                <w:sz w:val="1"/>
                <w:szCs w:val="1"/>
                <w:color w:val="auto"/>
              </w:rPr>
            </w:pPr>
          </w:p>
        </w:tc>
      </w:tr>
      <w:tr>
        <w:trPr>
          <w:trHeight w:val="257"/>
        </w:trPr>
        <w:tc>
          <w:tcPr>
            <w:tcW w:w="300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2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2,499</w:t>
            </w:r>
          </w:p>
        </w:tc>
        <w:tc>
          <w:tcPr>
            <w:tcW w:w="160" w:type="dxa"/>
            <w:vAlign w:val="bottom"/>
          </w:tcPr>
          <w:p>
            <w:pPr>
              <w:spacing w:after="0"/>
              <w:rPr>
                <w:sz w:val="22"/>
                <w:szCs w:val="22"/>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2"/>
                <w:szCs w:val="22"/>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2,499</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24,797</w:t>
            </w:r>
          </w:p>
        </w:tc>
        <w:tc>
          <w:tcPr>
            <w:tcW w:w="140" w:type="dxa"/>
            <w:vAlign w:val="bottom"/>
          </w:tcPr>
          <w:p>
            <w:pPr>
              <w:spacing w:after="0"/>
              <w:rPr>
                <w:sz w:val="22"/>
                <w:szCs w:val="22"/>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2"/>
                <w:szCs w:val="22"/>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24,797</w:t>
            </w:r>
          </w:p>
        </w:tc>
        <w:tc>
          <w:tcPr>
            <w:tcW w:w="0" w:type="dxa"/>
            <w:vAlign w:val="bottom"/>
          </w:tcPr>
          <w:p>
            <w:pPr>
              <w:spacing w:after="0"/>
              <w:rPr>
                <w:sz w:val="1"/>
                <w:szCs w:val="1"/>
                <w:color w:val="auto"/>
              </w:rPr>
            </w:pPr>
          </w:p>
        </w:tc>
      </w:tr>
      <w:tr>
        <w:trPr>
          <w:trHeight w:val="203"/>
        </w:trPr>
        <w:tc>
          <w:tcPr>
            <w:tcW w:w="3000" w:type="dxa"/>
            <w:vAlign w:val="bottom"/>
          </w:tcPr>
          <w:p>
            <w:pPr>
              <w:ind w:left="140"/>
              <w:spacing w:after="0"/>
              <w:rPr>
                <w:sz w:val="20"/>
                <w:szCs w:val="20"/>
                <w:color w:val="auto"/>
              </w:rPr>
            </w:pPr>
            <w:r>
              <w:rPr>
                <w:rFonts w:ascii="Arial" w:cs="Arial" w:eastAsia="Arial" w:hAnsi="Arial"/>
                <w:sz w:val="16"/>
                <w:szCs w:val="16"/>
                <w:color w:val="auto"/>
              </w:rPr>
              <w:t>Litigation, settlements and related</w:t>
            </w: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charges</w:t>
            </w:r>
            <w:r>
              <w:rPr>
                <w:rFonts w:ascii="Arial" w:cs="Arial" w:eastAsia="Arial" w:hAnsi="Arial"/>
                <w:sz w:val="21"/>
                <w:szCs w:val="21"/>
                <w:color w:val="auto"/>
                <w:vertAlign w:val="superscript"/>
              </w:rPr>
              <w:t>(12)</w:t>
            </w: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89,159</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89,159</w:t>
            </w: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Amortization of upfront payment</w:t>
            </w:r>
            <w:r>
              <w:rPr>
                <w:rFonts w:ascii="Arial" w:cs="Arial" w:eastAsia="Arial" w:hAnsi="Arial"/>
                <w:sz w:val="21"/>
                <w:szCs w:val="21"/>
                <w:color w:val="auto"/>
                <w:vertAlign w:val="superscript"/>
              </w:rPr>
              <w:t>(11)</w:t>
            </w: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36,393</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R&amp;D milestone payment</w:t>
            </w: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9,929</w:t>
            </w:r>
          </w:p>
        </w:tc>
        <w:tc>
          <w:tcPr>
            <w:tcW w:w="16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9,929</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2,700</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2,700</w:t>
            </w: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Other</w:t>
            </w: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1,024</w:t>
            </w:r>
          </w:p>
        </w:tc>
        <w:tc>
          <w:tcPr>
            <w:tcW w:w="16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1,024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(180)</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(180)</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00" w:type="dxa"/>
            <w:vAlign w:val="bottom"/>
          </w:tcPr>
          <w:p>
            <w:pPr>
              <w:spacing w:after="0"/>
              <w:rPr>
                <w:sz w:val="20"/>
                <w:szCs w:val="20"/>
                <w:color w:val="auto"/>
              </w:rPr>
            </w:pPr>
            <w:r>
              <w:rPr>
                <w:rFonts w:ascii="Arial" w:cs="Arial" w:eastAsia="Arial" w:hAnsi="Arial"/>
                <w:sz w:val="16"/>
                <w:szCs w:val="16"/>
                <w:b w:val="1"/>
                <w:bCs w:val="1"/>
                <w:color w:val="auto"/>
                <w:w w:val="98"/>
              </w:rPr>
              <w:t>Adjusted operating income (Non-GAAP)</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161,567</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161,567</w:t>
            </w:r>
          </w:p>
        </w:tc>
        <w:tc>
          <w:tcPr>
            <w:tcW w:w="100" w:type="dxa"/>
            <w:vAlign w:val="bottom"/>
          </w:tcPr>
          <w:p>
            <w:pPr>
              <w:spacing w:after="0"/>
              <w:rPr>
                <w:sz w:val="21"/>
                <w:szCs w:val="21"/>
                <w:color w:val="auto"/>
              </w:rPr>
            </w:pP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208,125</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(16,752)</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191,373</w:t>
            </w: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Page 17 of 23</w:t>
      </w:r>
    </w:p>
    <w:p>
      <w:pPr>
        <w:sectPr>
          <w:pgSz w:w="11900" w:h="16838" w:orient="portrait"/>
          <w:cols w:equalWidth="0" w:num="1">
            <w:col w:w="11320"/>
          </w:cols>
          <w:pgMar w:left="280" w:top="580" w:right="299" w:bottom="1440" w:gutter="0" w:footer="0" w:header="0"/>
        </w:sectPr>
      </w:pPr>
    </w:p>
    <w:bookmarkStart w:id="20" w:name="page21"/>
    <w:bookmarkEnd w:id="20"/>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pacing w:after="0" w:line="19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Reconciliations of Specialty Operating Income to Combined Adjusted Operating Income</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4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30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280" w:type="dxa"/>
            <w:vAlign w:val="bottom"/>
          </w:tcPr>
          <w:p>
            <w:pPr>
              <w:spacing w:after="0"/>
              <w:rPr>
                <w:sz w:val="18"/>
                <w:szCs w:val="18"/>
                <w:color w:val="auto"/>
              </w:rPr>
            </w:pPr>
          </w:p>
        </w:tc>
        <w:tc>
          <w:tcPr>
            <w:tcW w:w="3760" w:type="dxa"/>
            <w:vAlign w:val="bottom"/>
            <w:gridSpan w:val="5"/>
          </w:tcPr>
          <w:p>
            <w:pPr>
              <w:jc w:val="center"/>
              <w:ind w:right="15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30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6"/>
              </w:rPr>
              <w:t>(Non-GAAP)</w:t>
            </w: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0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300" w:type="dxa"/>
            <w:vAlign w:val="bottom"/>
            <w:gridSpan w:val="2"/>
          </w:tcPr>
          <w:p>
            <w:pPr>
              <w:jc w:val="center"/>
              <w:ind w:right="260"/>
              <w:spacing w:after="0"/>
              <w:rPr>
                <w:sz w:val="20"/>
                <w:szCs w:val="20"/>
                <w:color w:val="auto"/>
              </w:rPr>
            </w:pPr>
            <w:r>
              <w:rPr>
                <w:rFonts w:ascii="Arial" w:cs="Arial" w:eastAsia="Arial" w:hAnsi="Arial"/>
                <w:sz w:val="16"/>
                <w:szCs w:val="16"/>
                <w:b w:val="1"/>
                <w:bCs w:val="1"/>
                <w:color w:val="auto"/>
                <w:w w:val="91"/>
              </w:rPr>
              <w:t>Combined</w:t>
            </w:r>
          </w:p>
        </w:tc>
        <w:tc>
          <w:tcPr>
            <w:tcW w:w="280" w:type="dxa"/>
            <w:vAlign w:val="bottom"/>
          </w:tcPr>
          <w:p>
            <w:pPr>
              <w:spacing w:after="0"/>
              <w:rPr>
                <w:sz w:val="23"/>
                <w:szCs w:val="23"/>
                <w:color w:val="auto"/>
              </w:rPr>
            </w:pPr>
          </w:p>
        </w:tc>
        <w:tc>
          <w:tcPr>
            <w:tcW w:w="102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00" w:type="dxa"/>
            <w:vAlign w:val="bottom"/>
          </w:tcPr>
          <w:p>
            <w:pPr>
              <w:spacing w:after="0"/>
              <w:rPr>
                <w:sz w:val="23"/>
                <w:szCs w:val="23"/>
                <w:color w:val="auto"/>
              </w:rPr>
            </w:pPr>
          </w:p>
        </w:tc>
        <w:tc>
          <w:tcPr>
            <w:tcW w:w="1180" w:type="dxa"/>
            <w:vAlign w:val="bottom"/>
          </w:tcPr>
          <w:p>
            <w:pPr>
              <w:jc w:val="right"/>
              <w:ind w:right="21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Operating income</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16,536</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16,536</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spacing w:after="0"/>
              <w:rPr>
                <w:sz w:val="20"/>
                <w:szCs w:val="20"/>
                <w:color w:val="auto"/>
              </w:rPr>
            </w:pPr>
            <w:r>
              <w:rPr>
                <w:rFonts w:ascii="Arial" w:cs="Arial" w:eastAsia="Arial" w:hAnsi="Arial"/>
                <w:sz w:val="16"/>
                <w:szCs w:val="16"/>
                <w:color w:val="auto"/>
              </w:rPr>
              <w:t>8,917</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12,121</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21,038</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Adjusted to add:</w:t>
            </w:r>
          </w:p>
        </w:tc>
        <w:tc>
          <w:tcPr>
            <w:tcW w:w="3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20,160</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20,160</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10,651</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1,528</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12,179</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1,950</w:t>
            </w:r>
          </w:p>
        </w:tc>
        <w:tc>
          <w:tcPr>
            <w:tcW w:w="18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1,950</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2,251</w:t>
            </w:r>
          </w:p>
        </w:tc>
        <w:tc>
          <w:tcPr>
            <w:tcW w:w="18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2,251</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366</w:t>
            </w:r>
          </w:p>
        </w:tc>
        <w:tc>
          <w:tcPr>
            <w:tcW w:w="18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366</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03"/>
        </w:trPr>
        <w:tc>
          <w:tcPr>
            <w:tcW w:w="304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300" w:type="dxa"/>
            <w:vAlign w:val="bottom"/>
          </w:tcPr>
          <w:p>
            <w:pPr>
              <w:spacing w:after="0"/>
              <w:rPr>
                <w:sz w:val="24"/>
                <w:szCs w:val="24"/>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2,421</w:t>
            </w:r>
          </w:p>
        </w:tc>
        <w:tc>
          <w:tcPr>
            <w:tcW w:w="18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2,421</w:t>
            </w:r>
          </w:p>
        </w:tc>
        <w:tc>
          <w:tcPr>
            <w:tcW w:w="0" w:type="dxa"/>
            <w:vAlign w:val="bottom"/>
          </w:tcPr>
          <w:p>
            <w:pPr>
              <w:spacing w:after="0"/>
              <w:rPr>
                <w:sz w:val="1"/>
                <w:szCs w:val="1"/>
                <w:color w:val="auto"/>
              </w:rPr>
            </w:pPr>
          </w:p>
        </w:tc>
      </w:tr>
      <w:tr>
        <w:trPr>
          <w:trHeight w:val="244"/>
        </w:trPr>
        <w:tc>
          <w:tcPr>
            <w:tcW w:w="3040" w:type="dxa"/>
            <w:vAlign w:val="bottom"/>
          </w:tcPr>
          <w:p>
            <w:pPr>
              <w:spacing w:after="0"/>
              <w:rPr>
                <w:sz w:val="20"/>
                <w:szCs w:val="20"/>
                <w:color w:val="auto"/>
              </w:rPr>
            </w:pPr>
            <w:r>
              <w:rPr>
                <w:rFonts w:ascii="Arial" w:cs="Arial" w:eastAsia="Arial" w:hAnsi="Arial"/>
                <w:sz w:val="16"/>
                <w:szCs w:val="16"/>
                <w:b w:val="1"/>
                <w:bCs w:val="1"/>
                <w:color w:val="auto"/>
                <w:w w:val="99"/>
              </w:rPr>
              <w:t>Adjusted operating income (Non-GAAP)</w:t>
            </w:r>
          </w:p>
        </w:tc>
        <w:tc>
          <w:tcPr>
            <w:tcW w:w="30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39,313</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top w:val="single" w:sz="8" w:color="auto"/>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39,313</w:t>
            </w:r>
          </w:p>
        </w:tc>
        <w:tc>
          <w:tcPr>
            <w:tcW w:w="120" w:type="dxa"/>
            <w:vAlign w:val="bottom"/>
          </w:tcPr>
          <w:p>
            <w:pPr>
              <w:spacing w:after="0"/>
              <w:rPr>
                <w:sz w:val="21"/>
                <w:szCs w:val="21"/>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23,939</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13,649</w:t>
            </w: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37,588</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00" w:type="dxa"/>
            <w:vAlign w:val="bottom"/>
          </w:tcPr>
          <w:p>
            <w:pPr>
              <w:spacing w:after="0"/>
              <w:rPr>
                <w:sz w:val="20"/>
                <w:szCs w:val="20"/>
                <w:color w:val="auto"/>
              </w:rPr>
            </w:pPr>
            <w:r>
              <w:rPr>
                <w:rFonts w:ascii="Arial" w:cs="Arial" w:eastAsia="Arial" w:hAnsi="Arial"/>
                <w:sz w:val="16"/>
                <w:szCs w:val="16"/>
                <w:b w:val="1"/>
                <w:bCs w:val="1"/>
                <w:color w:val="auto"/>
              </w:rPr>
              <w:t>Specialty</w:t>
            </w:r>
          </w:p>
        </w:tc>
        <w:tc>
          <w:tcPr>
            <w:tcW w:w="30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89"/>
              </w:rPr>
              <w:t>Six months ended June 30, 2019</w:t>
            </w:r>
          </w:p>
        </w:tc>
        <w:tc>
          <w:tcPr>
            <w:tcW w:w="300" w:type="dxa"/>
            <w:vAlign w:val="bottom"/>
          </w:tcPr>
          <w:p>
            <w:pPr>
              <w:spacing w:after="0"/>
              <w:rPr>
                <w:sz w:val="18"/>
                <w:szCs w:val="18"/>
                <w:color w:val="auto"/>
              </w:rPr>
            </w:pPr>
          </w:p>
        </w:tc>
        <w:tc>
          <w:tcPr>
            <w:tcW w:w="382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4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8"/>
              </w:rPr>
              <w:t>Add:</w:t>
            </w:r>
          </w:p>
        </w:tc>
        <w:tc>
          <w:tcPr>
            <w:tcW w:w="240" w:type="dxa"/>
            <w:vAlign w:val="bottom"/>
          </w:tcPr>
          <w:p>
            <w:pPr>
              <w:spacing w:after="0"/>
              <w:rPr>
                <w:sz w:val="18"/>
                <w:szCs w:val="18"/>
                <w:color w:val="auto"/>
              </w:rPr>
            </w:pPr>
          </w:p>
        </w:tc>
        <w:tc>
          <w:tcPr>
            <w:tcW w:w="1180" w:type="dxa"/>
            <w:vAlign w:val="bottom"/>
          </w:tcPr>
          <w:p>
            <w:pPr>
              <w:jc w:val="right"/>
              <w:ind w:right="13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4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40" w:type="dxa"/>
            <w:vAlign w:val="bottom"/>
          </w:tcPr>
          <w:p>
            <w:pPr>
              <w:jc w:val="right"/>
              <w:ind w:right="339"/>
              <w:spacing w:after="0"/>
              <w:rPr>
                <w:sz w:val="20"/>
                <w:szCs w:val="20"/>
                <w:color w:val="auto"/>
              </w:rPr>
            </w:pPr>
            <w:r>
              <w:rPr>
                <w:rFonts w:ascii="Arial" w:cs="Arial" w:eastAsia="Arial" w:hAnsi="Arial"/>
                <w:sz w:val="16"/>
                <w:szCs w:val="16"/>
                <w:b w:val="1"/>
                <w:bCs w:val="1"/>
                <w:color w:val="auto"/>
              </w:rPr>
              <w:t>Actual</w:t>
            </w:r>
          </w:p>
        </w:tc>
        <w:tc>
          <w:tcPr>
            <w:tcW w:w="180" w:type="dxa"/>
            <w:vAlign w:val="bottom"/>
          </w:tcPr>
          <w:p>
            <w:pPr>
              <w:spacing w:after="0"/>
              <w:rPr>
                <w:sz w:val="23"/>
                <w:szCs w:val="23"/>
                <w:color w:val="auto"/>
              </w:rPr>
            </w:pPr>
          </w:p>
        </w:tc>
        <w:tc>
          <w:tcPr>
            <w:tcW w:w="1180" w:type="dxa"/>
            <w:vAlign w:val="bottom"/>
          </w:tcPr>
          <w:p>
            <w:pPr>
              <w:jc w:val="center"/>
              <w:ind w:right="19"/>
              <w:spacing w:after="0"/>
              <w:rPr>
                <w:sz w:val="20"/>
                <w:szCs w:val="20"/>
                <w:color w:val="auto"/>
              </w:rPr>
            </w:pPr>
            <w:r>
              <w:rPr>
                <w:rFonts w:ascii="Arial" w:cs="Arial" w:eastAsia="Arial" w:hAnsi="Arial"/>
                <w:sz w:val="16"/>
                <w:szCs w:val="16"/>
                <w:b w:val="1"/>
                <w:bCs w:val="1"/>
                <w:color w:val="auto"/>
                <w:w w:val="95"/>
              </w:rPr>
              <w:t>Impax/ Gemini</w:t>
            </w:r>
          </w:p>
        </w:tc>
        <w:tc>
          <w:tcPr>
            <w:tcW w:w="240" w:type="dxa"/>
            <w:vAlign w:val="bottom"/>
          </w:tcPr>
          <w:p>
            <w:pPr>
              <w:spacing w:after="0"/>
              <w:rPr>
                <w:sz w:val="23"/>
                <w:szCs w:val="23"/>
                <w:color w:val="auto"/>
              </w:rPr>
            </w:pPr>
          </w:p>
        </w:tc>
        <w:tc>
          <w:tcPr>
            <w:tcW w:w="1180" w:type="dxa"/>
            <w:vAlign w:val="bottom"/>
          </w:tcPr>
          <w:p>
            <w:pPr>
              <w:jc w:val="right"/>
              <w:ind w:right="23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00" w:type="dxa"/>
            <w:vAlign w:val="bottom"/>
            <w:vMerge w:val="restart"/>
          </w:tcPr>
          <w:p>
            <w:pPr>
              <w:spacing w:after="0"/>
              <w:rPr>
                <w:sz w:val="20"/>
                <w:szCs w:val="20"/>
                <w:color w:val="auto"/>
              </w:rPr>
            </w:pPr>
            <w:r>
              <w:rPr>
                <w:rFonts w:ascii="Arial" w:cs="Arial" w:eastAsia="Arial" w:hAnsi="Arial"/>
                <w:sz w:val="16"/>
                <w:szCs w:val="16"/>
                <w:b w:val="1"/>
                <w:bCs w:val="1"/>
                <w:color w:val="auto"/>
              </w:rPr>
              <w:t>Operating income</w:t>
            </w: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00" w:type="dxa"/>
            <w:vAlign w:val="bottom"/>
            <w:vMerge w:val="continue"/>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21,173</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21,173</w:t>
            </w:r>
          </w:p>
        </w:tc>
        <w:tc>
          <w:tcPr>
            <w:tcW w:w="12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8,917</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36,968</w:t>
            </w: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45,885</w:t>
            </w:r>
          </w:p>
        </w:tc>
        <w:tc>
          <w:tcPr>
            <w:tcW w:w="0" w:type="dxa"/>
            <w:vAlign w:val="bottom"/>
          </w:tcPr>
          <w:p>
            <w:pPr>
              <w:spacing w:after="0"/>
              <w:rPr>
                <w:sz w:val="1"/>
                <w:szCs w:val="1"/>
                <w:color w:val="auto"/>
              </w:rPr>
            </w:pPr>
          </w:p>
        </w:tc>
      </w:tr>
      <w:tr>
        <w:trPr>
          <w:trHeight w:val="270"/>
        </w:trPr>
        <w:tc>
          <w:tcPr>
            <w:tcW w:w="3000" w:type="dxa"/>
            <w:vAlign w:val="bottom"/>
          </w:tcPr>
          <w:p>
            <w:pPr>
              <w:spacing w:after="0"/>
              <w:rPr>
                <w:sz w:val="20"/>
                <w:szCs w:val="20"/>
                <w:color w:val="auto"/>
              </w:rPr>
            </w:pPr>
            <w:r>
              <w:rPr>
                <w:rFonts w:ascii="Arial" w:cs="Arial" w:eastAsia="Arial" w:hAnsi="Arial"/>
                <w:sz w:val="16"/>
                <w:szCs w:val="16"/>
                <w:color w:val="auto"/>
              </w:rPr>
              <w:t>Adjusted to add:</w:t>
            </w: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40,371</w:t>
            </w:r>
          </w:p>
        </w:tc>
        <w:tc>
          <w:tcPr>
            <w:tcW w:w="18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40,371</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10,651</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6,112</w:t>
            </w:r>
          </w:p>
        </w:tc>
        <w:tc>
          <w:tcPr>
            <w:tcW w:w="24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16,763</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1,950</w:t>
            </w:r>
          </w:p>
        </w:tc>
        <w:tc>
          <w:tcPr>
            <w:tcW w:w="18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1,950</w:t>
            </w:r>
          </w:p>
        </w:tc>
        <w:tc>
          <w:tcPr>
            <w:tcW w:w="0" w:type="dxa"/>
            <w:vAlign w:val="bottom"/>
          </w:tcPr>
          <w:p>
            <w:pPr>
              <w:spacing w:after="0"/>
              <w:rPr>
                <w:sz w:val="1"/>
                <w:szCs w:val="1"/>
                <w:color w:val="auto"/>
              </w:rPr>
            </w:pPr>
          </w:p>
        </w:tc>
      </w:tr>
      <w:tr>
        <w:trPr>
          <w:trHeight w:val="270"/>
        </w:trPr>
        <w:tc>
          <w:tcPr>
            <w:tcW w:w="300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5,806</w:t>
            </w:r>
          </w:p>
        </w:tc>
        <w:tc>
          <w:tcPr>
            <w:tcW w:w="18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5,806</w:t>
            </w:r>
          </w:p>
        </w:tc>
        <w:tc>
          <w:tcPr>
            <w:tcW w:w="1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510</w:t>
            </w:r>
          </w:p>
        </w:tc>
        <w:tc>
          <w:tcPr>
            <w:tcW w:w="18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510</w:t>
            </w:r>
          </w:p>
        </w:tc>
        <w:tc>
          <w:tcPr>
            <w:tcW w:w="1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1,124</w:t>
            </w:r>
          </w:p>
        </w:tc>
        <w:tc>
          <w:tcPr>
            <w:tcW w:w="24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1,124</w:t>
            </w:r>
          </w:p>
        </w:tc>
        <w:tc>
          <w:tcPr>
            <w:tcW w:w="0" w:type="dxa"/>
            <w:vAlign w:val="bottom"/>
          </w:tcPr>
          <w:p>
            <w:pPr>
              <w:spacing w:after="0"/>
              <w:rPr>
                <w:sz w:val="1"/>
                <w:szCs w:val="1"/>
                <w:color w:val="auto"/>
              </w:rPr>
            </w:pPr>
          </w:p>
        </w:tc>
      </w:tr>
      <w:tr>
        <w:trPr>
          <w:trHeight w:val="334"/>
        </w:trPr>
        <w:tc>
          <w:tcPr>
            <w:tcW w:w="300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178</w:t>
            </w:r>
          </w:p>
        </w:tc>
        <w:tc>
          <w:tcPr>
            <w:tcW w:w="18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178</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2,421</w:t>
            </w:r>
          </w:p>
        </w:tc>
        <w:tc>
          <w:tcPr>
            <w:tcW w:w="180" w:type="dxa"/>
            <w:vAlign w:val="bottom"/>
          </w:tcPr>
          <w:p>
            <w:pPr>
              <w:spacing w:after="0"/>
              <w:rPr>
                <w:sz w:val="24"/>
                <w:szCs w:val="24"/>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2,421</w:t>
            </w:r>
          </w:p>
        </w:tc>
        <w:tc>
          <w:tcPr>
            <w:tcW w:w="0" w:type="dxa"/>
            <w:vAlign w:val="bottom"/>
          </w:tcPr>
          <w:p>
            <w:pPr>
              <w:spacing w:after="0"/>
              <w:rPr>
                <w:sz w:val="1"/>
                <w:szCs w:val="1"/>
                <w:color w:val="auto"/>
              </w:rPr>
            </w:pPr>
          </w:p>
        </w:tc>
      </w:tr>
      <w:tr>
        <w:trPr>
          <w:trHeight w:val="206"/>
        </w:trPr>
        <w:tc>
          <w:tcPr>
            <w:tcW w:w="3000" w:type="dxa"/>
            <w:vAlign w:val="bottom"/>
          </w:tcPr>
          <w:p>
            <w:pPr>
              <w:ind w:left="140"/>
              <w:spacing w:after="0"/>
              <w:rPr>
                <w:sz w:val="20"/>
                <w:szCs w:val="20"/>
                <w:color w:val="auto"/>
              </w:rPr>
            </w:pPr>
            <w:r>
              <w:rPr>
                <w:rFonts w:ascii="Arial" w:cs="Arial" w:eastAsia="Arial" w:hAnsi="Arial"/>
                <w:sz w:val="16"/>
                <w:szCs w:val="16"/>
                <w:color w:val="auto"/>
                <w:w w:val="94"/>
              </w:rPr>
              <w:t>Litigation, settlements and related charges</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940</w:t>
            </w:r>
          </w:p>
        </w:tc>
        <w:tc>
          <w:tcPr>
            <w:tcW w:w="24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940</w:t>
            </w:r>
          </w:p>
        </w:tc>
        <w:tc>
          <w:tcPr>
            <w:tcW w:w="0" w:type="dxa"/>
            <w:vAlign w:val="bottom"/>
          </w:tcPr>
          <w:p>
            <w:pPr>
              <w:spacing w:after="0"/>
              <w:rPr>
                <w:sz w:val="1"/>
                <w:szCs w:val="1"/>
                <w:color w:val="auto"/>
              </w:rPr>
            </w:pPr>
          </w:p>
        </w:tc>
      </w:tr>
      <w:tr>
        <w:trPr>
          <w:trHeight w:val="33"/>
        </w:trPr>
        <w:tc>
          <w:tcPr>
            <w:tcW w:w="30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00" w:type="dxa"/>
            <w:vAlign w:val="bottom"/>
          </w:tcPr>
          <w:p>
            <w:pPr>
              <w:spacing w:after="0"/>
              <w:rPr>
                <w:sz w:val="20"/>
                <w:szCs w:val="20"/>
                <w:color w:val="auto"/>
              </w:rPr>
            </w:pPr>
            <w:r>
              <w:rPr>
                <w:rFonts w:ascii="Arial" w:cs="Arial" w:eastAsia="Arial" w:hAnsi="Arial"/>
                <w:sz w:val="16"/>
                <w:szCs w:val="16"/>
                <w:b w:val="1"/>
                <w:bCs w:val="1"/>
                <w:color w:val="auto"/>
                <w:w w:val="98"/>
              </w:rPr>
              <w:t>Adjusted operating income (Non-GAAP)</w:t>
            </w:r>
          </w:p>
        </w:tc>
        <w:tc>
          <w:tcPr>
            <w:tcW w:w="3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68,038</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68,038</w:t>
            </w:r>
          </w:p>
        </w:tc>
        <w:tc>
          <w:tcPr>
            <w:tcW w:w="120" w:type="dxa"/>
            <w:vAlign w:val="bottom"/>
          </w:tcPr>
          <w:p>
            <w:pPr>
              <w:spacing w:after="0"/>
              <w:rPr>
                <w:sz w:val="21"/>
                <w:szCs w:val="21"/>
                <w:color w:val="auto"/>
              </w:rPr>
            </w:pP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23,939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45,144</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69,083</w:t>
            </w:r>
          </w:p>
        </w:tc>
        <w:tc>
          <w:tcPr>
            <w:tcW w:w="0" w:type="dxa"/>
            <w:vAlign w:val="bottom"/>
          </w:tcPr>
          <w:p>
            <w:pPr>
              <w:spacing w:after="0"/>
              <w:rPr>
                <w:sz w:val="1"/>
                <w:szCs w:val="1"/>
                <w:color w:val="auto"/>
              </w:rPr>
            </w:pPr>
          </w:p>
        </w:tc>
      </w:tr>
      <w:tr>
        <w:trPr>
          <w:trHeight w:val="20"/>
        </w:trPr>
        <w:tc>
          <w:tcPr>
            <w:tcW w:w="30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18 of 23</w:t>
      </w:r>
    </w:p>
    <w:p>
      <w:pPr>
        <w:sectPr>
          <w:pgSz w:w="11900" w:h="16838" w:orient="portrait"/>
          <w:cols w:equalWidth="0" w:num="1">
            <w:col w:w="11360"/>
          </w:cols>
          <w:pgMar w:left="280" w:top="580" w:right="25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Net Loss to Combined Adjusted Net Income and Calculation of Adjusted Diluted EPS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20" w:type="dxa"/>
            <w:vAlign w:val="bottom"/>
            <w:gridSpan w:val="5"/>
          </w:tcPr>
          <w:p>
            <w:pPr>
              <w:jc w:val="right"/>
              <w:ind w:right="599"/>
              <w:spacing w:after="0"/>
              <w:rPr>
                <w:sz w:val="20"/>
                <w:szCs w:val="20"/>
                <w:color w:val="auto"/>
              </w:rPr>
            </w:pPr>
            <w:r>
              <w:rPr>
                <w:rFonts w:ascii="Arial" w:cs="Arial" w:eastAsia="Arial" w:hAnsi="Arial"/>
                <w:sz w:val="16"/>
                <w:szCs w:val="16"/>
                <w:b w:val="1"/>
                <w:bCs w:val="1"/>
                <w:color w:val="auto"/>
              </w:rPr>
              <w:t>Three months ended June 30, 2019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480" w:type="dxa"/>
            <w:vAlign w:val="bottom"/>
            <w:gridSpan w:val="5"/>
          </w:tcPr>
          <w:p>
            <w:pPr>
              <w:jc w:val="center"/>
              <w:ind w:right="15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7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vMerge w:val="restart"/>
          </w:tcPr>
          <w:p>
            <w:pPr>
              <w:jc w:val="right"/>
              <w:ind w:right="379"/>
              <w:spacing w:after="0"/>
              <w:rPr>
                <w:sz w:val="20"/>
                <w:szCs w:val="20"/>
                <w:color w:val="auto"/>
              </w:rPr>
            </w:pPr>
            <w:r>
              <w:rPr>
                <w:rFonts w:ascii="Arial" w:cs="Arial" w:eastAsia="Arial" w:hAnsi="Arial"/>
                <w:sz w:val="16"/>
                <w:szCs w:val="16"/>
                <w:b w:val="1"/>
                <w:bCs w:val="1"/>
                <w:color w:val="auto"/>
              </w:rPr>
              <w:t>Add:</w:t>
            </w:r>
          </w:p>
        </w:tc>
        <w:tc>
          <w:tcPr>
            <w:tcW w:w="14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b w:val="1"/>
                <w:bCs w:val="1"/>
                <w:color w:val="auto"/>
                <w:w w:val="98"/>
              </w:rPr>
              <w:t>(Non-GAAP)</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60" w:type="dxa"/>
            <w:vAlign w:val="bottom"/>
            <w:vMerge w:val="restart"/>
          </w:tcPr>
          <w:p>
            <w:pPr>
              <w:jc w:val="center"/>
              <w:ind w:right="199"/>
              <w:spacing w:after="0"/>
              <w:rPr>
                <w:sz w:val="20"/>
                <w:szCs w:val="20"/>
                <w:color w:val="auto"/>
              </w:rPr>
            </w:pPr>
            <w:r>
              <w:rPr>
                <w:rFonts w:ascii="Arial" w:cs="Arial" w:eastAsia="Arial" w:hAnsi="Arial"/>
                <w:sz w:val="16"/>
                <w:szCs w:val="16"/>
                <w:b w:val="1"/>
                <w:bCs w:val="1"/>
                <w:color w:val="auto"/>
                <w:w w:val="98"/>
              </w:rPr>
              <w:t>Add:</w:t>
            </w:r>
          </w:p>
        </w:tc>
        <w:tc>
          <w:tcPr>
            <w:tcW w:w="140" w:type="dxa"/>
            <w:vAlign w:val="bottom"/>
          </w:tcPr>
          <w:p>
            <w:pPr>
              <w:spacing w:after="0"/>
              <w:rPr>
                <w:sz w:val="18"/>
                <w:szCs w:val="18"/>
                <w:color w:val="auto"/>
              </w:rPr>
            </w:pPr>
          </w:p>
        </w:tc>
        <w:tc>
          <w:tcPr>
            <w:tcW w:w="1100" w:type="dxa"/>
            <w:vAlign w:val="bottom"/>
          </w:tcPr>
          <w:p>
            <w:pPr>
              <w:jc w:val="right"/>
              <w:ind w:right="79"/>
              <w:spacing w:after="0"/>
              <w:rPr>
                <w:sz w:val="20"/>
                <w:szCs w:val="20"/>
                <w:color w:val="auto"/>
              </w:rPr>
            </w:pPr>
            <w:r>
              <w:rPr>
                <w:rFonts w:ascii="Arial" w:cs="Arial" w:eastAsia="Arial" w:hAnsi="Arial"/>
                <w:sz w:val="16"/>
                <w:szCs w:val="16"/>
                <w:b w:val="1"/>
                <w:bCs w:val="1"/>
                <w:color w:val="auto"/>
                <w:w w:val="98"/>
              </w:rPr>
              <w:t>(Non-GAAP)</w:t>
            </w:r>
          </w:p>
        </w:tc>
        <w:tc>
          <w:tcPr>
            <w:tcW w:w="0" w:type="dxa"/>
            <w:vAlign w:val="bottom"/>
          </w:tcPr>
          <w:p>
            <w:pPr>
              <w:spacing w:after="0"/>
              <w:rPr>
                <w:sz w:val="1"/>
                <w:szCs w:val="1"/>
                <w:color w:val="auto"/>
              </w:rPr>
            </w:pPr>
          </w:p>
        </w:tc>
      </w:tr>
      <w:tr>
        <w:trPr>
          <w:trHeight w:val="203"/>
        </w:trPr>
        <w:tc>
          <w:tcPr>
            <w:tcW w:w="3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96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74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80" w:type="dxa"/>
            <w:vAlign w:val="bottom"/>
            <w:gridSpan w:val="2"/>
          </w:tcPr>
          <w:p>
            <w:pPr>
              <w:jc w:val="right"/>
              <w:ind w:right="19"/>
              <w:spacing w:after="0"/>
              <w:rPr>
                <w:sz w:val="20"/>
                <w:szCs w:val="20"/>
                <w:color w:val="auto"/>
              </w:rPr>
            </w:pPr>
            <w:r>
              <w:rPr>
                <w:rFonts w:ascii="Arial" w:cs="Arial" w:eastAsia="Arial" w:hAnsi="Arial"/>
                <w:sz w:val="16"/>
                <w:szCs w:val="16"/>
                <w:b w:val="1"/>
                <w:bCs w:val="1"/>
                <w:color w:val="auto"/>
              </w:rPr>
              <w:t>Impax/ Gemini</w:t>
            </w:r>
          </w:p>
        </w:tc>
        <w:tc>
          <w:tcPr>
            <w:tcW w:w="140" w:type="dxa"/>
            <w:vAlign w:val="bottom"/>
          </w:tcPr>
          <w:p>
            <w:pPr>
              <w:spacing w:after="0"/>
              <w:rPr>
                <w:sz w:val="23"/>
                <w:szCs w:val="23"/>
                <w:color w:val="auto"/>
              </w:rPr>
            </w:pPr>
          </w:p>
        </w:tc>
        <w:tc>
          <w:tcPr>
            <w:tcW w:w="1100" w:type="dxa"/>
            <w:vAlign w:val="bottom"/>
          </w:tcPr>
          <w:p>
            <w:pPr>
              <w:jc w:val="right"/>
              <w:ind w:right="179"/>
              <w:spacing w:after="0"/>
              <w:rPr>
                <w:sz w:val="20"/>
                <w:szCs w:val="20"/>
                <w:color w:val="auto"/>
              </w:rPr>
            </w:pPr>
            <w:r>
              <w:rPr>
                <w:rFonts w:ascii="Arial" w:cs="Arial" w:eastAsia="Arial" w:hAnsi="Arial"/>
                <w:sz w:val="16"/>
                <w:szCs w:val="16"/>
                <w:b w:val="1"/>
                <w:bCs w:val="1"/>
                <w:color w:val="auto"/>
              </w:rPr>
              <w:t>Combined</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60" w:type="dxa"/>
            <w:vAlign w:val="bottom"/>
            <w:gridSpan w:val="2"/>
          </w:tcPr>
          <w:p>
            <w:pPr>
              <w:jc w:val="center"/>
              <w:spacing w:after="0"/>
              <w:rPr>
                <w:sz w:val="20"/>
                <w:szCs w:val="20"/>
                <w:color w:val="auto"/>
              </w:rPr>
            </w:pPr>
            <w:r>
              <w:rPr>
                <w:rFonts w:ascii="Arial" w:cs="Arial" w:eastAsia="Arial" w:hAnsi="Arial"/>
                <w:sz w:val="16"/>
                <w:szCs w:val="16"/>
                <w:b w:val="1"/>
                <w:bCs w:val="1"/>
                <w:color w:val="auto"/>
                <w:w w:val="95"/>
              </w:rPr>
              <w:t>Impax/ Gemini</w:t>
            </w:r>
          </w:p>
        </w:tc>
        <w:tc>
          <w:tcPr>
            <w:tcW w:w="140" w:type="dxa"/>
            <w:vAlign w:val="bottom"/>
          </w:tcPr>
          <w:p>
            <w:pPr>
              <w:spacing w:after="0"/>
              <w:rPr>
                <w:sz w:val="23"/>
                <w:szCs w:val="23"/>
                <w:color w:val="auto"/>
              </w:rPr>
            </w:pPr>
          </w:p>
        </w:tc>
        <w:tc>
          <w:tcPr>
            <w:tcW w:w="1100" w:type="dxa"/>
            <w:vAlign w:val="bottom"/>
          </w:tcPr>
          <w:p>
            <w:pPr>
              <w:jc w:val="right"/>
              <w:ind w:right="17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74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740" w:type="dxa"/>
            <w:vAlign w:val="bottom"/>
            <w:vMerge w:val="continue"/>
          </w:tcPr>
          <w:p>
            <w:pPr>
              <w:spacing w:after="0"/>
              <w:rPr>
                <w:sz w:val="18"/>
                <w:szCs w:val="18"/>
                <w:color w:val="auto"/>
              </w:rPr>
            </w:pP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(50,526)</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(50,526)</w:t>
            </w:r>
          </w:p>
        </w:tc>
        <w:tc>
          <w:tcPr>
            <w:tcW w:w="38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(250,090)</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(23,006)</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(273,096)</w:t>
            </w:r>
          </w:p>
        </w:tc>
        <w:tc>
          <w:tcPr>
            <w:tcW w:w="0" w:type="dxa"/>
            <w:vAlign w:val="bottom"/>
          </w:tcPr>
          <w:p>
            <w:pPr>
              <w:spacing w:after="0"/>
              <w:rPr>
                <w:sz w:val="1"/>
                <w:szCs w:val="1"/>
                <w:color w:val="auto"/>
              </w:rPr>
            </w:pPr>
          </w:p>
        </w:tc>
      </w:tr>
      <w:tr>
        <w:trPr>
          <w:trHeight w:val="270"/>
        </w:trPr>
        <w:tc>
          <w:tcPr>
            <w:tcW w:w="3740" w:type="dxa"/>
            <w:vAlign w:val="bottom"/>
          </w:tcPr>
          <w:p>
            <w:pPr>
              <w:spacing w:after="0"/>
              <w:rPr>
                <w:sz w:val="20"/>
                <w:szCs w:val="20"/>
                <w:color w:val="auto"/>
              </w:rPr>
            </w:pPr>
            <w:r>
              <w:rPr>
                <w:rFonts w:ascii="Arial" w:cs="Arial" w:eastAsia="Arial" w:hAnsi="Arial"/>
                <w:sz w:val="16"/>
                <w:szCs w:val="16"/>
                <w:color w:val="auto"/>
              </w:rPr>
              <w:t>Adjusted to add (deduct):</w:t>
            </w:r>
          </w:p>
        </w:tc>
        <w:tc>
          <w:tcPr>
            <w:tcW w:w="26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Non-cash interest</w:t>
            </w: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1,617</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1,617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4,407</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2,549</w:t>
            </w:r>
          </w:p>
        </w:tc>
        <w:tc>
          <w:tcPr>
            <w:tcW w:w="140" w:type="dxa"/>
            <w:vAlign w:val="bottom"/>
          </w:tcPr>
          <w:p>
            <w:pPr>
              <w:spacing w:after="0"/>
              <w:rPr>
                <w:sz w:val="23"/>
                <w:szCs w:val="23"/>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6,956</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GAAP Income tax (benefit) expense</w:t>
            </w:r>
          </w:p>
        </w:tc>
        <w:tc>
          <w:tcPr>
            <w:tcW w:w="26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(5,701)</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(5,701)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(12,416)</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1,017</w:t>
            </w:r>
          </w:p>
        </w:tc>
        <w:tc>
          <w:tcPr>
            <w:tcW w:w="14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(11,399)</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34,796</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34,796</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16,694</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5,462</w:t>
            </w:r>
          </w:p>
        </w:tc>
        <w:tc>
          <w:tcPr>
            <w:tcW w:w="140" w:type="dxa"/>
            <w:vAlign w:val="bottom"/>
          </w:tcPr>
          <w:p>
            <w:pPr>
              <w:spacing w:after="0"/>
              <w:rPr>
                <w:sz w:val="23"/>
                <w:szCs w:val="23"/>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22,156</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6,224</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6,224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1,644</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1,644</w:t>
            </w:r>
          </w:p>
        </w:tc>
        <w:tc>
          <w:tcPr>
            <w:tcW w:w="0" w:type="dxa"/>
            <w:vAlign w:val="bottom"/>
          </w:tcPr>
          <w:p>
            <w:pPr>
              <w:spacing w:after="0"/>
              <w:rPr>
                <w:sz w:val="1"/>
                <w:szCs w:val="1"/>
                <w:color w:val="auto"/>
              </w:rPr>
            </w:pPr>
          </w:p>
        </w:tc>
      </w:tr>
      <w:tr>
        <w:trPr>
          <w:trHeight w:val="334"/>
        </w:trPr>
        <w:tc>
          <w:tcPr>
            <w:tcW w:w="374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19,056</w:t>
            </w:r>
          </w:p>
        </w:tc>
        <w:tc>
          <w:tcPr>
            <w:tcW w:w="30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19,056</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207,507</w:t>
            </w:r>
          </w:p>
        </w:tc>
        <w:tc>
          <w:tcPr>
            <w:tcW w:w="300" w:type="dxa"/>
            <w:vAlign w:val="bottom"/>
          </w:tcPr>
          <w:p>
            <w:pPr>
              <w:spacing w:after="0"/>
              <w:rPr>
                <w:sz w:val="24"/>
                <w:szCs w:val="24"/>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4,381</w:t>
            </w:r>
          </w:p>
        </w:tc>
        <w:tc>
          <w:tcPr>
            <w:tcW w:w="140" w:type="dxa"/>
            <w:vAlign w:val="bottom"/>
          </w:tcPr>
          <w:p>
            <w:pPr>
              <w:spacing w:after="0"/>
              <w:rPr>
                <w:sz w:val="24"/>
                <w:szCs w:val="24"/>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211,888</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2,835</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2,835</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223</w:t>
            </w:r>
          </w:p>
        </w:tc>
        <w:tc>
          <w:tcPr>
            <w:tcW w:w="140" w:type="dxa"/>
            <w:vAlign w:val="bottom"/>
          </w:tcPr>
          <w:p>
            <w:pPr>
              <w:spacing w:after="0"/>
              <w:rPr>
                <w:sz w:val="23"/>
                <w:szCs w:val="23"/>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44,688</w:t>
            </w:r>
          </w:p>
        </w:tc>
        <w:tc>
          <w:tcPr>
            <w:tcW w:w="0" w:type="dxa"/>
            <w:vAlign w:val="bottom"/>
          </w:tcPr>
          <w:p>
            <w:pPr>
              <w:spacing w:after="0"/>
              <w:rPr>
                <w:sz w:val="1"/>
                <w:szCs w:val="1"/>
                <w:color w:val="auto"/>
              </w:rPr>
            </w:pPr>
          </w:p>
        </w:tc>
      </w:tr>
      <w:tr>
        <w:trPr>
          <w:trHeight w:val="206"/>
        </w:trPr>
        <w:tc>
          <w:tcPr>
            <w:tcW w:w="374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30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334"/>
        </w:trPr>
        <w:tc>
          <w:tcPr>
            <w:tcW w:w="374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30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21,443</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32,519</w:t>
            </w:r>
          </w:p>
        </w:tc>
        <w:tc>
          <w:tcPr>
            <w:tcW w:w="300" w:type="dxa"/>
            <w:vAlign w:val="bottom"/>
          </w:tcPr>
          <w:p>
            <w:pPr>
              <w:spacing w:after="0"/>
              <w:rPr>
                <w:sz w:val="24"/>
                <w:szCs w:val="24"/>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3,005</w:t>
            </w:r>
          </w:p>
        </w:tc>
        <w:tc>
          <w:tcPr>
            <w:tcW w:w="140" w:type="dxa"/>
            <w:vAlign w:val="bottom"/>
          </w:tcPr>
          <w:p>
            <w:pPr>
              <w:spacing w:after="0"/>
              <w:rPr>
                <w:sz w:val="24"/>
                <w:szCs w:val="24"/>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35,524</w:t>
            </w:r>
          </w:p>
        </w:tc>
        <w:tc>
          <w:tcPr>
            <w:tcW w:w="0" w:type="dxa"/>
            <w:vAlign w:val="bottom"/>
          </w:tcPr>
          <w:p>
            <w:pPr>
              <w:spacing w:after="0"/>
              <w:rPr>
                <w:sz w:val="1"/>
                <w:szCs w:val="1"/>
                <w:color w:val="auto"/>
              </w:rPr>
            </w:pPr>
          </w:p>
        </w:tc>
      </w:tr>
      <w:tr>
        <w:trPr>
          <w:trHeight w:val="206"/>
        </w:trPr>
        <w:tc>
          <w:tcPr>
            <w:tcW w:w="3740" w:type="dxa"/>
            <w:vAlign w:val="bottom"/>
          </w:tcPr>
          <w:p>
            <w:pPr>
              <w:ind w:left="140"/>
              <w:spacing w:after="0"/>
              <w:rPr>
                <w:sz w:val="20"/>
                <w:szCs w:val="20"/>
                <w:color w:val="auto"/>
              </w:rPr>
            </w:pPr>
            <w:r>
              <w:rPr>
                <w:rFonts w:ascii="Arial" w:cs="Arial" w:eastAsia="Arial" w:hAnsi="Arial"/>
                <w:sz w:val="16"/>
                <w:szCs w:val="16"/>
                <w:color w:val="auto"/>
              </w:rPr>
              <w:t>Loss on sale of assets</w:t>
            </w: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30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0" w:type="dxa"/>
            <w:vAlign w:val="bottom"/>
          </w:tcPr>
          <w:p>
            <w:pPr>
              <w:spacing w:after="0"/>
              <w:rPr>
                <w:sz w:val="1"/>
                <w:szCs w:val="1"/>
                <w:color w:val="auto"/>
              </w:rPr>
            </w:pPr>
          </w:p>
        </w:tc>
      </w:tr>
      <w:tr>
        <w:trPr>
          <w:trHeight w:val="334"/>
        </w:trPr>
        <w:tc>
          <w:tcPr>
            <w:tcW w:w="374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4,408</w:t>
            </w:r>
          </w:p>
        </w:tc>
        <w:tc>
          <w:tcPr>
            <w:tcW w:w="30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4,408</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740" w:type="dxa"/>
            <w:vAlign w:val="bottom"/>
          </w:tcPr>
          <w:p>
            <w:pPr>
              <w:ind w:left="140"/>
              <w:spacing w:after="0"/>
              <w:rPr>
                <w:sz w:val="20"/>
                <w:szCs w:val="20"/>
                <w:color w:val="auto"/>
              </w:rPr>
            </w:pPr>
            <w:r>
              <w:rPr>
                <w:rFonts w:ascii="Arial" w:cs="Arial" w:eastAsia="Arial" w:hAnsi="Arial"/>
                <w:sz w:val="16"/>
                <w:szCs w:val="16"/>
                <w:color w:val="auto"/>
              </w:rPr>
              <w:t>Foreign exchange (gain) loss</w:t>
            </w:r>
          </w:p>
        </w:tc>
        <w:tc>
          <w:tcPr>
            <w:tcW w:w="2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(8,311)</w:t>
            </w:r>
          </w:p>
        </w:tc>
        <w:tc>
          <w:tcPr>
            <w:tcW w:w="3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(8,311)</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25,946</w:t>
            </w:r>
          </w:p>
        </w:tc>
        <w:tc>
          <w:tcPr>
            <w:tcW w:w="30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25,946</w:t>
            </w:r>
          </w:p>
        </w:tc>
        <w:tc>
          <w:tcPr>
            <w:tcW w:w="0" w:type="dxa"/>
            <w:vAlign w:val="bottom"/>
          </w:tcPr>
          <w:p>
            <w:pPr>
              <w:spacing w:after="0"/>
              <w:rPr>
                <w:sz w:val="1"/>
                <w:szCs w:val="1"/>
                <w:color w:val="auto"/>
              </w:rPr>
            </w:pPr>
          </w:p>
        </w:tc>
      </w:tr>
      <w:tr>
        <w:trPr>
          <w:trHeight w:val="334"/>
        </w:trPr>
        <w:tc>
          <w:tcPr>
            <w:tcW w:w="3740" w:type="dxa"/>
            <w:vAlign w:val="bottom"/>
          </w:tcPr>
          <w:p>
            <w:pPr>
              <w:ind w:left="140"/>
              <w:spacing w:after="0"/>
              <w:rPr>
                <w:sz w:val="20"/>
                <w:szCs w:val="20"/>
                <w:color w:val="auto"/>
              </w:rPr>
            </w:pPr>
            <w:r>
              <w:rPr>
                <w:rFonts w:ascii="Arial" w:cs="Arial" w:eastAsia="Arial" w:hAnsi="Arial"/>
                <w:sz w:val="16"/>
                <w:szCs w:val="16"/>
                <w:color w:val="auto"/>
              </w:rPr>
              <w:t>Loss on sale of international business</w:t>
            </w:r>
            <w:r>
              <w:rPr>
                <w:rFonts w:ascii="Arial" w:cs="Arial" w:eastAsia="Arial" w:hAnsi="Arial"/>
                <w:sz w:val="21"/>
                <w:szCs w:val="21"/>
                <w:color w:val="auto"/>
                <w:vertAlign w:val="superscript"/>
              </w:rPr>
              <w:t>(13)</w:t>
            </w: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1,888</w:t>
            </w:r>
          </w:p>
        </w:tc>
        <w:tc>
          <w:tcPr>
            <w:tcW w:w="30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1,888</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740" w:type="dxa"/>
            <w:vAlign w:val="bottom"/>
          </w:tcPr>
          <w:p>
            <w:pPr>
              <w:ind w:left="140"/>
              <w:spacing w:after="0"/>
              <w:rPr>
                <w:sz w:val="20"/>
                <w:szCs w:val="20"/>
                <w:color w:val="auto"/>
              </w:rPr>
            </w:pPr>
            <w:r>
              <w:rPr>
                <w:rFonts w:ascii="Arial" w:cs="Arial" w:eastAsia="Arial" w:hAnsi="Arial"/>
                <w:sz w:val="16"/>
                <w:szCs w:val="16"/>
                <w:color w:val="auto"/>
              </w:rPr>
              <w:t>R&amp;D milestone payments</w:t>
            </w: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5,614</w:t>
            </w:r>
          </w:p>
        </w:tc>
        <w:tc>
          <w:tcPr>
            <w:tcW w:w="30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5,614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1,424</w:t>
            </w:r>
          </w:p>
        </w:tc>
        <w:tc>
          <w:tcPr>
            <w:tcW w:w="300" w:type="dxa"/>
            <w:vAlign w:val="bottom"/>
          </w:tcPr>
          <w:p>
            <w:pPr>
              <w:spacing w:after="0"/>
              <w:rPr>
                <w:sz w:val="17"/>
                <w:szCs w:val="17"/>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1,424</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Other</w:t>
            </w: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491</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491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1,225</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1,300</w:t>
            </w:r>
          </w:p>
        </w:tc>
        <w:tc>
          <w:tcPr>
            <w:tcW w:w="140" w:type="dxa"/>
            <w:vAlign w:val="bottom"/>
          </w:tcPr>
          <w:p>
            <w:pPr>
              <w:spacing w:after="0"/>
              <w:rPr>
                <w:sz w:val="23"/>
                <w:szCs w:val="23"/>
                <w:color w:val="auto"/>
              </w:rPr>
            </w:pP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2,525</w:t>
            </w:r>
          </w:p>
        </w:tc>
        <w:tc>
          <w:tcPr>
            <w:tcW w:w="0" w:type="dxa"/>
            <w:vAlign w:val="bottom"/>
          </w:tcPr>
          <w:p>
            <w:pPr>
              <w:spacing w:after="0"/>
              <w:rPr>
                <w:sz w:val="1"/>
                <w:szCs w:val="1"/>
                <w:color w:val="auto"/>
              </w:rPr>
            </w:pPr>
          </w:p>
        </w:tc>
      </w:tr>
      <w:tr>
        <w:trPr>
          <w:trHeight w:val="270"/>
        </w:trPr>
        <w:tc>
          <w:tcPr>
            <w:tcW w:w="3740" w:type="dxa"/>
            <w:vAlign w:val="bottom"/>
          </w:tcPr>
          <w:p>
            <w:pPr>
              <w:ind w:left="140"/>
              <w:spacing w:after="0"/>
              <w:rPr>
                <w:sz w:val="20"/>
                <w:szCs w:val="20"/>
                <w:color w:val="auto"/>
              </w:rPr>
            </w:pPr>
            <w:r>
              <w:rPr>
                <w:rFonts w:ascii="Arial" w:cs="Arial" w:eastAsia="Arial" w:hAnsi="Arial"/>
                <w:sz w:val="16"/>
                <w:szCs w:val="16"/>
                <w:color w:val="auto"/>
              </w:rPr>
              <w:t>Income tax at 21%</w:t>
            </w:r>
          </w:p>
        </w:tc>
        <w:tc>
          <w:tcPr>
            <w:tcW w:w="26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(7,104)</w:t>
            </w:r>
          </w:p>
        </w:tc>
        <w:tc>
          <w:tcPr>
            <w:tcW w:w="30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(7,104)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(19,943)</w:t>
            </w:r>
          </w:p>
        </w:tc>
        <w:tc>
          <w:tcPr>
            <w:tcW w:w="300" w:type="dxa"/>
            <w:vAlign w:val="bottom"/>
          </w:tcPr>
          <w:p>
            <w:pPr>
              <w:spacing w:after="0"/>
              <w:rPr>
                <w:sz w:val="23"/>
                <w:szCs w:val="23"/>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1,064</w:t>
            </w:r>
          </w:p>
        </w:tc>
        <w:tc>
          <w:tcPr>
            <w:tcW w:w="140" w:type="dxa"/>
            <w:vAlign w:val="bottom"/>
          </w:tcPr>
          <w:p>
            <w:pPr>
              <w:spacing w:after="0"/>
              <w:rPr>
                <w:sz w:val="23"/>
                <w:szCs w:val="23"/>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(18,879)</w:t>
            </w:r>
          </w:p>
        </w:tc>
        <w:tc>
          <w:tcPr>
            <w:tcW w:w="0" w:type="dxa"/>
            <w:vAlign w:val="bottom"/>
          </w:tcPr>
          <w:p>
            <w:pPr>
              <w:spacing w:after="0"/>
              <w:rPr>
                <w:sz w:val="1"/>
                <w:szCs w:val="1"/>
                <w:color w:val="auto"/>
              </w:rPr>
            </w:pPr>
          </w:p>
        </w:tc>
      </w:tr>
      <w:tr>
        <w:trPr>
          <w:trHeight w:val="253"/>
        </w:trPr>
        <w:tc>
          <w:tcPr>
            <w:tcW w:w="3740" w:type="dxa"/>
            <w:vAlign w:val="bottom"/>
          </w:tcPr>
          <w:p>
            <w:pPr>
              <w:ind w:left="140"/>
              <w:spacing w:after="0"/>
              <w:rPr>
                <w:sz w:val="20"/>
                <w:szCs w:val="20"/>
                <w:color w:val="auto"/>
              </w:rPr>
            </w:pPr>
            <w:r>
              <w:rPr>
                <w:rFonts w:ascii="Arial" w:cs="Arial" w:eastAsia="Arial" w:hAnsi="Arial"/>
                <w:sz w:val="16"/>
                <w:szCs w:val="16"/>
                <w:color w:val="auto"/>
                <w:w w:val="93"/>
              </w:rPr>
              <w:t>Net income attributable to NCI not associated with our</w:t>
            </w: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740" w:type="dxa"/>
            <w:vAlign w:val="bottom"/>
          </w:tcPr>
          <w:p>
            <w:pPr>
              <w:ind w:left="140"/>
              <w:spacing w:after="0"/>
              <w:rPr>
                <w:sz w:val="20"/>
                <w:szCs w:val="20"/>
                <w:color w:val="auto"/>
              </w:rPr>
            </w:pPr>
            <w:r>
              <w:rPr>
                <w:rFonts w:ascii="Arial" w:cs="Arial" w:eastAsia="Arial" w:hAnsi="Arial"/>
                <w:sz w:val="16"/>
                <w:szCs w:val="16"/>
                <w:color w:val="auto"/>
              </w:rPr>
              <w:t>Class B shares</w:t>
            </w:r>
          </w:p>
        </w:tc>
        <w:tc>
          <w:tcPr>
            <w:tcW w:w="260" w:type="dxa"/>
            <w:vAlign w:val="bottom"/>
          </w:tcPr>
          <w:p>
            <w:pPr>
              <w:spacing w:after="0"/>
              <w:rPr>
                <w:sz w:val="17"/>
                <w:szCs w:val="17"/>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(61)</w:t>
            </w:r>
          </w:p>
        </w:tc>
        <w:tc>
          <w:tcPr>
            <w:tcW w:w="300" w:type="dxa"/>
            <w:vAlign w:val="bottom"/>
          </w:tcPr>
          <w:p>
            <w:pPr>
              <w:spacing w:after="0"/>
              <w:rPr>
                <w:sz w:val="17"/>
                <w:szCs w:val="17"/>
                <w:color w:val="auto"/>
              </w:rPr>
            </w:pPr>
          </w:p>
        </w:tc>
        <w:tc>
          <w:tcPr>
            <w:tcW w:w="980" w:type="dxa"/>
            <w:vAlign w:val="bottom"/>
            <w:vMerge w:val="restart"/>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(61)</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(27)</w:t>
            </w:r>
          </w:p>
        </w:tc>
        <w:tc>
          <w:tcPr>
            <w:tcW w:w="300" w:type="dxa"/>
            <w:vAlign w:val="bottom"/>
          </w:tcPr>
          <w:p>
            <w:pPr>
              <w:spacing w:after="0"/>
              <w:rPr>
                <w:sz w:val="17"/>
                <w:szCs w:val="17"/>
                <w:color w:val="auto"/>
              </w:rPr>
            </w:pPr>
          </w:p>
        </w:tc>
        <w:tc>
          <w:tcPr>
            <w:tcW w:w="960" w:type="dxa"/>
            <w:vAlign w:val="bottom"/>
            <w:vMerge w:val="restart"/>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122"/>
        </w:trPr>
        <w:tc>
          <w:tcPr>
            <w:tcW w:w="374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96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37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740" w:type="dxa"/>
            <w:vAlign w:val="bottom"/>
          </w:tcPr>
          <w:p>
            <w:pPr>
              <w:spacing w:after="0"/>
              <w:rPr>
                <w:sz w:val="20"/>
                <w:szCs w:val="20"/>
                <w:color w:val="auto"/>
              </w:rPr>
            </w:pPr>
            <w:r>
              <w:rPr>
                <w:rFonts w:ascii="Arial" w:cs="Arial" w:eastAsia="Arial" w:hAnsi="Arial"/>
                <w:sz w:val="16"/>
                <w:szCs w:val="16"/>
                <w:b w:val="1"/>
                <w:bCs w:val="1"/>
                <w:color w:val="auto"/>
              </w:rPr>
              <w:t>Adjusted net income (Non-GAAP)</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26,669</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26,669</w:t>
            </w:r>
          </w:p>
        </w:tc>
        <w:tc>
          <w:tcPr>
            <w:tcW w:w="3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73,900</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(4,005)</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Pr>
          <w:p>
            <w:pPr>
              <w:jc w:val="right"/>
              <w:ind w:right="19"/>
              <w:spacing w:after="0"/>
              <w:rPr>
                <w:sz w:val="20"/>
                <w:szCs w:val="20"/>
                <w:color w:val="auto"/>
              </w:rPr>
            </w:pPr>
            <w:r>
              <w:rPr>
                <w:rFonts w:ascii="Arial" w:cs="Arial" w:eastAsia="Arial" w:hAnsi="Arial"/>
                <w:sz w:val="16"/>
                <w:szCs w:val="16"/>
                <w:color w:val="auto"/>
              </w:rPr>
              <w:t>69,895</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27"/>
        </w:trPr>
        <w:tc>
          <w:tcPr>
            <w:tcW w:w="3740" w:type="dxa"/>
            <w:vAlign w:val="bottom"/>
          </w:tcPr>
          <w:p>
            <w:pPr>
              <w:spacing w:after="0"/>
              <w:rPr>
                <w:sz w:val="20"/>
                <w:szCs w:val="20"/>
                <w:color w:val="auto"/>
              </w:rPr>
            </w:pPr>
            <w:r>
              <w:rPr>
                <w:rFonts w:ascii="Arial" w:cs="Arial" w:eastAsia="Arial" w:hAnsi="Arial"/>
                <w:sz w:val="16"/>
                <w:szCs w:val="16"/>
                <w:b w:val="1"/>
                <w:bCs w:val="1"/>
                <w:color w:val="auto"/>
              </w:rPr>
              <w:t>Adjusted diluted EPS (Non-GAAP)</w:t>
            </w:r>
            <w:r>
              <w:rPr>
                <w:rFonts w:ascii="Arial" w:cs="Arial" w:eastAsia="Arial" w:hAnsi="Arial"/>
                <w:sz w:val="21"/>
                <w:szCs w:val="21"/>
                <w:b w:val="1"/>
                <w:bCs w:val="1"/>
                <w:color w:val="auto"/>
                <w:vertAlign w:val="superscript"/>
              </w:rPr>
              <w:t>(14)</w:t>
            </w: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0.09</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0.23</w:t>
            </w:r>
          </w:p>
        </w:tc>
        <w:tc>
          <w:tcPr>
            <w:tcW w:w="0" w:type="dxa"/>
            <w:vAlign w:val="bottom"/>
          </w:tcPr>
          <w:p>
            <w:pPr>
              <w:spacing w:after="0"/>
              <w:rPr>
                <w:sz w:val="1"/>
                <w:szCs w:val="1"/>
                <w:color w:val="auto"/>
              </w:rPr>
            </w:pPr>
          </w:p>
        </w:tc>
      </w:tr>
      <w:tr>
        <w:trPr>
          <w:trHeight w:val="20"/>
        </w:trPr>
        <w:tc>
          <w:tcPr>
            <w:tcW w:w="3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jc w:val="both"/>
        <w:ind w:firstLine="8"/>
        <w:spacing w:after="0" w:line="276" w:lineRule="auto"/>
        <w:tabs>
          <w:tab w:leader="none" w:pos="232" w:val="left"/>
        </w:tabs>
        <w:numPr>
          <w:ilvl w:val="0"/>
          <w:numId w:val="12"/>
        </w:numPr>
        <w:rPr>
          <w:rFonts w:ascii="Arial" w:cs="Arial" w:eastAsia="Arial" w:hAnsi="Arial"/>
          <w:sz w:val="18"/>
          <w:szCs w:val="18"/>
          <w:color w:val="auto"/>
          <w:vertAlign w:val="superscript"/>
        </w:rPr>
      </w:pPr>
      <w:r>
        <w:rPr>
          <w:rFonts w:ascii="Arial" w:cs="Arial" w:eastAsia="Arial" w:hAnsi="Arial"/>
          <w:sz w:val="14"/>
          <w:szCs w:val="14"/>
          <w:color w:val="auto"/>
        </w:rPr>
        <w:t>Under the if-converted method, for the three months ended June 30, 2019, utilizes weighted average diluted shares outstanding of 299,139, which consists of Class A &amp; Class B shares. Under the if-converted method, for the three months ended June 30, 2018, utilizes weighted average diluted shares outstanding of 299,029, which consists of Class A, Class B &amp; Class B-1 shares.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19 of 23</w:t>
      </w:r>
    </w:p>
    <w:p>
      <w:pPr>
        <w:sectPr>
          <w:pgSz w:w="11900" w:h="16838" w:orient="portrait"/>
          <w:cols w:equalWidth="0" w:num="1">
            <w:col w:w="11420"/>
          </w:cols>
          <w:pgMar w:left="240" w:top="580"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 except per share amounts)</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Net Loss to Combined Adjusted Net Income and Calculation of Adjusted Diluted EPS</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3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540" w:type="dxa"/>
            <w:vAlign w:val="bottom"/>
            <w:gridSpan w:val="5"/>
          </w:tcPr>
          <w:p>
            <w:pPr>
              <w:jc w:val="right"/>
              <w:ind w:right="719"/>
              <w:spacing w:after="0"/>
              <w:rPr>
                <w:sz w:val="20"/>
                <w:szCs w:val="20"/>
                <w:color w:val="auto"/>
              </w:rPr>
            </w:pPr>
            <w:r>
              <w:rPr>
                <w:rFonts w:ascii="Arial" w:cs="Arial" w:eastAsia="Arial" w:hAnsi="Arial"/>
                <w:sz w:val="16"/>
                <w:szCs w:val="16"/>
                <w:b w:val="1"/>
                <w:bCs w:val="1"/>
                <w:color w:val="auto"/>
              </w:rPr>
              <w:t>Six months ended June 30, 2019</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520" w:type="dxa"/>
            <w:vAlign w:val="bottom"/>
            <w:gridSpan w:val="5"/>
          </w:tcPr>
          <w:p>
            <w:pPr>
              <w:jc w:val="center"/>
              <w:ind w:right="15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36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b w:val="1"/>
                <w:bCs w:val="1"/>
                <w:color w:val="auto"/>
                <w:w w:val="98"/>
              </w:rPr>
              <w:t>(Non-GAAP)</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20" w:type="dxa"/>
            <w:vAlign w:val="bottom"/>
          </w:tcPr>
          <w:p>
            <w:pPr>
              <w:jc w:val="right"/>
              <w:ind w:right="99"/>
              <w:spacing w:after="0"/>
              <w:rPr>
                <w:sz w:val="20"/>
                <w:szCs w:val="20"/>
                <w:color w:val="auto"/>
              </w:rPr>
            </w:pPr>
            <w:r>
              <w:rPr>
                <w:rFonts w:ascii="Arial" w:cs="Arial" w:eastAsia="Arial" w:hAnsi="Arial"/>
                <w:sz w:val="16"/>
                <w:szCs w:val="16"/>
                <w:b w:val="1"/>
                <w:bCs w:val="1"/>
                <w:color w:val="auto"/>
                <w:w w:val="98"/>
              </w:rPr>
              <w:t>(Non-GAAP)</w:t>
            </w:r>
          </w:p>
        </w:tc>
        <w:tc>
          <w:tcPr>
            <w:tcW w:w="0" w:type="dxa"/>
            <w:vAlign w:val="bottom"/>
          </w:tcPr>
          <w:p>
            <w:pPr>
              <w:spacing w:after="0"/>
              <w:rPr>
                <w:sz w:val="1"/>
                <w:szCs w:val="1"/>
                <w:color w:val="auto"/>
              </w:rPr>
            </w:pPr>
          </w:p>
        </w:tc>
      </w:tr>
      <w:tr>
        <w:trPr>
          <w:trHeight w:val="243"/>
        </w:trPr>
        <w:tc>
          <w:tcPr>
            <w:tcW w:w="3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jc w:val="right"/>
              <w:ind w:right="379"/>
              <w:spacing w:after="0"/>
              <w:rPr>
                <w:sz w:val="20"/>
                <w:szCs w:val="20"/>
                <w:color w:val="auto"/>
              </w:rPr>
            </w:pPr>
            <w:r>
              <w:rPr>
                <w:rFonts w:ascii="Arial" w:cs="Arial" w:eastAsia="Arial" w:hAnsi="Arial"/>
                <w:sz w:val="16"/>
                <w:szCs w:val="16"/>
                <w:b w:val="1"/>
                <w:bCs w:val="1"/>
                <w:color w:val="auto"/>
              </w:rPr>
              <w:t>Add:</w:t>
            </w: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center"/>
              <w:ind w:right="199"/>
              <w:spacing w:after="0"/>
              <w:rPr>
                <w:sz w:val="20"/>
                <w:szCs w:val="20"/>
                <w:color w:val="auto"/>
              </w:rPr>
            </w:pPr>
            <w:r>
              <w:rPr>
                <w:rFonts w:ascii="Arial" w:cs="Arial" w:eastAsia="Arial" w:hAnsi="Arial"/>
                <w:sz w:val="16"/>
                <w:szCs w:val="16"/>
                <w:b w:val="1"/>
                <w:bCs w:val="1"/>
                <w:color w:val="auto"/>
                <w:w w:val="93"/>
              </w:rPr>
              <w:t>Add:</w:t>
            </w: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3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80" w:type="dxa"/>
            <w:vAlign w:val="bottom"/>
            <w:gridSpan w:val="2"/>
          </w:tcPr>
          <w:p>
            <w:pPr>
              <w:jc w:val="right"/>
              <w:ind w:right="19"/>
              <w:spacing w:after="0"/>
              <w:rPr>
                <w:sz w:val="20"/>
                <w:szCs w:val="20"/>
                <w:color w:val="auto"/>
              </w:rPr>
            </w:pPr>
            <w:r>
              <w:rPr>
                <w:rFonts w:ascii="Arial" w:cs="Arial" w:eastAsia="Arial" w:hAnsi="Arial"/>
                <w:sz w:val="16"/>
                <w:szCs w:val="16"/>
                <w:b w:val="1"/>
                <w:bCs w:val="1"/>
                <w:color w:val="auto"/>
              </w:rPr>
              <w:t>Impax/ Gemini</w:t>
            </w:r>
          </w:p>
        </w:tc>
        <w:tc>
          <w:tcPr>
            <w:tcW w:w="160" w:type="dxa"/>
            <w:vAlign w:val="bottom"/>
          </w:tcPr>
          <w:p>
            <w:pPr>
              <w:spacing w:after="0"/>
              <w:rPr>
                <w:sz w:val="23"/>
                <w:szCs w:val="23"/>
                <w:color w:val="auto"/>
              </w:rPr>
            </w:pPr>
          </w:p>
        </w:tc>
        <w:tc>
          <w:tcPr>
            <w:tcW w:w="1120" w:type="dxa"/>
            <w:vAlign w:val="bottom"/>
          </w:tcPr>
          <w:p>
            <w:pPr>
              <w:jc w:val="right"/>
              <w:ind w:right="199"/>
              <w:spacing w:after="0"/>
              <w:rPr>
                <w:sz w:val="20"/>
                <w:szCs w:val="20"/>
                <w:color w:val="auto"/>
              </w:rPr>
            </w:pPr>
            <w:r>
              <w:rPr>
                <w:rFonts w:ascii="Arial" w:cs="Arial" w:eastAsia="Arial" w:hAnsi="Arial"/>
                <w:sz w:val="16"/>
                <w:szCs w:val="16"/>
                <w:b w:val="1"/>
                <w:bCs w:val="1"/>
                <w:color w:val="auto"/>
              </w:rPr>
              <w:t>Combined</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319"/>
              <w:spacing w:after="0"/>
              <w:rPr>
                <w:sz w:val="20"/>
                <w:szCs w:val="20"/>
                <w:color w:val="auto"/>
              </w:rPr>
            </w:pPr>
            <w:r>
              <w:rPr>
                <w:rFonts w:ascii="Arial" w:cs="Arial" w:eastAsia="Arial" w:hAnsi="Arial"/>
                <w:sz w:val="16"/>
                <w:szCs w:val="16"/>
                <w:b w:val="1"/>
                <w:bCs w:val="1"/>
                <w:color w:val="auto"/>
              </w:rPr>
              <w:t>Actual</w:t>
            </w:r>
          </w:p>
        </w:tc>
        <w:tc>
          <w:tcPr>
            <w:tcW w:w="1260" w:type="dxa"/>
            <w:vAlign w:val="bottom"/>
            <w:gridSpan w:val="2"/>
          </w:tcPr>
          <w:p>
            <w:pPr>
              <w:jc w:val="center"/>
              <w:spacing w:after="0"/>
              <w:rPr>
                <w:sz w:val="20"/>
                <w:szCs w:val="20"/>
                <w:color w:val="auto"/>
              </w:rPr>
            </w:pPr>
            <w:r>
              <w:rPr>
                <w:rFonts w:ascii="Arial" w:cs="Arial" w:eastAsia="Arial" w:hAnsi="Arial"/>
                <w:sz w:val="16"/>
                <w:szCs w:val="16"/>
                <w:b w:val="1"/>
                <w:bCs w:val="1"/>
                <w:color w:val="auto"/>
                <w:w w:val="96"/>
              </w:rPr>
              <w:t>Impax/ Gemini</w:t>
            </w:r>
          </w:p>
        </w:tc>
        <w:tc>
          <w:tcPr>
            <w:tcW w:w="140" w:type="dxa"/>
            <w:vAlign w:val="bottom"/>
          </w:tcPr>
          <w:p>
            <w:pPr>
              <w:spacing w:after="0"/>
              <w:rPr>
                <w:sz w:val="23"/>
                <w:szCs w:val="23"/>
                <w:color w:val="auto"/>
              </w:rPr>
            </w:pPr>
          </w:p>
        </w:tc>
        <w:tc>
          <w:tcPr>
            <w:tcW w:w="1120" w:type="dxa"/>
            <w:vAlign w:val="bottom"/>
          </w:tcPr>
          <w:p>
            <w:pPr>
              <w:jc w:val="right"/>
              <w:ind w:right="19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68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680" w:type="dxa"/>
            <w:vAlign w:val="bottom"/>
            <w:vMerge w:val="continue"/>
          </w:tcPr>
          <w:p>
            <w:pPr>
              <w:spacing w:after="0"/>
              <w:rPr>
                <w:sz w:val="18"/>
                <w:szCs w:val="18"/>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(175,278)</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(175,278)</w:t>
            </w:r>
          </w:p>
        </w:tc>
        <w:tc>
          <w:tcPr>
            <w:tcW w:w="3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(198,438)</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(150,155)</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(348,593)</w:t>
            </w:r>
          </w:p>
        </w:tc>
        <w:tc>
          <w:tcPr>
            <w:tcW w:w="0" w:type="dxa"/>
            <w:vAlign w:val="bottom"/>
          </w:tcPr>
          <w:p>
            <w:pPr>
              <w:spacing w:after="0"/>
              <w:rPr>
                <w:sz w:val="1"/>
                <w:szCs w:val="1"/>
                <w:color w:val="auto"/>
              </w:rPr>
            </w:pPr>
          </w:p>
        </w:tc>
      </w:tr>
      <w:tr>
        <w:trPr>
          <w:trHeight w:val="270"/>
        </w:trPr>
        <w:tc>
          <w:tcPr>
            <w:tcW w:w="3680" w:type="dxa"/>
            <w:vAlign w:val="bottom"/>
          </w:tcPr>
          <w:p>
            <w:pPr>
              <w:spacing w:after="0"/>
              <w:rPr>
                <w:sz w:val="20"/>
                <w:szCs w:val="20"/>
                <w:color w:val="auto"/>
              </w:rPr>
            </w:pPr>
            <w:r>
              <w:rPr>
                <w:rFonts w:ascii="Arial" w:cs="Arial" w:eastAsia="Arial" w:hAnsi="Arial"/>
                <w:sz w:val="16"/>
                <w:szCs w:val="16"/>
                <w:color w:val="auto"/>
              </w:rPr>
              <w:t>Adjusted to add (deduct):</w:t>
            </w:r>
          </w:p>
        </w:tc>
        <w:tc>
          <w:tcPr>
            <w:tcW w:w="28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Non-cash interest</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3,218</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3,218</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5,577</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9,413</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14,990</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GAAP Income tax benefit</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(14,129)</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(14,129)</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(12,052)</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(6,273)</w:t>
            </w:r>
          </w:p>
        </w:tc>
        <w:tc>
          <w:tcPr>
            <w:tcW w:w="1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(18,325)</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65,759</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65,759</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18,454</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19,935</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38,389</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10,571</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10,571</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1,644</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4,816</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6,460</w:t>
            </w:r>
          </w:p>
        </w:tc>
        <w:tc>
          <w:tcPr>
            <w:tcW w:w="0" w:type="dxa"/>
            <w:vAlign w:val="bottom"/>
          </w:tcPr>
          <w:p>
            <w:pPr>
              <w:spacing w:after="0"/>
              <w:rPr>
                <w:sz w:val="1"/>
                <w:szCs w:val="1"/>
                <w:color w:val="auto"/>
              </w:rPr>
            </w:pPr>
          </w:p>
        </w:tc>
      </w:tr>
      <w:tr>
        <w:trPr>
          <w:trHeight w:val="334"/>
        </w:trPr>
        <w:tc>
          <w:tcPr>
            <w:tcW w:w="368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47,258</w:t>
            </w:r>
          </w:p>
        </w:tc>
        <w:tc>
          <w:tcPr>
            <w:tcW w:w="30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47,258</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214,642</w:t>
            </w:r>
          </w:p>
        </w:tc>
        <w:tc>
          <w:tcPr>
            <w:tcW w:w="28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10,925</w:t>
            </w:r>
          </w:p>
        </w:tc>
        <w:tc>
          <w:tcPr>
            <w:tcW w:w="140" w:type="dxa"/>
            <w:vAlign w:val="bottom"/>
          </w:tcPr>
          <w:p>
            <w:pPr>
              <w:spacing w:after="0"/>
              <w:rPr>
                <w:sz w:val="24"/>
                <w:szCs w:val="24"/>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225,567</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8,996</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8,996</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5,123</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49,588</w:t>
            </w:r>
          </w:p>
        </w:tc>
        <w:tc>
          <w:tcPr>
            <w:tcW w:w="0" w:type="dxa"/>
            <w:vAlign w:val="bottom"/>
          </w:tcPr>
          <w:p>
            <w:pPr>
              <w:spacing w:after="0"/>
              <w:rPr>
                <w:sz w:val="1"/>
                <w:szCs w:val="1"/>
                <w:color w:val="auto"/>
              </w:rPr>
            </w:pPr>
          </w:p>
        </w:tc>
      </w:tr>
      <w:tr>
        <w:trPr>
          <w:trHeight w:val="206"/>
        </w:trPr>
        <w:tc>
          <w:tcPr>
            <w:tcW w:w="368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28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334"/>
        </w:trPr>
        <w:tc>
          <w:tcPr>
            <w:tcW w:w="368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21,777</w:t>
            </w:r>
          </w:p>
        </w:tc>
        <w:tc>
          <w:tcPr>
            <w:tcW w:w="30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21,777</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32,519</w:t>
            </w:r>
          </w:p>
        </w:tc>
        <w:tc>
          <w:tcPr>
            <w:tcW w:w="28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9,894</w:t>
            </w:r>
          </w:p>
        </w:tc>
        <w:tc>
          <w:tcPr>
            <w:tcW w:w="140" w:type="dxa"/>
            <w:vAlign w:val="bottom"/>
          </w:tcPr>
          <w:p>
            <w:pPr>
              <w:spacing w:after="0"/>
              <w:rPr>
                <w:sz w:val="24"/>
                <w:szCs w:val="24"/>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42,413</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Litigation, settlements and related charges</w:t>
            </w:r>
            <w:r>
              <w:rPr>
                <w:rFonts w:ascii="Arial" w:cs="Arial" w:eastAsia="Arial" w:hAnsi="Arial"/>
                <w:sz w:val="21"/>
                <w:szCs w:val="21"/>
                <w:color w:val="auto"/>
                <w:vertAlign w:val="superscript"/>
              </w:rPr>
              <w:t>(12)</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90,099</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90,099</w:t>
            </w:r>
          </w:p>
        </w:tc>
        <w:tc>
          <w:tcPr>
            <w:tcW w:w="0" w:type="dxa"/>
            <w:vAlign w:val="bottom"/>
          </w:tcPr>
          <w:p>
            <w:pPr>
              <w:spacing w:after="0"/>
              <w:rPr>
                <w:sz w:val="1"/>
                <w:szCs w:val="1"/>
                <w:color w:val="auto"/>
              </w:rPr>
            </w:pPr>
          </w:p>
        </w:tc>
      </w:tr>
      <w:tr>
        <w:trPr>
          <w:trHeight w:val="206"/>
        </w:trPr>
        <w:tc>
          <w:tcPr>
            <w:tcW w:w="3680" w:type="dxa"/>
            <w:vAlign w:val="bottom"/>
          </w:tcPr>
          <w:p>
            <w:pPr>
              <w:ind w:left="140"/>
              <w:spacing w:after="0"/>
              <w:rPr>
                <w:sz w:val="20"/>
                <w:szCs w:val="20"/>
                <w:color w:val="auto"/>
              </w:rPr>
            </w:pPr>
            <w:r>
              <w:rPr>
                <w:rFonts w:ascii="Arial" w:cs="Arial" w:eastAsia="Arial" w:hAnsi="Arial"/>
                <w:sz w:val="16"/>
                <w:szCs w:val="16"/>
                <w:color w:val="auto"/>
              </w:rPr>
              <w:t>Loss on sale of assets</w:t>
            </w: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28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0" w:type="dxa"/>
            <w:vAlign w:val="bottom"/>
          </w:tcPr>
          <w:p>
            <w:pPr>
              <w:spacing w:after="0"/>
              <w:rPr>
                <w:sz w:val="1"/>
                <w:szCs w:val="1"/>
                <w:color w:val="auto"/>
              </w:rPr>
            </w:pPr>
          </w:p>
        </w:tc>
      </w:tr>
      <w:tr>
        <w:trPr>
          <w:trHeight w:val="334"/>
        </w:trPr>
        <w:tc>
          <w:tcPr>
            <w:tcW w:w="368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28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81,008</w:t>
            </w:r>
          </w:p>
        </w:tc>
        <w:tc>
          <w:tcPr>
            <w:tcW w:w="30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81,008</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53</w:t>
            </w:r>
          </w:p>
        </w:tc>
        <w:tc>
          <w:tcPr>
            <w:tcW w:w="140" w:type="dxa"/>
            <w:vAlign w:val="bottom"/>
          </w:tcPr>
          <w:p>
            <w:pPr>
              <w:spacing w:after="0"/>
              <w:rPr>
                <w:sz w:val="24"/>
                <w:szCs w:val="24"/>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53</w:t>
            </w:r>
          </w:p>
        </w:tc>
        <w:tc>
          <w:tcPr>
            <w:tcW w:w="0" w:type="dxa"/>
            <w:vAlign w:val="bottom"/>
          </w:tcPr>
          <w:p>
            <w:pPr>
              <w:spacing w:after="0"/>
              <w:rPr>
                <w:sz w:val="1"/>
                <w:szCs w:val="1"/>
                <w:color w:val="auto"/>
              </w:rPr>
            </w:pPr>
          </w:p>
        </w:tc>
      </w:tr>
      <w:tr>
        <w:trPr>
          <w:trHeight w:val="206"/>
        </w:trPr>
        <w:tc>
          <w:tcPr>
            <w:tcW w:w="3680" w:type="dxa"/>
            <w:vAlign w:val="bottom"/>
          </w:tcPr>
          <w:p>
            <w:pPr>
              <w:ind w:left="140"/>
              <w:spacing w:after="0"/>
              <w:rPr>
                <w:sz w:val="20"/>
                <w:szCs w:val="20"/>
                <w:color w:val="auto"/>
              </w:rPr>
            </w:pPr>
            <w:r>
              <w:rPr>
                <w:rFonts w:ascii="Arial" w:cs="Arial" w:eastAsia="Arial" w:hAnsi="Arial"/>
                <w:sz w:val="16"/>
                <w:szCs w:val="16"/>
                <w:color w:val="auto"/>
              </w:rPr>
              <w:t>Amortization of upfront payment</w:t>
            </w: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36,393</w:t>
            </w:r>
          </w:p>
        </w:tc>
        <w:tc>
          <w:tcPr>
            <w:tcW w:w="30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Foreign exchange (gain) loss</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(2,847)</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(2,847)</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17,381</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(921)</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16,460</w:t>
            </w:r>
          </w:p>
        </w:tc>
        <w:tc>
          <w:tcPr>
            <w:tcW w:w="0" w:type="dxa"/>
            <w:vAlign w:val="bottom"/>
          </w:tcPr>
          <w:p>
            <w:pPr>
              <w:spacing w:after="0"/>
              <w:rPr>
                <w:sz w:val="1"/>
                <w:szCs w:val="1"/>
                <w:color w:val="auto"/>
              </w:rPr>
            </w:pPr>
          </w:p>
        </w:tc>
      </w:tr>
      <w:tr>
        <w:trPr>
          <w:trHeight w:val="334"/>
        </w:trPr>
        <w:tc>
          <w:tcPr>
            <w:tcW w:w="3680" w:type="dxa"/>
            <w:vAlign w:val="bottom"/>
          </w:tcPr>
          <w:p>
            <w:pPr>
              <w:ind w:left="140"/>
              <w:spacing w:after="0"/>
              <w:rPr>
                <w:sz w:val="20"/>
                <w:szCs w:val="20"/>
                <w:color w:val="auto"/>
              </w:rPr>
            </w:pPr>
            <w:r>
              <w:rPr>
                <w:rFonts w:ascii="Arial" w:cs="Arial" w:eastAsia="Arial" w:hAnsi="Arial"/>
                <w:sz w:val="16"/>
                <w:szCs w:val="16"/>
                <w:color w:val="auto"/>
              </w:rPr>
              <w:t xml:space="preserve">Gain on sale of international businesses, net </w:t>
            </w:r>
            <w:r>
              <w:rPr>
                <w:rFonts w:ascii="Arial" w:cs="Arial" w:eastAsia="Arial" w:hAnsi="Arial"/>
                <w:sz w:val="21"/>
                <w:szCs w:val="21"/>
                <w:color w:val="auto"/>
                <w:vertAlign w:val="superscript"/>
              </w:rPr>
              <w:t>(13)</w:t>
            </w:r>
          </w:p>
        </w:tc>
        <w:tc>
          <w:tcPr>
            <w:tcW w:w="280" w:type="dxa"/>
            <w:vAlign w:val="bottom"/>
          </w:tcPr>
          <w:p>
            <w:pPr>
              <w:spacing w:after="0"/>
              <w:rPr>
                <w:sz w:val="24"/>
                <w:szCs w:val="24"/>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(6,930)</w:t>
            </w:r>
          </w:p>
        </w:tc>
        <w:tc>
          <w:tcPr>
            <w:tcW w:w="300" w:type="dxa"/>
            <w:vAlign w:val="bottom"/>
          </w:tcPr>
          <w:p>
            <w:pPr>
              <w:spacing w:after="0"/>
              <w:rPr>
                <w:sz w:val="24"/>
                <w:szCs w:val="24"/>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680" w:type="dxa"/>
            <w:vAlign w:val="bottom"/>
          </w:tcPr>
          <w:p>
            <w:pPr>
              <w:ind w:left="140"/>
              <w:spacing w:after="0"/>
              <w:rPr>
                <w:sz w:val="20"/>
                <w:szCs w:val="20"/>
                <w:color w:val="auto"/>
              </w:rPr>
            </w:pPr>
            <w:r>
              <w:rPr>
                <w:rFonts w:ascii="Arial" w:cs="Arial" w:eastAsia="Arial" w:hAnsi="Arial"/>
                <w:sz w:val="16"/>
                <w:szCs w:val="16"/>
                <w:color w:val="auto"/>
              </w:rPr>
              <w:t>R&amp;D milestone payments</w:t>
            </w:r>
          </w:p>
        </w:tc>
        <w:tc>
          <w:tcPr>
            <w:tcW w:w="28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9,929</w:t>
            </w:r>
          </w:p>
        </w:tc>
        <w:tc>
          <w:tcPr>
            <w:tcW w:w="300" w:type="dxa"/>
            <w:vAlign w:val="bottom"/>
          </w:tcPr>
          <w:p>
            <w:pPr>
              <w:spacing w:after="0"/>
              <w:rPr>
                <w:sz w:val="17"/>
                <w:szCs w:val="17"/>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9,929</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2,700</w:t>
            </w:r>
          </w:p>
        </w:tc>
        <w:tc>
          <w:tcPr>
            <w:tcW w:w="280" w:type="dxa"/>
            <w:vAlign w:val="bottom"/>
          </w:tcPr>
          <w:p>
            <w:pPr>
              <w:spacing w:after="0"/>
              <w:rPr>
                <w:sz w:val="17"/>
                <w:szCs w:val="17"/>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2,700</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Other</w:t>
            </w:r>
          </w:p>
        </w:tc>
        <w:tc>
          <w:tcPr>
            <w:tcW w:w="28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1,583</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1,583</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(820)</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1,953</w:t>
            </w:r>
          </w:p>
        </w:tc>
        <w:tc>
          <w:tcPr>
            <w:tcW w:w="140" w:type="dxa"/>
            <w:vAlign w:val="bottom"/>
          </w:tcPr>
          <w:p>
            <w:pPr>
              <w:spacing w:after="0"/>
              <w:rPr>
                <w:sz w:val="23"/>
                <w:szCs w:val="23"/>
                <w:color w:val="auto"/>
              </w:rPr>
            </w:pP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1,133</w:t>
            </w:r>
          </w:p>
        </w:tc>
        <w:tc>
          <w:tcPr>
            <w:tcW w:w="0" w:type="dxa"/>
            <w:vAlign w:val="bottom"/>
          </w:tcPr>
          <w:p>
            <w:pPr>
              <w:spacing w:after="0"/>
              <w:rPr>
                <w:sz w:val="1"/>
                <w:szCs w:val="1"/>
                <w:color w:val="auto"/>
              </w:rPr>
            </w:pPr>
          </w:p>
        </w:tc>
      </w:tr>
      <w:tr>
        <w:trPr>
          <w:trHeight w:val="270"/>
        </w:trPr>
        <w:tc>
          <w:tcPr>
            <w:tcW w:w="3680" w:type="dxa"/>
            <w:vAlign w:val="bottom"/>
          </w:tcPr>
          <w:p>
            <w:pPr>
              <w:ind w:left="140"/>
              <w:spacing w:after="0"/>
              <w:rPr>
                <w:sz w:val="20"/>
                <w:szCs w:val="20"/>
                <w:color w:val="auto"/>
              </w:rPr>
            </w:pPr>
            <w:r>
              <w:rPr>
                <w:rFonts w:ascii="Arial" w:cs="Arial" w:eastAsia="Arial" w:hAnsi="Arial"/>
                <w:sz w:val="16"/>
                <w:szCs w:val="16"/>
                <w:color w:val="auto"/>
              </w:rPr>
              <w:t>Income tax at 21%</w:t>
            </w:r>
          </w:p>
        </w:tc>
        <w:tc>
          <w:tcPr>
            <w:tcW w:w="280" w:type="dxa"/>
            <w:vAlign w:val="bottom"/>
          </w:tcPr>
          <w:p>
            <w:pPr>
              <w:spacing w:after="0"/>
              <w:rPr>
                <w:sz w:val="23"/>
                <w:szCs w:val="23"/>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(18,334)</w:t>
            </w:r>
          </w:p>
        </w:tc>
        <w:tc>
          <w:tcPr>
            <w:tcW w:w="300" w:type="dxa"/>
            <w:vAlign w:val="bottom"/>
          </w:tcPr>
          <w:p>
            <w:pPr>
              <w:spacing w:after="0"/>
              <w:rPr>
                <w:sz w:val="23"/>
                <w:szCs w:val="23"/>
                <w:color w:val="auto"/>
              </w:rPr>
            </w:pP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(18,334)</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(31,020)</w:t>
            </w:r>
          </w:p>
        </w:tc>
        <w:tc>
          <w:tcPr>
            <w:tcW w:w="280" w:type="dxa"/>
            <w:vAlign w:val="bottom"/>
          </w:tcPr>
          <w:p>
            <w:pPr>
              <w:spacing w:after="0"/>
              <w:rPr>
                <w:sz w:val="23"/>
                <w:szCs w:val="23"/>
                <w:color w:val="auto"/>
              </w:rPr>
            </w:pPr>
          </w:p>
        </w:tc>
        <w:tc>
          <w:tcPr>
            <w:tcW w:w="980" w:type="dxa"/>
            <w:vAlign w:val="bottom"/>
          </w:tcPr>
          <w:p>
            <w:pPr>
              <w:jc w:val="right"/>
              <w:ind w:right="39"/>
              <w:spacing w:after="0"/>
              <w:rPr>
                <w:sz w:val="20"/>
                <w:szCs w:val="20"/>
                <w:color w:val="auto"/>
              </w:rPr>
            </w:pPr>
            <w:r>
              <w:rPr>
                <w:rFonts w:ascii="Arial" w:cs="Arial" w:eastAsia="Arial" w:hAnsi="Arial"/>
                <w:sz w:val="16"/>
                <w:szCs w:val="16"/>
                <w:color w:val="auto"/>
              </w:rPr>
              <w:t>1,309</w:t>
            </w:r>
          </w:p>
        </w:tc>
        <w:tc>
          <w:tcPr>
            <w:tcW w:w="140" w:type="dxa"/>
            <w:vAlign w:val="bottom"/>
          </w:tcPr>
          <w:p>
            <w:pPr>
              <w:spacing w:after="0"/>
              <w:rPr>
                <w:sz w:val="23"/>
                <w:szCs w:val="23"/>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(29,711)</w:t>
            </w:r>
          </w:p>
        </w:tc>
        <w:tc>
          <w:tcPr>
            <w:tcW w:w="0" w:type="dxa"/>
            <w:vAlign w:val="bottom"/>
          </w:tcPr>
          <w:p>
            <w:pPr>
              <w:spacing w:after="0"/>
              <w:rPr>
                <w:sz w:val="1"/>
                <w:szCs w:val="1"/>
                <w:color w:val="auto"/>
              </w:rPr>
            </w:pPr>
          </w:p>
        </w:tc>
      </w:tr>
      <w:tr>
        <w:trPr>
          <w:trHeight w:val="253"/>
        </w:trPr>
        <w:tc>
          <w:tcPr>
            <w:tcW w:w="3680" w:type="dxa"/>
            <w:vAlign w:val="bottom"/>
          </w:tcPr>
          <w:p>
            <w:pPr>
              <w:ind w:left="140"/>
              <w:spacing w:after="0"/>
              <w:rPr>
                <w:sz w:val="20"/>
                <w:szCs w:val="20"/>
                <w:color w:val="auto"/>
              </w:rPr>
            </w:pPr>
            <w:r>
              <w:rPr>
                <w:rFonts w:ascii="Arial" w:cs="Arial" w:eastAsia="Arial" w:hAnsi="Arial"/>
                <w:sz w:val="16"/>
                <w:szCs w:val="16"/>
                <w:color w:val="auto"/>
                <w:w w:val="99"/>
              </w:rPr>
              <w:t>Net income attributable to NCI not associated with</w:t>
            </w: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6"/>
        </w:trPr>
        <w:tc>
          <w:tcPr>
            <w:tcW w:w="3680" w:type="dxa"/>
            <w:vAlign w:val="bottom"/>
          </w:tcPr>
          <w:p>
            <w:pPr>
              <w:ind w:left="140"/>
              <w:spacing w:after="0"/>
              <w:rPr>
                <w:sz w:val="20"/>
                <w:szCs w:val="20"/>
                <w:color w:val="auto"/>
              </w:rPr>
            </w:pPr>
            <w:r>
              <w:rPr>
                <w:rFonts w:ascii="Arial" w:cs="Arial" w:eastAsia="Arial" w:hAnsi="Arial"/>
                <w:sz w:val="16"/>
                <w:szCs w:val="16"/>
                <w:color w:val="auto"/>
              </w:rPr>
              <w:t>our Class B shares</w:t>
            </w:r>
          </w:p>
        </w:tc>
        <w:tc>
          <w:tcPr>
            <w:tcW w:w="280" w:type="dxa"/>
            <w:vAlign w:val="bottom"/>
          </w:tcPr>
          <w:p>
            <w:pPr>
              <w:spacing w:after="0"/>
              <w:rPr>
                <w:sz w:val="17"/>
                <w:szCs w:val="17"/>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(140)</w:t>
            </w:r>
          </w:p>
        </w:tc>
        <w:tc>
          <w:tcPr>
            <w:tcW w:w="300" w:type="dxa"/>
            <w:vAlign w:val="bottom"/>
          </w:tcPr>
          <w:p>
            <w:pPr>
              <w:spacing w:after="0"/>
              <w:rPr>
                <w:sz w:val="17"/>
                <w:szCs w:val="17"/>
                <w:color w:val="auto"/>
              </w:rPr>
            </w:pPr>
          </w:p>
        </w:tc>
        <w:tc>
          <w:tcPr>
            <w:tcW w:w="980" w:type="dxa"/>
            <w:vAlign w:val="bottom"/>
            <w:vMerge w:val="restart"/>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20" w:type="dxa"/>
            <w:vAlign w:val="bottom"/>
            <w:vMerge w:val="restart"/>
          </w:tcPr>
          <w:p>
            <w:pPr>
              <w:jc w:val="right"/>
              <w:spacing w:after="0"/>
              <w:rPr>
                <w:sz w:val="20"/>
                <w:szCs w:val="20"/>
                <w:color w:val="auto"/>
              </w:rPr>
            </w:pPr>
            <w:r>
              <w:rPr>
                <w:rFonts w:ascii="Arial" w:cs="Arial" w:eastAsia="Arial" w:hAnsi="Arial"/>
                <w:sz w:val="16"/>
                <w:szCs w:val="16"/>
                <w:color w:val="auto"/>
              </w:rPr>
              <w:t>(140)</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(144)</w:t>
            </w:r>
          </w:p>
        </w:tc>
        <w:tc>
          <w:tcPr>
            <w:tcW w:w="280" w:type="dxa"/>
            <w:vAlign w:val="bottom"/>
          </w:tcPr>
          <w:p>
            <w:pPr>
              <w:spacing w:after="0"/>
              <w:rPr>
                <w:sz w:val="17"/>
                <w:szCs w:val="17"/>
                <w:color w:val="auto"/>
              </w:rPr>
            </w:pPr>
          </w:p>
        </w:tc>
        <w:tc>
          <w:tcPr>
            <w:tcW w:w="980" w:type="dxa"/>
            <w:vAlign w:val="bottom"/>
            <w:vMerge w:val="restart"/>
          </w:tcPr>
          <w:p>
            <w:pPr>
              <w:jc w:val="right"/>
              <w:ind w:right="3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20" w:type="dxa"/>
            <w:vAlign w:val="bottom"/>
            <w:vMerge w:val="restart"/>
          </w:tcPr>
          <w:p>
            <w:pPr>
              <w:jc w:val="right"/>
              <w:spacing w:after="0"/>
              <w:rPr>
                <w:sz w:val="20"/>
                <w:szCs w:val="20"/>
                <w:color w:val="auto"/>
              </w:rPr>
            </w:pPr>
            <w:r>
              <w:rPr>
                <w:rFonts w:ascii="Arial" w:cs="Arial" w:eastAsia="Arial" w:hAnsi="Arial"/>
                <w:sz w:val="16"/>
                <w:szCs w:val="16"/>
                <w:color w:val="auto"/>
              </w:rPr>
              <w:t>(144)</w:t>
            </w:r>
          </w:p>
        </w:tc>
        <w:tc>
          <w:tcPr>
            <w:tcW w:w="0" w:type="dxa"/>
            <w:vAlign w:val="bottom"/>
          </w:tcPr>
          <w:p>
            <w:pPr>
              <w:spacing w:after="0"/>
              <w:rPr>
                <w:sz w:val="1"/>
                <w:szCs w:val="1"/>
                <w:color w:val="auto"/>
              </w:rPr>
            </w:pPr>
          </w:p>
        </w:tc>
      </w:tr>
      <w:tr>
        <w:trPr>
          <w:trHeight w:val="122"/>
        </w:trPr>
        <w:tc>
          <w:tcPr>
            <w:tcW w:w="3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10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36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680" w:type="dxa"/>
            <w:vAlign w:val="bottom"/>
          </w:tcPr>
          <w:p>
            <w:pPr>
              <w:spacing w:after="0"/>
              <w:rPr>
                <w:sz w:val="20"/>
                <w:szCs w:val="20"/>
                <w:color w:val="auto"/>
              </w:rPr>
            </w:pPr>
            <w:r>
              <w:rPr>
                <w:rFonts w:ascii="Arial" w:cs="Arial" w:eastAsia="Arial" w:hAnsi="Arial"/>
                <w:sz w:val="16"/>
                <w:szCs w:val="16"/>
                <w:b w:val="1"/>
                <w:bCs w:val="1"/>
                <w:color w:val="auto"/>
              </w:rPr>
              <w:t>Adjusted net income (Non-GAAP)</w:t>
            </w:r>
          </w:p>
        </w:tc>
        <w:tc>
          <w:tcPr>
            <w:tcW w:w="28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68,834</w:t>
            </w:r>
          </w:p>
        </w:tc>
        <w:tc>
          <w:tcPr>
            <w:tcW w:w="30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9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68,834</w:t>
            </w:r>
          </w:p>
        </w:tc>
        <w:tc>
          <w:tcPr>
            <w:tcW w:w="36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115,453</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(3,829)</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19"/>
              <w:spacing w:after="0"/>
              <w:rPr>
                <w:sz w:val="20"/>
                <w:szCs w:val="20"/>
                <w:color w:val="auto"/>
              </w:rPr>
            </w:pPr>
            <w:r>
              <w:rPr>
                <w:rFonts w:ascii="Arial" w:cs="Arial" w:eastAsia="Arial" w:hAnsi="Arial"/>
                <w:sz w:val="16"/>
                <w:szCs w:val="16"/>
                <w:color w:val="auto"/>
              </w:rPr>
              <w:t>111,624</w:t>
            </w: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1"/>
        </w:trPr>
        <w:tc>
          <w:tcPr>
            <w:tcW w:w="3680" w:type="dxa"/>
            <w:vAlign w:val="bottom"/>
          </w:tcPr>
          <w:p>
            <w:pPr>
              <w:spacing w:after="0"/>
              <w:rPr>
                <w:sz w:val="20"/>
                <w:szCs w:val="20"/>
                <w:color w:val="auto"/>
              </w:rPr>
            </w:pPr>
            <w:r>
              <w:rPr>
                <w:rFonts w:ascii="Arial" w:cs="Arial" w:eastAsia="Arial" w:hAnsi="Arial"/>
                <w:sz w:val="16"/>
                <w:szCs w:val="16"/>
                <w:b w:val="1"/>
                <w:bCs w:val="1"/>
                <w:color w:val="auto"/>
              </w:rPr>
              <w:t>Adjusted diluted EPS (Non-GAAP)</w:t>
            </w:r>
            <w:r>
              <w:rPr>
                <w:rFonts w:ascii="Arial" w:cs="Arial" w:eastAsia="Arial" w:hAnsi="Arial"/>
                <w:sz w:val="21"/>
                <w:szCs w:val="21"/>
                <w:b w:val="1"/>
                <w:bCs w:val="1"/>
                <w:color w:val="auto"/>
                <w:vertAlign w:val="superscript"/>
              </w:rPr>
              <w:t>(15)</w:t>
            </w: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0.23</w:t>
            </w: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0.37</w:t>
            </w:r>
          </w:p>
        </w:tc>
        <w:tc>
          <w:tcPr>
            <w:tcW w:w="0" w:type="dxa"/>
            <w:vAlign w:val="bottom"/>
          </w:tcPr>
          <w:p>
            <w:pPr>
              <w:spacing w:after="0"/>
              <w:rPr>
                <w:sz w:val="1"/>
                <w:szCs w:val="1"/>
                <w:color w:val="auto"/>
              </w:rPr>
            </w:pPr>
          </w:p>
        </w:tc>
      </w:tr>
      <w:tr>
        <w:trPr>
          <w:trHeight w:val="20"/>
        </w:trPr>
        <w:tc>
          <w:tcPr>
            <w:tcW w:w="36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jc w:val="both"/>
        <w:ind w:firstLine="8"/>
        <w:spacing w:after="0" w:line="276" w:lineRule="auto"/>
        <w:tabs>
          <w:tab w:leader="none" w:pos="222" w:val="left"/>
        </w:tabs>
        <w:numPr>
          <w:ilvl w:val="0"/>
          <w:numId w:val="13"/>
        </w:numPr>
        <w:rPr>
          <w:rFonts w:ascii="Arial" w:cs="Arial" w:eastAsia="Arial" w:hAnsi="Arial"/>
          <w:sz w:val="18"/>
          <w:szCs w:val="18"/>
          <w:color w:val="auto"/>
          <w:vertAlign w:val="superscript"/>
        </w:rPr>
      </w:pPr>
      <w:r>
        <w:rPr>
          <w:rFonts w:ascii="Arial" w:cs="Arial" w:eastAsia="Arial" w:hAnsi="Arial"/>
          <w:sz w:val="14"/>
          <w:szCs w:val="14"/>
          <w:color w:val="auto"/>
        </w:rPr>
        <w:t>Under the if-converted method, for the six months ended June 30, 2019, utilizes weighted average diluted shares outstanding of 299,117, which consists of Class A &amp; Class B shares. Under the if-converted method, for the six months ended June 30, 2018, utilizes weighted average diluted shares outstanding of 299,029, which consists of Class A, Class B &amp; Class B-1 shares.</w:t>
      </w: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Page 20 of 23</w:t>
      </w:r>
    </w:p>
    <w:p>
      <w:pPr>
        <w:sectPr>
          <w:pgSz w:w="11900" w:h="16838" w:orient="portrait"/>
          <w:cols w:equalWidth="0" w:num="1">
            <w:col w:w="11420"/>
          </w:cols>
          <w:pgMar w:left="240" w:top="553" w:right="239" w:bottom="1440" w:gutter="0" w:footer="0" w:header="0"/>
        </w:sectPr>
      </w:pPr>
    </w:p>
    <w:bookmarkStart w:id="23" w:name="page24"/>
    <w:bookmarkEnd w:id="23"/>
    <w:p>
      <w:pPr>
        <w:jc w:val="center"/>
        <w:ind w:right="20"/>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ind w:right="20"/>
        <w:spacing w:after="0"/>
        <w:rPr>
          <w:sz w:val="20"/>
          <w:szCs w:val="20"/>
          <w:color w:val="auto"/>
        </w:rPr>
      </w:pPr>
      <w:r>
        <w:rPr>
          <w:rFonts w:ascii="Arial" w:cs="Arial" w:eastAsia="Arial" w:hAnsi="Arial"/>
          <w:sz w:val="14"/>
          <w:szCs w:val="14"/>
          <w:b w:val="1"/>
          <w:bCs w:val="1"/>
          <w:color w:val="auto"/>
        </w:rPr>
        <w:t>(Unaudited, In thousands)</w:t>
      </w:r>
    </w:p>
    <w:p>
      <w:pPr>
        <w:spacing w:after="0" w:line="20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Reconciliation of Net Loss to EBITDA and Combined Adjusted EBITDA</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90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90"/>
              </w:rPr>
              <w:t>Three months ended June 30, 2019</w:t>
            </w:r>
          </w:p>
        </w:tc>
        <w:tc>
          <w:tcPr>
            <w:tcW w:w="300" w:type="dxa"/>
            <w:vAlign w:val="bottom"/>
          </w:tcPr>
          <w:p>
            <w:pPr>
              <w:spacing w:after="0"/>
              <w:rPr>
                <w:sz w:val="18"/>
                <w:szCs w:val="18"/>
                <w:color w:val="auto"/>
              </w:rPr>
            </w:pPr>
          </w:p>
        </w:tc>
        <w:tc>
          <w:tcPr>
            <w:tcW w:w="3820" w:type="dxa"/>
            <w:vAlign w:val="bottom"/>
            <w:gridSpan w:val="5"/>
          </w:tcPr>
          <w:p>
            <w:pPr>
              <w:jc w:val="center"/>
              <w:ind w:right="179"/>
              <w:spacing w:after="0"/>
              <w:rPr>
                <w:sz w:val="20"/>
                <w:szCs w:val="20"/>
                <w:color w:val="auto"/>
              </w:rPr>
            </w:pPr>
            <w:r>
              <w:rPr>
                <w:rFonts w:ascii="Arial" w:cs="Arial" w:eastAsia="Arial" w:hAnsi="Arial"/>
                <w:sz w:val="16"/>
                <w:szCs w:val="16"/>
                <w:b w:val="1"/>
                <w:bCs w:val="1"/>
                <w:color w:val="auto"/>
                <w:w w:val="90"/>
              </w:rPr>
              <w:t>Three months ended June 30, 2018</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18"/>
                <w:szCs w:val="18"/>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vMerge w:val="restart"/>
          </w:tcPr>
          <w:p>
            <w:pPr>
              <w:jc w:val="center"/>
              <w:ind w:right="39"/>
              <w:spacing w:after="0"/>
              <w:rPr>
                <w:sz w:val="20"/>
                <w:szCs w:val="20"/>
                <w:color w:val="auto"/>
              </w:rPr>
            </w:pPr>
            <w:r>
              <w:rPr>
                <w:rFonts w:ascii="Arial" w:cs="Arial" w:eastAsia="Arial" w:hAnsi="Arial"/>
                <w:sz w:val="16"/>
                <w:szCs w:val="16"/>
                <w:b w:val="1"/>
                <w:bCs w:val="1"/>
                <w:color w:val="auto"/>
                <w:w w:val="98"/>
              </w:rPr>
              <w:t>Add:</w:t>
            </w:r>
          </w:p>
        </w:tc>
        <w:tc>
          <w:tcPr>
            <w:tcW w:w="200" w:type="dxa"/>
            <w:vAlign w:val="bottom"/>
          </w:tcPr>
          <w:p>
            <w:pPr>
              <w:spacing w:after="0"/>
              <w:rPr>
                <w:sz w:val="18"/>
                <w:szCs w:val="18"/>
                <w:color w:val="auto"/>
              </w:rPr>
            </w:pPr>
          </w:p>
        </w:tc>
        <w:tc>
          <w:tcPr>
            <w:tcW w:w="120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30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180" w:type="dxa"/>
            <w:vAlign w:val="bottom"/>
          </w:tcPr>
          <w:p>
            <w:pPr>
              <w:jc w:val="center"/>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28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80" w:type="dxa"/>
            <w:vAlign w:val="bottom"/>
          </w:tcPr>
          <w:p>
            <w:pPr>
              <w:jc w:val="right"/>
              <w:ind w:right="379"/>
              <w:spacing w:after="0"/>
              <w:rPr>
                <w:sz w:val="20"/>
                <w:szCs w:val="20"/>
                <w:color w:val="auto"/>
              </w:rPr>
            </w:pPr>
            <w:r>
              <w:rPr>
                <w:rFonts w:ascii="Arial" w:cs="Arial" w:eastAsia="Arial" w:hAnsi="Arial"/>
                <w:sz w:val="16"/>
                <w:szCs w:val="16"/>
                <w:b w:val="1"/>
                <w:bCs w:val="1"/>
                <w:color w:val="auto"/>
              </w:rPr>
              <w:t>Actual</w:t>
            </w:r>
          </w:p>
        </w:tc>
        <w:tc>
          <w:tcPr>
            <w:tcW w:w="140" w:type="dxa"/>
            <w:vAlign w:val="bottom"/>
          </w:tcPr>
          <w:p>
            <w:pPr>
              <w:spacing w:after="0"/>
              <w:rPr>
                <w:sz w:val="23"/>
                <w:szCs w:val="23"/>
                <w:color w:val="auto"/>
              </w:rPr>
            </w:pPr>
          </w:p>
        </w:tc>
        <w:tc>
          <w:tcPr>
            <w:tcW w:w="1200" w:type="dxa"/>
            <w:vAlign w:val="bottom"/>
          </w:tcPr>
          <w:p>
            <w:pPr>
              <w:jc w:val="center"/>
              <w:ind w:right="39"/>
              <w:spacing w:after="0"/>
              <w:rPr>
                <w:sz w:val="20"/>
                <w:szCs w:val="20"/>
                <w:color w:val="auto"/>
              </w:rPr>
            </w:pPr>
            <w:r>
              <w:rPr>
                <w:rFonts w:ascii="Arial" w:cs="Arial" w:eastAsia="Arial" w:hAnsi="Arial"/>
                <w:sz w:val="16"/>
                <w:szCs w:val="16"/>
                <w:b w:val="1"/>
                <w:bCs w:val="1"/>
                <w:color w:val="auto"/>
                <w:w w:val="95"/>
              </w:rPr>
              <w:t>Impax/ Gemini</w:t>
            </w:r>
          </w:p>
        </w:tc>
        <w:tc>
          <w:tcPr>
            <w:tcW w:w="200" w:type="dxa"/>
            <w:vAlign w:val="bottom"/>
          </w:tcPr>
          <w:p>
            <w:pPr>
              <w:spacing w:after="0"/>
              <w:rPr>
                <w:sz w:val="23"/>
                <w:szCs w:val="23"/>
                <w:color w:val="auto"/>
              </w:rPr>
            </w:pPr>
          </w:p>
        </w:tc>
        <w:tc>
          <w:tcPr>
            <w:tcW w:w="120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(50,526)</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(50,526)</w:t>
            </w:r>
          </w:p>
        </w:tc>
        <w:tc>
          <w:tcPr>
            <w:tcW w:w="100" w:type="dxa"/>
            <w:vAlign w:val="bottom"/>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(250,090)</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(23,006)</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(273,096)</w:t>
            </w:r>
          </w:p>
        </w:tc>
        <w:tc>
          <w:tcPr>
            <w:tcW w:w="0" w:type="dxa"/>
            <w:vAlign w:val="bottom"/>
          </w:tcPr>
          <w:p>
            <w:pPr>
              <w:spacing w:after="0"/>
              <w:rPr>
                <w:sz w:val="1"/>
                <w:szCs w:val="1"/>
                <w:color w:val="auto"/>
              </w:rPr>
            </w:pPr>
          </w:p>
        </w:tc>
      </w:tr>
      <w:tr>
        <w:trPr>
          <w:trHeight w:val="270"/>
        </w:trPr>
        <w:tc>
          <w:tcPr>
            <w:tcW w:w="3040" w:type="dxa"/>
            <w:vAlign w:val="bottom"/>
          </w:tcPr>
          <w:p>
            <w:pPr>
              <w:spacing w:after="0"/>
              <w:rPr>
                <w:sz w:val="20"/>
                <w:szCs w:val="20"/>
                <w:color w:val="auto"/>
              </w:rPr>
            </w:pPr>
            <w:r>
              <w:rPr>
                <w:rFonts w:ascii="Arial" w:cs="Arial" w:eastAsia="Arial" w:hAnsi="Arial"/>
                <w:sz w:val="16"/>
                <w:szCs w:val="16"/>
                <w:color w:val="auto"/>
              </w:rPr>
              <w:t>Adjusted to add (deduct):</w:t>
            </w:r>
          </w:p>
        </w:tc>
        <w:tc>
          <w:tcPr>
            <w:tcW w:w="30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Interest expense, net</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43,886</w:t>
            </w:r>
          </w:p>
        </w:tc>
        <w:tc>
          <w:tcPr>
            <w:tcW w:w="14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43,886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36,622</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4,539</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41,161</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Income tax (benefit) expense</w:t>
            </w: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(5,701)</w:t>
            </w:r>
          </w:p>
        </w:tc>
        <w:tc>
          <w:tcPr>
            <w:tcW w:w="14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(5,701)</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(12,416)</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1,017</w:t>
            </w:r>
          </w:p>
        </w:tc>
        <w:tc>
          <w:tcPr>
            <w:tcW w:w="20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(11,399)</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Depreciation and amortization</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50,706</w:t>
            </w:r>
          </w:p>
        </w:tc>
        <w:tc>
          <w:tcPr>
            <w:tcW w:w="14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50,706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32,147</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6,925</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39,072</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b w:val="1"/>
                <w:bCs w:val="1"/>
                <w:color w:val="auto"/>
              </w:rPr>
              <w:t>EBITDA (Non-GAAP)</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3040" w:type="dxa"/>
            <w:vAlign w:val="bottom"/>
            <w:vMerge w:val="continue"/>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38,365</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38,365</w:t>
            </w:r>
          </w:p>
        </w:tc>
        <w:tc>
          <w:tcPr>
            <w:tcW w:w="100" w:type="dxa"/>
            <w:vAlign w:val="bottom"/>
          </w:tcPr>
          <w:p>
            <w:pPr>
              <w:spacing w:after="0"/>
              <w:rPr>
                <w:sz w:val="18"/>
                <w:szCs w:val="18"/>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(193,737)</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(10,525)</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(204,262)</w:t>
            </w:r>
          </w:p>
        </w:tc>
        <w:tc>
          <w:tcPr>
            <w:tcW w:w="0" w:type="dxa"/>
            <w:vAlign w:val="bottom"/>
          </w:tcPr>
          <w:p>
            <w:pPr>
              <w:spacing w:after="0"/>
              <w:rPr>
                <w:sz w:val="1"/>
                <w:szCs w:val="1"/>
                <w:color w:val="auto"/>
              </w:rPr>
            </w:pPr>
          </w:p>
        </w:tc>
      </w:tr>
      <w:tr>
        <w:trPr>
          <w:trHeight w:val="33"/>
        </w:trPr>
        <w:tc>
          <w:tcPr>
            <w:tcW w:w="3040" w:type="dxa"/>
            <w:vAlign w:val="bottom"/>
            <w:vMerge w:val="restart"/>
          </w:tcPr>
          <w:p>
            <w:pPr>
              <w:spacing w:after="0"/>
              <w:rPr>
                <w:sz w:val="20"/>
                <w:szCs w:val="20"/>
                <w:color w:val="auto"/>
              </w:rPr>
            </w:pPr>
            <w:r>
              <w:rPr>
                <w:rFonts w:ascii="Arial" w:cs="Arial" w:eastAsia="Arial" w:hAnsi="Arial"/>
                <w:sz w:val="16"/>
                <w:szCs w:val="16"/>
                <w:color w:val="auto"/>
              </w:rPr>
              <w:t>Adjusted to add (deduct):</w:t>
            </w: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01"/>
        </w:trPr>
        <w:tc>
          <w:tcPr>
            <w:tcW w:w="304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6,224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6,224</w:t>
            </w:r>
          </w:p>
        </w:tc>
        <w:tc>
          <w:tcPr>
            <w:tcW w:w="100" w:type="dxa"/>
            <w:vAlign w:val="bottom"/>
          </w:tcPr>
          <w:p>
            <w:pPr>
              <w:spacing w:after="0"/>
              <w:rPr>
                <w:sz w:val="23"/>
                <w:szCs w:val="23"/>
                <w:color w:val="auto"/>
              </w:rPr>
            </w:pP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1,644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1,644</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rPr>
              <w:t>Acquisition and site closure expenses</w:t>
            </w:r>
            <w:r>
              <w:rPr>
                <w:rFonts w:ascii="Arial" w:cs="Arial" w:eastAsia="Arial" w:hAnsi="Arial"/>
                <w:sz w:val="21"/>
                <w:szCs w:val="21"/>
                <w:color w:val="auto"/>
                <w:vertAlign w:val="superscript"/>
              </w:rPr>
              <w:t>(8)</w:t>
            </w: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19,056</w:t>
            </w:r>
          </w:p>
        </w:tc>
        <w:tc>
          <w:tcPr>
            <w:tcW w:w="14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19,056</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207,507</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4,381</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211,888</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2,835</w:t>
            </w:r>
          </w:p>
        </w:tc>
        <w:tc>
          <w:tcPr>
            <w:tcW w:w="14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2,835</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223</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44,688</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14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21,443</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32,519</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3,005</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35,524</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Loss on sale of assets</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8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878</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4,408</w:t>
            </w:r>
          </w:p>
        </w:tc>
        <w:tc>
          <w:tcPr>
            <w:tcW w:w="14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4,408</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Foreign exchange (gain) loss</w:t>
            </w:r>
          </w:p>
        </w:tc>
        <w:tc>
          <w:tcPr>
            <w:tcW w:w="30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(8,311)</w:t>
            </w:r>
          </w:p>
        </w:tc>
        <w:tc>
          <w:tcPr>
            <w:tcW w:w="14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(8,311)</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25,946</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25,946</w:t>
            </w:r>
          </w:p>
        </w:tc>
        <w:tc>
          <w:tcPr>
            <w:tcW w:w="0" w:type="dxa"/>
            <w:vAlign w:val="bottom"/>
          </w:tcPr>
          <w:p>
            <w:pPr>
              <w:spacing w:after="0"/>
              <w:rPr>
                <w:sz w:val="1"/>
                <w:szCs w:val="1"/>
                <w:color w:val="auto"/>
              </w:rPr>
            </w:pPr>
          </w:p>
        </w:tc>
      </w:tr>
      <w:tr>
        <w:trPr>
          <w:trHeight w:val="334"/>
        </w:trPr>
        <w:tc>
          <w:tcPr>
            <w:tcW w:w="3040" w:type="dxa"/>
            <w:vAlign w:val="bottom"/>
          </w:tcPr>
          <w:p>
            <w:pPr>
              <w:ind w:left="140"/>
              <w:spacing w:after="0"/>
              <w:rPr>
                <w:sz w:val="20"/>
                <w:szCs w:val="20"/>
                <w:color w:val="auto"/>
              </w:rPr>
            </w:pPr>
            <w:r>
              <w:rPr>
                <w:rFonts w:ascii="Arial" w:cs="Arial" w:eastAsia="Arial" w:hAnsi="Arial"/>
                <w:sz w:val="16"/>
                <w:szCs w:val="16"/>
                <w:color w:val="auto"/>
                <w:w w:val="93"/>
              </w:rPr>
              <w:t>Loss on sale of international businesses</w:t>
            </w:r>
            <w:r>
              <w:rPr>
                <w:rFonts w:ascii="Arial" w:cs="Arial" w:eastAsia="Arial" w:hAnsi="Arial"/>
                <w:sz w:val="21"/>
                <w:szCs w:val="21"/>
                <w:color w:val="auto"/>
                <w:w w:val="93"/>
                <w:vertAlign w:val="superscript"/>
              </w:rPr>
              <w:t>(13)</w:t>
            </w: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1,888</w:t>
            </w:r>
          </w:p>
        </w:tc>
        <w:tc>
          <w:tcPr>
            <w:tcW w:w="140" w:type="dxa"/>
            <w:vAlign w:val="bottom"/>
          </w:tcPr>
          <w:p>
            <w:pPr>
              <w:spacing w:after="0"/>
              <w:rPr>
                <w:sz w:val="24"/>
                <w:szCs w:val="24"/>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1,888</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040" w:type="dxa"/>
            <w:vAlign w:val="bottom"/>
          </w:tcPr>
          <w:p>
            <w:pPr>
              <w:ind w:left="140"/>
              <w:spacing w:after="0"/>
              <w:rPr>
                <w:sz w:val="20"/>
                <w:szCs w:val="20"/>
                <w:color w:val="auto"/>
              </w:rPr>
            </w:pPr>
            <w:r>
              <w:rPr>
                <w:rFonts w:ascii="Arial" w:cs="Arial" w:eastAsia="Arial" w:hAnsi="Arial"/>
                <w:sz w:val="16"/>
                <w:szCs w:val="16"/>
                <w:color w:val="auto"/>
              </w:rPr>
              <w:t>R&amp;D milestone payments</w:t>
            </w: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5,614</w:t>
            </w:r>
          </w:p>
        </w:tc>
        <w:tc>
          <w:tcPr>
            <w:tcW w:w="140" w:type="dxa"/>
            <w:vAlign w:val="bottom"/>
          </w:tcPr>
          <w:p>
            <w:pPr>
              <w:spacing w:after="0"/>
              <w:rPr>
                <w:sz w:val="17"/>
                <w:szCs w:val="17"/>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5,614</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1,424</w:t>
            </w:r>
          </w:p>
        </w:tc>
        <w:tc>
          <w:tcPr>
            <w:tcW w:w="140" w:type="dxa"/>
            <w:vAlign w:val="bottom"/>
          </w:tcPr>
          <w:p>
            <w:pPr>
              <w:spacing w:after="0"/>
              <w:rPr>
                <w:sz w:val="17"/>
                <w:szCs w:val="17"/>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1,424</w:t>
            </w:r>
          </w:p>
        </w:tc>
        <w:tc>
          <w:tcPr>
            <w:tcW w:w="0" w:type="dxa"/>
            <w:vAlign w:val="bottom"/>
          </w:tcPr>
          <w:p>
            <w:pPr>
              <w:spacing w:after="0"/>
              <w:rPr>
                <w:sz w:val="1"/>
                <w:szCs w:val="1"/>
                <w:color w:val="auto"/>
              </w:rPr>
            </w:pPr>
          </w:p>
        </w:tc>
      </w:tr>
      <w:tr>
        <w:trPr>
          <w:trHeight w:val="270"/>
        </w:trPr>
        <w:tc>
          <w:tcPr>
            <w:tcW w:w="3040" w:type="dxa"/>
            <w:vAlign w:val="bottom"/>
          </w:tcPr>
          <w:p>
            <w:pPr>
              <w:ind w:left="140"/>
              <w:spacing w:after="0"/>
              <w:rPr>
                <w:sz w:val="20"/>
                <w:szCs w:val="20"/>
                <w:color w:val="auto"/>
              </w:rPr>
            </w:pPr>
            <w:r>
              <w:rPr>
                <w:rFonts w:ascii="Arial" w:cs="Arial" w:eastAsia="Arial" w:hAnsi="Arial"/>
                <w:sz w:val="16"/>
                <w:szCs w:val="16"/>
                <w:color w:val="auto"/>
              </w:rPr>
              <w:t>Other</w:t>
            </w: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559</w:t>
            </w:r>
          </w:p>
        </w:tc>
        <w:tc>
          <w:tcPr>
            <w:tcW w:w="140" w:type="dxa"/>
            <w:vAlign w:val="bottom"/>
          </w:tcPr>
          <w:p>
            <w:pPr>
              <w:spacing w:after="0"/>
              <w:rPr>
                <w:sz w:val="23"/>
                <w:szCs w:val="23"/>
                <w:color w:val="auto"/>
              </w:rPr>
            </w:pPr>
          </w:p>
        </w:tc>
        <w:tc>
          <w:tcPr>
            <w:tcW w:w="118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180" w:type="dxa"/>
            <w:vAlign w:val="bottom"/>
          </w:tcPr>
          <w:p>
            <w:pPr>
              <w:jc w:val="right"/>
              <w:ind w:right="19"/>
              <w:spacing w:after="0"/>
              <w:rPr>
                <w:sz w:val="20"/>
                <w:szCs w:val="20"/>
                <w:color w:val="auto"/>
              </w:rPr>
            </w:pPr>
            <w:r>
              <w:rPr>
                <w:rFonts w:ascii="Arial" w:cs="Arial" w:eastAsia="Arial" w:hAnsi="Arial"/>
                <w:sz w:val="16"/>
                <w:szCs w:val="16"/>
                <w:color w:val="auto"/>
              </w:rPr>
              <w:t>559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1,225</w:t>
            </w:r>
          </w:p>
        </w:tc>
        <w:tc>
          <w:tcPr>
            <w:tcW w:w="140" w:type="dxa"/>
            <w:vAlign w:val="bottom"/>
          </w:tcPr>
          <w:p>
            <w:pPr>
              <w:spacing w:after="0"/>
              <w:rPr>
                <w:sz w:val="23"/>
                <w:szCs w:val="23"/>
                <w:color w:val="auto"/>
              </w:rPr>
            </w:pPr>
          </w:p>
        </w:tc>
        <w:tc>
          <w:tcPr>
            <w:tcW w:w="12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1,225</w:t>
            </w:r>
          </w:p>
        </w:tc>
        <w:tc>
          <w:tcPr>
            <w:tcW w:w="0" w:type="dxa"/>
            <w:vAlign w:val="bottom"/>
          </w:tcPr>
          <w:p>
            <w:pPr>
              <w:spacing w:after="0"/>
              <w:rPr>
                <w:sz w:val="1"/>
                <w:szCs w:val="1"/>
                <w:color w:val="auto"/>
              </w:rPr>
            </w:pPr>
          </w:p>
        </w:tc>
      </w:tr>
      <w:tr>
        <w:trPr>
          <w:trHeight w:val="33"/>
        </w:trPr>
        <w:tc>
          <w:tcPr>
            <w:tcW w:w="30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3040" w:type="dxa"/>
            <w:vAlign w:val="bottom"/>
          </w:tcPr>
          <w:p>
            <w:pPr>
              <w:spacing w:after="0"/>
              <w:rPr>
                <w:sz w:val="20"/>
                <w:szCs w:val="20"/>
                <w:color w:val="auto"/>
              </w:rPr>
            </w:pPr>
            <w:r>
              <w:rPr>
                <w:rFonts w:ascii="Arial" w:cs="Arial" w:eastAsia="Arial" w:hAnsi="Arial"/>
                <w:sz w:val="16"/>
                <w:szCs w:val="16"/>
                <w:b w:val="1"/>
                <w:bCs w:val="1"/>
                <w:color w:val="auto"/>
              </w:rPr>
              <w:t>Adjusted EBITDA (Non-GAAP)</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92,081</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92,081</w:t>
            </w:r>
          </w:p>
        </w:tc>
        <w:tc>
          <w:tcPr>
            <w:tcW w:w="100" w:type="dxa"/>
            <w:vAlign w:val="bottom"/>
          </w:tcPr>
          <w:p>
            <w:pPr>
              <w:spacing w:after="0"/>
              <w:rPr>
                <w:sz w:val="21"/>
                <w:szCs w:val="21"/>
                <w:color w:val="auto"/>
              </w:rPr>
            </w:pPr>
          </w:p>
        </w:tc>
        <w:tc>
          <w:tcPr>
            <w:tcW w:w="3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141,538</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(2,916)</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138,622</w:t>
            </w:r>
          </w:p>
        </w:tc>
        <w:tc>
          <w:tcPr>
            <w:tcW w:w="0" w:type="dxa"/>
            <w:vAlign w:val="bottom"/>
          </w:tcPr>
          <w:p>
            <w:pPr>
              <w:spacing w:after="0"/>
              <w:rPr>
                <w:sz w:val="1"/>
                <w:szCs w:val="1"/>
                <w:color w:val="auto"/>
              </w:rPr>
            </w:pPr>
          </w:p>
        </w:tc>
      </w:tr>
      <w:tr>
        <w:trPr>
          <w:trHeight w:val="20"/>
        </w:trPr>
        <w:tc>
          <w:tcPr>
            <w:tcW w:w="304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center"/>
        <w:ind w:right="20"/>
        <w:spacing w:after="0"/>
        <w:rPr>
          <w:sz w:val="20"/>
          <w:szCs w:val="20"/>
          <w:color w:val="auto"/>
        </w:rPr>
      </w:pPr>
      <w:r>
        <w:rPr>
          <w:rFonts w:ascii="Arial" w:cs="Arial" w:eastAsia="Arial" w:hAnsi="Arial"/>
          <w:sz w:val="14"/>
          <w:szCs w:val="14"/>
          <w:color w:val="auto"/>
        </w:rPr>
        <w:t>Page 21 of 23</w:t>
      </w:r>
    </w:p>
    <w:p>
      <w:pPr>
        <w:sectPr>
          <w:pgSz w:w="11900" w:h="16838" w:orient="portrait"/>
          <w:cols w:equalWidth="0" w:num="1">
            <w:col w:w="11360"/>
          </w:cols>
          <w:pgMar w:left="280" w:top="553" w:right="259" w:bottom="1440" w:gutter="0" w:footer="0" w:header="0"/>
        </w:sectPr>
      </w:pPr>
    </w:p>
    <w:bookmarkStart w:id="24" w:name="page25"/>
    <w:bookmarkEnd w:id="24"/>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Non-GAAP Reconciliations</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(Unaudited; In thousands)</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Net Loss to EBITDA and Combined Adjusted EBITDA</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 w:type="dxa"/>
        <w:tblCellMar>
          <w:top w:w="0" w:type="dxa"/>
          <w:left w:w="0" w:type="dxa"/>
          <w:bottom w:w="0" w:type="dxa"/>
          <w:right w:w="0" w:type="dxa"/>
        </w:tblCellMar>
      </w:tblPr>
      <w:tr>
        <w:trPr>
          <w:trHeight w:val="210"/>
        </w:trPr>
        <w:tc>
          <w:tcPr>
            <w:tcW w:w="2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940" w:type="dxa"/>
            <w:vAlign w:val="bottom"/>
            <w:gridSpan w:val="6"/>
          </w:tcPr>
          <w:p>
            <w:pPr>
              <w:jc w:val="center"/>
              <w:ind w:right="380"/>
              <w:spacing w:after="0"/>
              <w:rPr>
                <w:sz w:val="20"/>
                <w:szCs w:val="20"/>
                <w:color w:val="auto"/>
              </w:rPr>
            </w:pPr>
            <w:r>
              <w:rPr>
                <w:rFonts w:ascii="Arial" w:cs="Arial" w:eastAsia="Arial" w:hAnsi="Arial"/>
                <w:sz w:val="16"/>
                <w:szCs w:val="16"/>
                <w:b w:val="1"/>
                <w:bCs w:val="1"/>
                <w:color w:val="auto"/>
                <w:w w:val="89"/>
              </w:rPr>
              <w:t>Six months ended June 30, 2019</w:t>
            </w:r>
          </w:p>
        </w:tc>
        <w:tc>
          <w:tcPr>
            <w:tcW w:w="300" w:type="dxa"/>
            <w:vAlign w:val="bottom"/>
          </w:tcPr>
          <w:p>
            <w:pPr>
              <w:spacing w:after="0"/>
              <w:rPr>
                <w:sz w:val="18"/>
                <w:szCs w:val="18"/>
                <w:color w:val="auto"/>
              </w:rPr>
            </w:pPr>
          </w:p>
        </w:tc>
        <w:tc>
          <w:tcPr>
            <w:tcW w:w="3840" w:type="dxa"/>
            <w:vAlign w:val="bottom"/>
            <w:gridSpan w:val="5"/>
          </w:tcPr>
          <w:p>
            <w:pPr>
              <w:jc w:val="center"/>
              <w:ind w:right="199"/>
              <w:spacing w:after="0"/>
              <w:rPr>
                <w:sz w:val="20"/>
                <w:szCs w:val="20"/>
                <w:color w:val="auto"/>
              </w:rPr>
            </w:pPr>
            <w:r>
              <w:rPr>
                <w:rFonts w:ascii="Arial" w:cs="Arial" w:eastAsia="Arial" w:hAnsi="Arial"/>
                <w:sz w:val="16"/>
                <w:szCs w:val="16"/>
                <w:b w:val="1"/>
                <w:bCs w:val="1"/>
                <w:color w:val="auto"/>
                <w:w w:val="89"/>
              </w:rPr>
              <w:t>Six months ended June 30, 2018</w:t>
            </w: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vMerge w:val="restart"/>
          </w:tcPr>
          <w:p>
            <w:pPr>
              <w:jc w:val="center"/>
              <w:ind w:right="19"/>
              <w:spacing w:after="0"/>
              <w:rPr>
                <w:sz w:val="20"/>
                <w:szCs w:val="20"/>
                <w:color w:val="auto"/>
              </w:rPr>
            </w:pPr>
            <w:r>
              <w:rPr>
                <w:rFonts w:ascii="Arial" w:cs="Arial" w:eastAsia="Arial" w:hAnsi="Arial"/>
                <w:sz w:val="16"/>
                <w:szCs w:val="16"/>
                <w:b w:val="1"/>
                <w:bCs w:val="1"/>
                <w:color w:val="auto"/>
                <w:w w:val="93"/>
              </w:rPr>
              <w:t>Add:</w:t>
            </w:r>
          </w:p>
        </w:tc>
        <w:tc>
          <w:tcPr>
            <w:tcW w:w="220" w:type="dxa"/>
            <w:vAlign w:val="bottom"/>
          </w:tcPr>
          <w:p>
            <w:pPr>
              <w:spacing w:after="0"/>
              <w:rPr>
                <w:sz w:val="18"/>
                <w:szCs w:val="18"/>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8"/>
              </w:rPr>
              <w:t>(Non-GAAP)</w:t>
            </w:r>
          </w:p>
        </w:tc>
        <w:tc>
          <w:tcPr>
            <w:tcW w:w="3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vMerge w:val="restart"/>
          </w:tcPr>
          <w:p>
            <w:pPr>
              <w:jc w:val="center"/>
              <w:ind w:right="39"/>
              <w:spacing w:after="0"/>
              <w:rPr>
                <w:sz w:val="20"/>
                <w:szCs w:val="20"/>
                <w:color w:val="auto"/>
              </w:rPr>
            </w:pPr>
            <w:r>
              <w:rPr>
                <w:rFonts w:ascii="Arial" w:cs="Arial" w:eastAsia="Arial" w:hAnsi="Arial"/>
                <w:sz w:val="16"/>
                <w:szCs w:val="16"/>
                <w:b w:val="1"/>
                <w:bCs w:val="1"/>
                <w:color w:val="auto"/>
                <w:w w:val="93"/>
              </w:rPr>
              <w:t>Add:</w:t>
            </w:r>
          </w:p>
        </w:tc>
        <w:tc>
          <w:tcPr>
            <w:tcW w:w="200" w:type="dxa"/>
            <w:vAlign w:val="bottom"/>
          </w:tcPr>
          <w:p>
            <w:pPr>
              <w:spacing w:after="0"/>
              <w:rPr>
                <w:sz w:val="18"/>
                <w:szCs w:val="18"/>
                <w:color w:val="auto"/>
              </w:rPr>
            </w:pPr>
          </w:p>
        </w:tc>
        <w:tc>
          <w:tcPr>
            <w:tcW w:w="1200" w:type="dxa"/>
            <w:vAlign w:val="bottom"/>
          </w:tcPr>
          <w:p>
            <w:pPr>
              <w:jc w:val="right"/>
              <w:ind w:right="159"/>
              <w:spacing w:after="0"/>
              <w:rPr>
                <w:sz w:val="20"/>
                <w:szCs w:val="20"/>
                <w:color w:val="auto"/>
              </w:rPr>
            </w:pPr>
            <w:r>
              <w:rPr>
                <w:rFonts w:ascii="Arial" w:cs="Arial" w:eastAsia="Arial" w:hAnsi="Arial"/>
                <w:sz w:val="16"/>
                <w:szCs w:val="16"/>
                <w:b w:val="1"/>
                <w:bCs w:val="1"/>
                <w:color w:val="auto"/>
              </w:rPr>
              <w:t>(Non-GAAP)</w:t>
            </w:r>
          </w:p>
        </w:tc>
        <w:tc>
          <w:tcPr>
            <w:tcW w:w="0" w:type="dxa"/>
            <w:vAlign w:val="bottom"/>
          </w:tcPr>
          <w:p>
            <w:pPr>
              <w:spacing w:after="0"/>
              <w:rPr>
                <w:sz w:val="1"/>
                <w:szCs w:val="1"/>
                <w:color w:val="auto"/>
              </w:rPr>
            </w:pPr>
          </w:p>
        </w:tc>
      </w:tr>
      <w:tr>
        <w:trPr>
          <w:trHeight w:val="203"/>
        </w:trPr>
        <w:tc>
          <w:tcPr>
            <w:tcW w:w="29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00" w:type="dxa"/>
            <w:vAlign w:val="bottom"/>
          </w:tcPr>
          <w:p>
            <w:pPr>
              <w:jc w:val="center"/>
              <w:ind w:right="19"/>
              <w:spacing w:after="0"/>
              <w:rPr>
                <w:sz w:val="20"/>
                <w:szCs w:val="20"/>
                <w:color w:val="auto"/>
              </w:rPr>
            </w:pPr>
            <w:r>
              <w:rPr>
                <w:rFonts w:ascii="Arial" w:cs="Arial" w:eastAsia="Arial" w:hAnsi="Arial"/>
                <w:sz w:val="16"/>
                <w:szCs w:val="16"/>
                <w:b w:val="1"/>
                <w:bCs w:val="1"/>
                <w:color w:val="auto"/>
                <w:w w:val="96"/>
              </w:rPr>
              <w:t>Impax/ Gemini</w:t>
            </w:r>
          </w:p>
        </w:tc>
        <w:tc>
          <w:tcPr>
            <w:tcW w:w="220" w:type="dxa"/>
            <w:vAlign w:val="bottom"/>
          </w:tcPr>
          <w:p>
            <w:pPr>
              <w:spacing w:after="0"/>
              <w:rPr>
                <w:sz w:val="23"/>
                <w:szCs w:val="23"/>
                <w:color w:val="auto"/>
              </w:rPr>
            </w:pPr>
          </w:p>
        </w:tc>
        <w:tc>
          <w:tcPr>
            <w:tcW w:w="130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Combined</w:t>
            </w:r>
          </w:p>
        </w:tc>
        <w:tc>
          <w:tcPr>
            <w:tcW w:w="300" w:type="dxa"/>
            <w:vAlign w:val="bottom"/>
          </w:tcPr>
          <w:p>
            <w:pPr>
              <w:spacing w:after="0"/>
              <w:rPr>
                <w:sz w:val="23"/>
                <w:szCs w:val="23"/>
                <w:color w:val="auto"/>
              </w:rPr>
            </w:pPr>
          </w:p>
        </w:tc>
        <w:tc>
          <w:tcPr>
            <w:tcW w:w="1060" w:type="dxa"/>
            <w:vAlign w:val="bottom"/>
          </w:tcPr>
          <w:p>
            <w:pPr>
              <w:jc w:val="right"/>
              <w:ind w:right="359"/>
              <w:spacing w:after="0"/>
              <w:rPr>
                <w:sz w:val="20"/>
                <w:szCs w:val="20"/>
                <w:color w:val="auto"/>
              </w:rPr>
            </w:pPr>
            <w:r>
              <w:rPr>
                <w:rFonts w:ascii="Arial" w:cs="Arial" w:eastAsia="Arial" w:hAnsi="Arial"/>
                <w:sz w:val="16"/>
                <w:szCs w:val="16"/>
                <w:b w:val="1"/>
                <w:bCs w:val="1"/>
                <w:color w:val="auto"/>
              </w:rPr>
              <w:t>Actual</w:t>
            </w:r>
          </w:p>
        </w:tc>
        <w:tc>
          <w:tcPr>
            <w:tcW w:w="160" w:type="dxa"/>
            <w:vAlign w:val="bottom"/>
          </w:tcPr>
          <w:p>
            <w:pPr>
              <w:spacing w:after="0"/>
              <w:rPr>
                <w:sz w:val="23"/>
                <w:szCs w:val="23"/>
                <w:color w:val="auto"/>
              </w:rPr>
            </w:pPr>
          </w:p>
        </w:tc>
        <w:tc>
          <w:tcPr>
            <w:tcW w:w="1220" w:type="dxa"/>
            <w:vAlign w:val="bottom"/>
          </w:tcPr>
          <w:p>
            <w:pPr>
              <w:jc w:val="center"/>
              <w:ind w:right="39"/>
              <w:spacing w:after="0"/>
              <w:rPr>
                <w:sz w:val="20"/>
                <w:szCs w:val="20"/>
                <w:color w:val="auto"/>
              </w:rPr>
            </w:pPr>
            <w:r>
              <w:rPr>
                <w:rFonts w:ascii="Arial" w:cs="Arial" w:eastAsia="Arial" w:hAnsi="Arial"/>
                <w:sz w:val="16"/>
                <w:szCs w:val="16"/>
                <w:b w:val="1"/>
                <w:bCs w:val="1"/>
                <w:color w:val="auto"/>
                <w:w w:val="96"/>
              </w:rPr>
              <w:t>Impax/ Gemini</w:t>
            </w:r>
          </w:p>
        </w:tc>
        <w:tc>
          <w:tcPr>
            <w:tcW w:w="200" w:type="dxa"/>
            <w:vAlign w:val="bottom"/>
          </w:tcPr>
          <w:p>
            <w:pPr>
              <w:spacing w:after="0"/>
              <w:rPr>
                <w:sz w:val="23"/>
                <w:szCs w:val="23"/>
                <w:color w:val="auto"/>
              </w:rPr>
            </w:pPr>
          </w:p>
        </w:tc>
        <w:tc>
          <w:tcPr>
            <w:tcW w:w="1200" w:type="dxa"/>
            <w:vAlign w:val="bottom"/>
          </w:tcPr>
          <w:p>
            <w:pPr>
              <w:jc w:val="right"/>
              <w:ind w:right="259"/>
              <w:spacing w:after="0"/>
              <w:rPr>
                <w:sz w:val="20"/>
                <w:szCs w:val="20"/>
                <w:color w:val="auto"/>
              </w:rPr>
            </w:pPr>
            <w:r>
              <w:rPr>
                <w:rFonts w:ascii="Arial" w:cs="Arial" w:eastAsia="Arial" w:hAnsi="Arial"/>
                <w:sz w:val="16"/>
                <w:szCs w:val="16"/>
                <w:b w:val="1"/>
                <w:bCs w:val="1"/>
                <w:color w:val="auto"/>
              </w:rPr>
              <w:t>Combined</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b w:val="1"/>
                <w:bCs w:val="1"/>
                <w:color w:val="auto"/>
              </w:rPr>
              <w:t>Net loss</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(175,278)</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(175,278)</w:t>
            </w:r>
          </w:p>
        </w:tc>
        <w:tc>
          <w:tcPr>
            <w:tcW w:w="10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(198,438)</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(150,155)</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(348,593)</w:t>
            </w:r>
          </w:p>
        </w:tc>
        <w:tc>
          <w:tcPr>
            <w:tcW w:w="0" w:type="dxa"/>
            <w:vAlign w:val="bottom"/>
          </w:tcPr>
          <w:p>
            <w:pPr>
              <w:spacing w:after="0"/>
              <w:rPr>
                <w:sz w:val="1"/>
                <w:szCs w:val="1"/>
                <w:color w:val="auto"/>
              </w:rPr>
            </w:pPr>
          </w:p>
        </w:tc>
      </w:tr>
      <w:tr>
        <w:trPr>
          <w:trHeight w:val="270"/>
        </w:trPr>
        <w:tc>
          <w:tcPr>
            <w:tcW w:w="2980" w:type="dxa"/>
            <w:vAlign w:val="bottom"/>
          </w:tcPr>
          <w:p>
            <w:pPr>
              <w:spacing w:after="0"/>
              <w:rPr>
                <w:sz w:val="20"/>
                <w:szCs w:val="20"/>
                <w:color w:val="auto"/>
              </w:rPr>
            </w:pPr>
            <w:r>
              <w:rPr>
                <w:rFonts w:ascii="Arial" w:cs="Arial" w:eastAsia="Arial" w:hAnsi="Arial"/>
                <w:sz w:val="16"/>
                <w:szCs w:val="16"/>
                <w:color w:val="auto"/>
              </w:rPr>
              <w:t>Adjusted to add (deduct):</w:t>
            </w:r>
          </w:p>
        </w:tc>
        <w:tc>
          <w:tcPr>
            <w:tcW w:w="3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Interest expense, net</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87,167</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87,167</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57,673</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18,231</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75,904</w:t>
            </w: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Income tax benefit</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(14,129)</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(14,129)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(12,052)</w:t>
            </w:r>
          </w:p>
        </w:tc>
        <w:tc>
          <w:tcPr>
            <w:tcW w:w="160" w:type="dxa"/>
            <w:vAlign w:val="bottom"/>
          </w:tcPr>
          <w:p>
            <w:pPr>
              <w:spacing w:after="0"/>
              <w:rPr>
                <w:sz w:val="23"/>
                <w:szCs w:val="23"/>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(6,273)</w:t>
            </w:r>
          </w:p>
        </w:tc>
        <w:tc>
          <w:tcPr>
            <w:tcW w:w="20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(18,325)</w:t>
            </w: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Depreciation and amortization</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99,574</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99,574</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46,898</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24,900</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71,798</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b w:val="1"/>
                <w:bCs w:val="1"/>
                <w:color w:val="auto"/>
              </w:rPr>
              <w:t>EBITDA (Non-GAAP)</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7"/>
        </w:trPr>
        <w:tc>
          <w:tcPr>
            <w:tcW w:w="2980" w:type="dxa"/>
            <w:vAlign w:val="bottom"/>
            <w:vMerge w:val="continue"/>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(2,666)</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(2,666)</w:t>
            </w:r>
          </w:p>
        </w:tc>
        <w:tc>
          <w:tcPr>
            <w:tcW w:w="10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(105,919)</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(113,297)</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(219,216)</w:t>
            </w:r>
          </w:p>
        </w:tc>
        <w:tc>
          <w:tcPr>
            <w:tcW w:w="0" w:type="dxa"/>
            <w:vAlign w:val="bottom"/>
          </w:tcPr>
          <w:p>
            <w:pPr>
              <w:spacing w:after="0"/>
              <w:rPr>
                <w:sz w:val="1"/>
                <w:szCs w:val="1"/>
                <w:color w:val="auto"/>
              </w:rPr>
            </w:pPr>
          </w:p>
        </w:tc>
      </w:tr>
      <w:tr>
        <w:trPr>
          <w:trHeight w:val="33"/>
        </w:trPr>
        <w:tc>
          <w:tcPr>
            <w:tcW w:w="2980" w:type="dxa"/>
            <w:vAlign w:val="bottom"/>
            <w:vMerge w:val="restart"/>
          </w:tcPr>
          <w:p>
            <w:pPr>
              <w:spacing w:after="0"/>
              <w:rPr>
                <w:sz w:val="20"/>
                <w:szCs w:val="20"/>
                <w:color w:val="auto"/>
              </w:rPr>
            </w:pPr>
            <w:r>
              <w:rPr>
                <w:rFonts w:ascii="Arial" w:cs="Arial" w:eastAsia="Arial" w:hAnsi="Arial"/>
                <w:sz w:val="16"/>
                <w:szCs w:val="16"/>
                <w:color w:val="auto"/>
              </w:rPr>
              <w:t>Adjusted to add (deduct):</w:t>
            </w: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01"/>
        </w:trPr>
        <w:tc>
          <w:tcPr>
            <w:tcW w:w="2980" w:type="dxa"/>
            <w:vAlign w:val="bottom"/>
            <w:vMerge w:val="continue"/>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Stock-based compensation expense</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10,571</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10,571</w:t>
            </w:r>
          </w:p>
        </w:tc>
        <w:tc>
          <w:tcPr>
            <w:tcW w:w="100" w:type="dxa"/>
            <w:vAlign w:val="bottom"/>
          </w:tcPr>
          <w:p>
            <w:pPr>
              <w:spacing w:after="0"/>
              <w:rPr>
                <w:sz w:val="23"/>
                <w:szCs w:val="23"/>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1,644</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4,816</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6,460</w:t>
            </w:r>
          </w:p>
        </w:tc>
        <w:tc>
          <w:tcPr>
            <w:tcW w:w="0" w:type="dxa"/>
            <w:vAlign w:val="bottom"/>
          </w:tcPr>
          <w:p>
            <w:pPr>
              <w:spacing w:after="0"/>
              <w:rPr>
                <w:sz w:val="1"/>
                <w:szCs w:val="1"/>
                <w:color w:val="auto"/>
              </w:rPr>
            </w:pPr>
          </w:p>
        </w:tc>
      </w:tr>
      <w:tr>
        <w:trPr>
          <w:trHeight w:val="334"/>
        </w:trPr>
        <w:tc>
          <w:tcPr>
            <w:tcW w:w="2980" w:type="dxa"/>
            <w:vAlign w:val="bottom"/>
          </w:tcPr>
          <w:p>
            <w:pPr>
              <w:ind w:left="140"/>
              <w:spacing w:after="0"/>
              <w:rPr>
                <w:sz w:val="20"/>
                <w:szCs w:val="20"/>
                <w:color w:val="auto"/>
              </w:rPr>
            </w:pPr>
            <w:r>
              <w:rPr>
                <w:rFonts w:ascii="Arial" w:cs="Arial" w:eastAsia="Arial" w:hAnsi="Arial"/>
                <w:sz w:val="16"/>
                <w:szCs w:val="16"/>
                <w:color w:val="auto"/>
                <w:w w:val="99"/>
              </w:rPr>
              <w:t>Acquisition and site closure expenses</w:t>
            </w:r>
            <w:r>
              <w:rPr>
                <w:rFonts w:ascii="Arial" w:cs="Arial" w:eastAsia="Arial" w:hAnsi="Arial"/>
                <w:sz w:val="21"/>
                <w:szCs w:val="21"/>
                <w:color w:val="auto"/>
                <w:w w:val="99"/>
                <w:vertAlign w:val="superscript"/>
              </w:rPr>
              <w:t>(8)</w:t>
            </w: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47,258</w:t>
            </w:r>
          </w:p>
        </w:tc>
        <w:tc>
          <w:tcPr>
            <w:tcW w:w="16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47,258</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214,642</w:t>
            </w:r>
          </w:p>
        </w:tc>
        <w:tc>
          <w:tcPr>
            <w:tcW w:w="160" w:type="dxa"/>
            <w:vAlign w:val="bottom"/>
          </w:tcPr>
          <w:p>
            <w:pPr>
              <w:spacing w:after="0"/>
              <w:rPr>
                <w:sz w:val="24"/>
                <w:szCs w:val="24"/>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10,925</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225,567</w:t>
            </w: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Restructuring and other charges</w:t>
            </w:r>
            <w:r>
              <w:rPr>
                <w:rFonts w:ascii="Arial" w:cs="Arial" w:eastAsia="Arial" w:hAnsi="Arial"/>
                <w:sz w:val="21"/>
                <w:szCs w:val="21"/>
                <w:color w:val="auto"/>
                <w:vertAlign w:val="superscript"/>
              </w:rPr>
              <w:t>(10)</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8,996</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8,996</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44,465</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5,123</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49,588</w:t>
            </w:r>
          </w:p>
        </w:tc>
        <w:tc>
          <w:tcPr>
            <w:tcW w:w="0" w:type="dxa"/>
            <w:vAlign w:val="bottom"/>
          </w:tcPr>
          <w:p>
            <w:pPr>
              <w:spacing w:after="0"/>
              <w:rPr>
                <w:sz w:val="1"/>
                <w:szCs w:val="1"/>
                <w:color w:val="auto"/>
              </w:rPr>
            </w:pPr>
          </w:p>
        </w:tc>
      </w:tr>
      <w:tr>
        <w:trPr>
          <w:trHeight w:val="206"/>
        </w:trPr>
        <w:tc>
          <w:tcPr>
            <w:tcW w:w="2980" w:type="dxa"/>
            <w:vAlign w:val="bottom"/>
          </w:tcPr>
          <w:p>
            <w:pPr>
              <w:ind w:left="140"/>
              <w:spacing w:after="0"/>
              <w:rPr>
                <w:sz w:val="20"/>
                <w:szCs w:val="20"/>
                <w:color w:val="auto"/>
              </w:rPr>
            </w:pPr>
            <w:r>
              <w:rPr>
                <w:rFonts w:ascii="Arial" w:cs="Arial" w:eastAsia="Arial" w:hAnsi="Arial"/>
                <w:sz w:val="16"/>
                <w:szCs w:val="16"/>
                <w:color w:val="auto"/>
              </w:rPr>
              <w:t>Loss on extinguishment of debt</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19,667</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19,667</w:t>
            </w:r>
          </w:p>
        </w:tc>
        <w:tc>
          <w:tcPr>
            <w:tcW w:w="0" w:type="dxa"/>
            <w:vAlign w:val="bottom"/>
          </w:tcPr>
          <w:p>
            <w:pPr>
              <w:spacing w:after="0"/>
              <w:rPr>
                <w:sz w:val="1"/>
                <w:szCs w:val="1"/>
                <w:color w:val="auto"/>
              </w:rPr>
            </w:pPr>
          </w:p>
        </w:tc>
      </w:tr>
      <w:tr>
        <w:trPr>
          <w:trHeight w:val="320"/>
        </w:trPr>
        <w:tc>
          <w:tcPr>
            <w:tcW w:w="2980" w:type="dxa"/>
            <w:vAlign w:val="bottom"/>
          </w:tcPr>
          <w:p>
            <w:pPr>
              <w:ind w:left="140"/>
              <w:spacing w:after="0"/>
              <w:rPr>
                <w:sz w:val="20"/>
                <w:szCs w:val="20"/>
                <w:color w:val="auto"/>
              </w:rPr>
            </w:pPr>
            <w:r>
              <w:rPr>
                <w:rFonts w:ascii="Arial" w:cs="Arial" w:eastAsia="Arial" w:hAnsi="Arial"/>
                <w:sz w:val="16"/>
                <w:szCs w:val="16"/>
                <w:color w:val="auto"/>
              </w:rPr>
              <w:t>Inventory related charges</w:t>
            </w:r>
            <w:r>
              <w:rPr>
                <w:rFonts w:ascii="Arial" w:cs="Arial" w:eastAsia="Arial" w:hAnsi="Arial"/>
                <w:sz w:val="21"/>
                <w:szCs w:val="21"/>
                <w:color w:val="auto"/>
                <w:vertAlign w:val="superscript"/>
              </w:rPr>
              <w:t>(7)</w:t>
            </w: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21,777</w:t>
            </w:r>
          </w:p>
        </w:tc>
        <w:tc>
          <w:tcPr>
            <w:tcW w:w="16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21,777</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32,519</w:t>
            </w:r>
          </w:p>
        </w:tc>
        <w:tc>
          <w:tcPr>
            <w:tcW w:w="160" w:type="dxa"/>
            <w:vAlign w:val="bottom"/>
          </w:tcPr>
          <w:p>
            <w:pPr>
              <w:spacing w:after="0"/>
              <w:rPr>
                <w:sz w:val="24"/>
                <w:szCs w:val="24"/>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9,894</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42,413</w:t>
            </w:r>
          </w:p>
        </w:tc>
        <w:tc>
          <w:tcPr>
            <w:tcW w:w="0" w:type="dxa"/>
            <w:vAlign w:val="bottom"/>
          </w:tcPr>
          <w:p>
            <w:pPr>
              <w:spacing w:after="0"/>
              <w:rPr>
                <w:sz w:val="1"/>
                <w:szCs w:val="1"/>
                <w:color w:val="auto"/>
              </w:rPr>
            </w:pPr>
          </w:p>
        </w:tc>
      </w:tr>
      <w:tr>
        <w:trPr>
          <w:trHeight w:val="203"/>
        </w:trPr>
        <w:tc>
          <w:tcPr>
            <w:tcW w:w="2980" w:type="dxa"/>
            <w:vAlign w:val="bottom"/>
          </w:tcPr>
          <w:p>
            <w:pPr>
              <w:ind w:left="140"/>
              <w:spacing w:after="0"/>
              <w:rPr>
                <w:sz w:val="20"/>
                <w:szCs w:val="20"/>
                <w:color w:val="auto"/>
              </w:rPr>
            </w:pPr>
            <w:r>
              <w:rPr>
                <w:rFonts w:ascii="Arial" w:cs="Arial" w:eastAsia="Arial" w:hAnsi="Arial"/>
                <w:sz w:val="16"/>
                <w:szCs w:val="16"/>
                <w:color w:val="auto"/>
              </w:rPr>
              <w:t>Litigation, settlements and related</w:t>
            </w: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charges</w:t>
            </w:r>
            <w:r>
              <w:rPr>
                <w:rFonts w:ascii="Arial" w:cs="Arial" w:eastAsia="Arial" w:hAnsi="Arial"/>
                <w:sz w:val="21"/>
                <w:szCs w:val="21"/>
                <w:color w:val="auto"/>
                <w:vertAlign w:val="superscript"/>
              </w:rPr>
              <w:t>(12)</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90,099</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90,099</w:t>
            </w:r>
          </w:p>
        </w:tc>
        <w:tc>
          <w:tcPr>
            <w:tcW w:w="0" w:type="dxa"/>
            <w:vAlign w:val="bottom"/>
          </w:tcPr>
          <w:p>
            <w:pPr>
              <w:spacing w:after="0"/>
              <w:rPr>
                <w:sz w:val="1"/>
                <w:szCs w:val="1"/>
                <w:color w:val="auto"/>
              </w:rPr>
            </w:pPr>
          </w:p>
        </w:tc>
      </w:tr>
      <w:tr>
        <w:trPr>
          <w:trHeight w:val="206"/>
        </w:trPr>
        <w:tc>
          <w:tcPr>
            <w:tcW w:w="2980" w:type="dxa"/>
            <w:vAlign w:val="bottom"/>
          </w:tcPr>
          <w:p>
            <w:pPr>
              <w:ind w:left="140"/>
              <w:spacing w:after="0"/>
              <w:rPr>
                <w:sz w:val="20"/>
                <w:szCs w:val="20"/>
                <w:color w:val="auto"/>
              </w:rPr>
            </w:pPr>
            <w:r>
              <w:rPr>
                <w:rFonts w:ascii="Arial" w:cs="Arial" w:eastAsia="Arial" w:hAnsi="Arial"/>
                <w:sz w:val="16"/>
                <w:szCs w:val="16"/>
                <w:color w:val="auto"/>
              </w:rPr>
              <w:t>Loss on sale of assets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878</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878</w:t>
            </w:r>
          </w:p>
        </w:tc>
        <w:tc>
          <w:tcPr>
            <w:tcW w:w="0" w:type="dxa"/>
            <w:vAlign w:val="bottom"/>
          </w:tcPr>
          <w:p>
            <w:pPr>
              <w:spacing w:after="0"/>
              <w:rPr>
                <w:sz w:val="1"/>
                <w:szCs w:val="1"/>
                <w:color w:val="auto"/>
              </w:rPr>
            </w:pPr>
          </w:p>
        </w:tc>
      </w:tr>
      <w:tr>
        <w:trPr>
          <w:trHeight w:val="334"/>
        </w:trPr>
        <w:tc>
          <w:tcPr>
            <w:tcW w:w="2980" w:type="dxa"/>
            <w:vAlign w:val="bottom"/>
          </w:tcPr>
          <w:p>
            <w:pPr>
              <w:ind w:left="140"/>
              <w:spacing w:after="0"/>
              <w:rPr>
                <w:sz w:val="20"/>
                <w:szCs w:val="20"/>
                <w:color w:val="auto"/>
              </w:rPr>
            </w:pPr>
            <w:r>
              <w:rPr>
                <w:rFonts w:ascii="Arial" w:cs="Arial" w:eastAsia="Arial" w:hAnsi="Arial"/>
                <w:sz w:val="16"/>
                <w:szCs w:val="16"/>
                <w:color w:val="auto"/>
              </w:rPr>
              <w:t>Asset impairment charges</w:t>
            </w:r>
            <w:r>
              <w:rPr>
                <w:rFonts w:ascii="Arial" w:cs="Arial" w:eastAsia="Arial" w:hAnsi="Arial"/>
                <w:sz w:val="21"/>
                <w:szCs w:val="21"/>
                <w:color w:val="auto"/>
                <w:vertAlign w:val="superscript"/>
              </w:rPr>
              <w:t>(9)</w:t>
            </w: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81,008</w:t>
            </w:r>
          </w:p>
        </w:tc>
        <w:tc>
          <w:tcPr>
            <w:tcW w:w="160" w:type="dxa"/>
            <w:vAlign w:val="bottom"/>
          </w:tcPr>
          <w:p>
            <w:pPr>
              <w:spacing w:after="0"/>
              <w:rPr>
                <w:sz w:val="24"/>
                <w:szCs w:val="24"/>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81,008</w:t>
            </w: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53</w:t>
            </w:r>
          </w:p>
        </w:tc>
        <w:tc>
          <w:tcPr>
            <w:tcW w:w="200" w:type="dxa"/>
            <w:vAlign w:val="bottom"/>
          </w:tcPr>
          <w:p>
            <w:pPr>
              <w:spacing w:after="0"/>
              <w:rPr>
                <w:sz w:val="24"/>
                <w:szCs w:val="24"/>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53</w:t>
            </w: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Amortization of upfront payment</w:t>
            </w:r>
            <w:r>
              <w:rPr>
                <w:rFonts w:ascii="Arial" w:cs="Arial" w:eastAsia="Arial" w:hAnsi="Arial"/>
                <w:sz w:val="21"/>
                <w:szCs w:val="21"/>
                <w:color w:val="auto"/>
                <w:vertAlign w:val="superscript"/>
              </w:rPr>
              <w:t>(11)</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36,393</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36,393</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2980" w:type="dxa"/>
            <w:vAlign w:val="bottom"/>
          </w:tcPr>
          <w:p>
            <w:pPr>
              <w:ind w:left="140"/>
              <w:spacing w:after="0"/>
              <w:rPr>
                <w:sz w:val="20"/>
                <w:szCs w:val="20"/>
                <w:color w:val="auto"/>
              </w:rPr>
            </w:pPr>
            <w:r>
              <w:rPr>
                <w:rFonts w:ascii="Arial" w:cs="Arial" w:eastAsia="Arial" w:hAnsi="Arial"/>
                <w:sz w:val="16"/>
                <w:szCs w:val="16"/>
                <w:color w:val="auto"/>
              </w:rPr>
              <w:t>Foreign exchange (gain) loss</w:t>
            </w:r>
          </w:p>
        </w:tc>
        <w:tc>
          <w:tcPr>
            <w:tcW w:w="3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(2,847)</w:t>
            </w:r>
          </w:p>
        </w:tc>
        <w:tc>
          <w:tcPr>
            <w:tcW w:w="16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(2,847)</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17,381</w:t>
            </w:r>
          </w:p>
        </w:tc>
        <w:tc>
          <w:tcPr>
            <w:tcW w:w="16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(921)</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16,460</w:t>
            </w:r>
          </w:p>
        </w:tc>
        <w:tc>
          <w:tcPr>
            <w:tcW w:w="0" w:type="dxa"/>
            <w:vAlign w:val="bottom"/>
          </w:tcPr>
          <w:p>
            <w:pPr>
              <w:spacing w:after="0"/>
              <w:rPr>
                <w:sz w:val="1"/>
                <w:szCs w:val="1"/>
                <w:color w:val="auto"/>
              </w:rPr>
            </w:pPr>
          </w:p>
        </w:tc>
      </w:tr>
      <w:tr>
        <w:trPr>
          <w:trHeight w:val="253"/>
        </w:trPr>
        <w:tc>
          <w:tcPr>
            <w:tcW w:w="2980" w:type="dxa"/>
            <w:vAlign w:val="bottom"/>
          </w:tcPr>
          <w:p>
            <w:pPr>
              <w:ind w:left="140"/>
              <w:spacing w:after="0"/>
              <w:rPr>
                <w:sz w:val="20"/>
                <w:szCs w:val="20"/>
                <w:color w:val="auto"/>
              </w:rPr>
            </w:pPr>
            <w:r>
              <w:rPr>
                <w:rFonts w:ascii="Arial" w:cs="Arial" w:eastAsia="Arial" w:hAnsi="Arial"/>
                <w:sz w:val="16"/>
                <w:szCs w:val="16"/>
                <w:color w:val="auto"/>
                <w:w w:val="97"/>
              </w:rPr>
              <w:t>Gain on sale of international businesses,</w:t>
            </w: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line="269" w:lineRule="exact"/>
              <w:rPr>
                <w:sz w:val="20"/>
                <w:szCs w:val="20"/>
                <w:color w:val="auto"/>
              </w:rPr>
            </w:pPr>
            <w:r>
              <w:rPr>
                <w:rFonts w:ascii="Arial" w:cs="Arial" w:eastAsia="Arial" w:hAnsi="Arial"/>
                <w:sz w:val="31"/>
                <w:szCs w:val="31"/>
                <w:color w:val="auto"/>
                <w:vertAlign w:val="subscript"/>
              </w:rPr>
              <w:t>net</w:t>
            </w:r>
            <w:r>
              <w:rPr>
                <w:rFonts w:ascii="Arial" w:cs="Arial" w:eastAsia="Arial" w:hAnsi="Arial"/>
                <w:sz w:val="11"/>
                <w:szCs w:val="11"/>
                <w:color w:val="auto"/>
              </w:rPr>
              <w:t xml:space="preserve"> (13)</w:t>
            </w: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(6,930)</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(6,930)</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2980" w:type="dxa"/>
            <w:vAlign w:val="bottom"/>
          </w:tcPr>
          <w:p>
            <w:pPr>
              <w:ind w:left="140"/>
              <w:spacing w:after="0"/>
              <w:rPr>
                <w:sz w:val="20"/>
                <w:szCs w:val="20"/>
                <w:color w:val="auto"/>
              </w:rPr>
            </w:pPr>
            <w:r>
              <w:rPr>
                <w:rFonts w:ascii="Arial" w:cs="Arial" w:eastAsia="Arial" w:hAnsi="Arial"/>
                <w:sz w:val="16"/>
                <w:szCs w:val="16"/>
                <w:color w:val="auto"/>
              </w:rPr>
              <w:t>R&amp;D milestone payments</w:t>
            </w: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9,929</w:t>
            </w:r>
          </w:p>
        </w:tc>
        <w:tc>
          <w:tcPr>
            <w:tcW w:w="160" w:type="dxa"/>
            <w:vAlign w:val="bottom"/>
          </w:tcPr>
          <w:p>
            <w:pPr>
              <w:spacing w:after="0"/>
              <w:rPr>
                <w:sz w:val="17"/>
                <w:szCs w:val="17"/>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9,929</w:t>
            </w: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2,700</w:t>
            </w:r>
          </w:p>
        </w:tc>
        <w:tc>
          <w:tcPr>
            <w:tcW w:w="160" w:type="dxa"/>
            <w:vAlign w:val="bottom"/>
          </w:tcPr>
          <w:p>
            <w:pPr>
              <w:spacing w:after="0"/>
              <w:rPr>
                <w:sz w:val="17"/>
                <w:szCs w:val="17"/>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2,700</w:t>
            </w:r>
          </w:p>
        </w:tc>
        <w:tc>
          <w:tcPr>
            <w:tcW w:w="0" w:type="dxa"/>
            <w:vAlign w:val="bottom"/>
          </w:tcPr>
          <w:p>
            <w:pPr>
              <w:spacing w:after="0"/>
              <w:rPr>
                <w:sz w:val="1"/>
                <w:szCs w:val="1"/>
                <w:color w:val="auto"/>
              </w:rPr>
            </w:pPr>
          </w:p>
        </w:tc>
      </w:tr>
      <w:tr>
        <w:trPr>
          <w:trHeight w:val="270"/>
        </w:trPr>
        <w:tc>
          <w:tcPr>
            <w:tcW w:w="2980" w:type="dxa"/>
            <w:vAlign w:val="bottom"/>
          </w:tcPr>
          <w:p>
            <w:pPr>
              <w:ind w:left="140"/>
              <w:spacing w:after="0"/>
              <w:rPr>
                <w:sz w:val="20"/>
                <w:szCs w:val="20"/>
                <w:color w:val="auto"/>
              </w:rPr>
            </w:pPr>
            <w:r>
              <w:rPr>
                <w:rFonts w:ascii="Arial" w:cs="Arial" w:eastAsia="Arial" w:hAnsi="Arial"/>
                <w:sz w:val="16"/>
                <w:szCs w:val="16"/>
                <w:color w:val="auto"/>
              </w:rPr>
              <w:t>Other</w:t>
            </w:r>
          </w:p>
        </w:tc>
        <w:tc>
          <w:tcPr>
            <w:tcW w:w="300" w:type="dxa"/>
            <w:vAlign w:val="bottom"/>
          </w:tcPr>
          <w:p>
            <w:pPr>
              <w:spacing w:after="0"/>
              <w:rPr>
                <w:sz w:val="23"/>
                <w:szCs w:val="23"/>
                <w:color w:val="auto"/>
              </w:rPr>
            </w:pPr>
          </w:p>
        </w:tc>
        <w:tc>
          <w:tcPr>
            <w:tcW w:w="1060" w:type="dxa"/>
            <w:vAlign w:val="bottom"/>
          </w:tcPr>
          <w:p>
            <w:pPr>
              <w:jc w:val="right"/>
              <w:ind w:right="19"/>
              <w:spacing w:after="0"/>
              <w:rPr>
                <w:sz w:val="20"/>
                <w:szCs w:val="20"/>
                <w:color w:val="auto"/>
              </w:rPr>
            </w:pPr>
            <w:r>
              <w:rPr>
                <w:rFonts w:ascii="Arial" w:cs="Arial" w:eastAsia="Arial" w:hAnsi="Arial"/>
                <w:sz w:val="16"/>
                <w:szCs w:val="16"/>
                <w:color w:val="auto"/>
              </w:rPr>
              <w:t>559</w:t>
            </w:r>
          </w:p>
        </w:tc>
        <w:tc>
          <w:tcPr>
            <w:tcW w:w="160" w:type="dxa"/>
            <w:vAlign w:val="bottom"/>
          </w:tcPr>
          <w:p>
            <w:pPr>
              <w:spacing w:after="0"/>
              <w:rPr>
                <w:sz w:val="23"/>
                <w:szCs w:val="23"/>
                <w:color w:val="auto"/>
              </w:rPr>
            </w:pPr>
          </w:p>
        </w:tc>
        <w:tc>
          <w:tcPr>
            <w:tcW w:w="1200" w:type="dxa"/>
            <w:vAlign w:val="bottom"/>
          </w:tcPr>
          <w:p>
            <w:pPr>
              <w:ind w:left="96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3"/>
                <w:szCs w:val="23"/>
                <w:color w:val="auto"/>
              </w:rPr>
            </w:pP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559</w:t>
            </w:r>
          </w:p>
        </w:tc>
        <w:tc>
          <w:tcPr>
            <w:tcW w:w="1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(820)</w:t>
            </w:r>
          </w:p>
        </w:tc>
        <w:tc>
          <w:tcPr>
            <w:tcW w:w="160" w:type="dxa"/>
            <w:vAlign w:val="bottom"/>
          </w:tcPr>
          <w:p>
            <w:pPr>
              <w:spacing w:after="0"/>
              <w:rPr>
                <w:sz w:val="23"/>
                <w:szCs w:val="23"/>
                <w:color w:val="auto"/>
              </w:rPr>
            </w:pPr>
          </w:p>
        </w:tc>
        <w:tc>
          <w:tcPr>
            <w:tcW w:w="1220" w:type="dxa"/>
            <w:vAlign w:val="bottom"/>
          </w:tcPr>
          <w:p>
            <w:pPr>
              <w:jc w:val="right"/>
              <w:ind w:right="19"/>
              <w:spacing w:after="0"/>
              <w:rPr>
                <w:sz w:val="20"/>
                <w:szCs w:val="20"/>
                <w:color w:val="auto"/>
              </w:rPr>
            </w:pPr>
            <w:r>
              <w:rPr>
                <w:rFonts w:ascii="Arial" w:cs="Arial" w:eastAsia="Arial" w:hAnsi="Arial"/>
                <w:sz w:val="16"/>
                <w:szCs w:val="16"/>
                <w:color w:val="auto"/>
              </w:rPr>
              <w:t>653</w:t>
            </w:r>
          </w:p>
        </w:tc>
        <w:tc>
          <w:tcPr>
            <w:tcW w:w="200" w:type="dxa"/>
            <w:vAlign w:val="bottom"/>
          </w:tcPr>
          <w:p>
            <w:pPr>
              <w:spacing w:after="0"/>
              <w:rPr>
                <w:sz w:val="23"/>
                <w:szCs w:val="23"/>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(167)</w:t>
            </w:r>
          </w:p>
        </w:tc>
        <w:tc>
          <w:tcPr>
            <w:tcW w:w="0" w:type="dxa"/>
            <w:vAlign w:val="bottom"/>
          </w:tcPr>
          <w:p>
            <w:pPr>
              <w:spacing w:after="0"/>
              <w:rPr>
                <w:sz w:val="1"/>
                <w:szCs w:val="1"/>
                <w:color w:val="auto"/>
              </w:rPr>
            </w:pPr>
          </w:p>
        </w:tc>
      </w:tr>
      <w:tr>
        <w:trPr>
          <w:trHeight w:val="33"/>
        </w:trPr>
        <w:tc>
          <w:tcPr>
            <w:tcW w:w="298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2980" w:type="dxa"/>
            <w:vAlign w:val="bottom"/>
          </w:tcPr>
          <w:p>
            <w:pPr>
              <w:spacing w:after="0"/>
              <w:rPr>
                <w:sz w:val="20"/>
                <w:szCs w:val="20"/>
                <w:color w:val="auto"/>
              </w:rPr>
            </w:pPr>
            <w:r>
              <w:rPr>
                <w:rFonts w:ascii="Arial" w:cs="Arial" w:eastAsia="Arial" w:hAnsi="Arial"/>
                <w:sz w:val="16"/>
                <w:szCs w:val="16"/>
                <w:b w:val="1"/>
                <w:bCs w:val="1"/>
                <w:color w:val="auto"/>
              </w:rPr>
              <w:t>Adjusted EBITDA (Non-GAAP)</w:t>
            </w:r>
          </w:p>
        </w:tc>
        <w:tc>
          <w:tcPr>
            <w:tcW w:w="3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204,048</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ind w:left="96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204,048</w:t>
            </w:r>
          </w:p>
        </w:tc>
        <w:tc>
          <w:tcPr>
            <w:tcW w:w="100" w:type="dxa"/>
            <w:vAlign w:val="bottom"/>
          </w:tcPr>
          <w:p>
            <w:pPr>
              <w:spacing w:after="0"/>
              <w:rPr>
                <w:sz w:val="21"/>
                <w:szCs w:val="21"/>
                <w:color w:val="auto"/>
              </w:rPr>
            </w:pPr>
          </w:p>
        </w:tc>
        <w:tc>
          <w:tcPr>
            <w:tcW w:w="3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227,157</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7,345</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234,502</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95" w:lineRule="exact"/>
        <w:rPr>
          <w:sz w:val="20"/>
          <w:szCs w:val="20"/>
          <w:color w:val="auto"/>
        </w:rPr>
      </w:pPr>
    </w:p>
    <w:p>
      <w:pPr>
        <w:jc w:val="both"/>
        <w:ind w:firstLine="8"/>
        <w:spacing w:after="0" w:line="302" w:lineRule="auto"/>
        <w:tabs>
          <w:tab w:leader="none" w:pos="153"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For the three and six months ended June 30, 2019, inventory related charges primarily represent inventory obsolescence resulting from new initiatives and policies adopted with our restructuring effort. For the three and six months ended June 30, 2018, inventory related charges represents a reserve for an unfavorable supply arrangement and the amortization of the Impax inventory step-up to fair value in purchase accounting.</w:t>
      </w:r>
    </w:p>
    <w:p>
      <w:pPr>
        <w:spacing w:after="0" w:line="134" w:lineRule="exact"/>
        <w:rPr>
          <w:rFonts w:ascii="Arial" w:cs="Arial" w:eastAsia="Arial" w:hAnsi="Arial"/>
          <w:sz w:val="17"/>
          <w:szCs w:val="17"/>
          <w:color w:val="auto"/>
          <w:vertAlign w:val="superscript"/>
        </w:rPr>
      </w:pPr>
    </w:p>
    <w:p>
      <w:pPr>
        <w:jc w:val="both"/>
        <w:ind w:firstLine="8"/>
        <w:spacing w:after="0" w:line="302" w:lineRule="auto"/>
        <w:tabs>
          <w:tab w:leader="none" w:pos="153"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Acquisition and site closure expenses for the three and six months ended June 30, 2019 includes costs related to (i) plant closure and redundant employee costs and (ii) third party costs associated with the combination of Impax and related integration including legal, investment banking, accounting and information technology. For the three and six months ended June 30, 2018, acquisition and site closure expenses also includes costs associated with the Impax sale of its Middlesex, NJ and Taiwan facilities.</w:t>
      </w:r>
    </w:p>
    <w:p>
      <w:pPr>
        <w:spacing w:after="0" w:line="134" w:lineRule="exact"/>
        <w:rPr>
          <w:rFonts w:ascii="Arial" w:cs="Arial" w:eastAsia="Arial" w:hAnsi="Arial"/>
          <w:sz w:val="17"/>
          <w:szCs w:val="17"/>
          <w:color w:val="auto"/>
          <w:vertAlign w:val="superscript"/>
        </w:rPr>
      </w:pPr>
    </w:p>
    <w:p>
      <w:pPr>
        <w:ind w:firstLine="8"/>
        <w:spacing w:after="0" w:line="321" w:lineRule="auto"/>
        <w:tabs>
          <w:tab w:leader="none" w:pos="153"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Asset impairment charges for the three and six months ended June 30, 2019 are primarily associated with the write-off of in process research and development product rights and intangible asset impairment charges primarily related to products acquired in the Impax combination.</w:t>
      </w:r>
    </w:p>
    <w:p>
      <w:pPr>
        <w:spacing w:after="0" w:line="105" w:lineRule="exact"/>
        <w:rPr>
          <w:rFonts w:ascii="Arial" w:cs="Arial" w:eastAsia="Arial" w:hAnsi="Arial"/>
          <w:sz w:val="17"/>
          <w:szCs w:val="17"/>
          <w:color w:val="auto"/>
          <w:vertAlign w:val="superscript"/>
        </w:rPr>
      </w:pPr>
    </w:p>
    <w:p>
      <w:pPr>
        <w:ind w:firstLine="8"/>
        <w:spacing w:after="0" w:line="280" w:lineRule="auto"/>
        <w:tabs>
          <w:tab w:leader="none" w:pos="228" w:val="left"/>
        </w:tabs>
        <w:numPr>
          <w:ilvl w:val="0"/>
          <w:numId w:val="14"/>
        </w:numPr>
        <w:rPr>
          <w:rFonts w:ascii="Arial" w:cs="Arial" w:eastAsia="Arial" w:hAnsi="Arial"/>
          <w:sz w:val="18"/>
          <w:szCs w:val="18"/>
          <w:color w:val="auto"/>
          <w:vertAlign w:val="superscript"/>
        </w:rPr>
      </w:pPr>
      <w:r>
        <w:rPr>
          <w:rFonts w:ascii="Arial" w:cs="Arial" w:eastAsia="Arial" w:hAnsi="Arial"/>
          <w:sz w:val="14"/>
          <w:szCs w:val="14"/>
          <w:color w:val="auto"/>
        </w:rPr>
        <w:t>Restructuring and other charges includes employee separation costs associated with the consolidation of sites, as well as the write-off of property, plant, and equipment at those sites.</w:t>
      </w:r>
    </w:p>
    <w:p>
      <w:pPr>
        <w:spacing w:after="0" w:line="137" w:lineRule="exact"/>
        <w:rPr>
          <w:rFonts w:ascii="Arial" w:cs="Arial" w:eastAsia="Arial" w:hAnsi="Arial"/>
          <w:sz w:val="18"/>
          <w:szCs w:val="18"/>
          <w:color w:val="auto"/>
          <w:vertAlign w:val="superscript"/>
        </w:rPr>
      </w:pPr>
    </w:p>
    <w:p>
      <w:pPr>
        <w:ind w:left="220" w:hanging="212"/>
        <w:spacing w:after="0"/>
        <w:tabs>
          <w:tab w:leader="none" w:pos="220"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Amortization of upfront payment represents the amortization of the upfront payment made to Lannett in connection with our Transition Agreement with Levothyroxine.</w:t>
      </w:r>
    </w:p>
    <w:p>
      <w:pPr>
        <w:spacing w:after="0" w:line="227" w:lineRule="exact"/>
        <w:rPr>
          <w:rFonts w:ascii="Arial" w:cs="Arial" w:eastAsia="Arial" w:hAnsi="Arial"/>
          <w:sz w:val="17"/>
          <w:szCs w:val="17"/>
          <w:color w:val="auto"/>
          <w:vertAlign w:val="superscript"/>
        </w:rPr>
      </w:pPr>
    </w:p>
    <w:p>
      <w:pPr>
        <w:ind w:left="5320"/>
        <w:spacing w:after="0"/>
        <w:rPr>
          <w:rFonts w:ascii="Arial" w:cs="Arial" w:eastAsia="Arial" w:hAnsi="Arial"/>
          <w:sz w:val="17"/>
          <w:szCs w:val="17"/>
          <w:color w:val="auto"/>
          <w:vertAlign w:val="superscript"/>
        </w:rPr>
      </w:pPr>
      <w:r>
        <w:rPr>
          <w:rFonts w:ascii="Arial" w:cs="Arial" w:eastAsia="Arial" w:hAnsi="Arial"/>
          <w:sz w:val="14"/>
          <w:szCs w:val="14"/>
          <w:color w:val="auto"/>
        </w:rPr>
        <w:t>Page 22 of 23</w:t>
      </w:r>
    </w:p>
    <w:p>
      <w:pPr>
        <w:sectPr>
          <w:pgSz w:w="11900" w:h="16838" w:orient="portrait"/>
          <w:cols w:equalWidth="0" w:num="1">
            <w:col w:w="11420"/>
          </w:cols>
          <w:pgMar w:left="240" w:top="580" w:right="239" w:bottom="1440" w:gutter="0" w:footer="0" w:header="0"/>
        </w:sectPr>
      </w:pPr>
    </w:p>
    <w:bookmarkStart w:id="25" w:name="page26"/>
    <w:bookmarkEnd w:id="25"/>
    <w:p>
      <w:pPr>
        <w:ind w:left="-8" w:firstLine="8"/>
        <w:spacing w:after="0" w:line="246" w:lineRule="auto"/>
        <w:tabs>
          <w:tab w:leader="none" w:pos="229" w:val="left"/>
        </w:tabs>
        <w:numPr>
          <w:ilvl w:val="0"/>
          <w:numId w:val="15"/>
        </w:numPr>
        <w:rPr>
          <w:rFonts w:ascii="Arial" w:cs="Arial" w:eastAsia="Arial" w:hAnsi="Arial"/>
          <w:sz w:val="19"/>
          <w:szCs w:val="19"/>
          <w:color w:val="auto"/>
          <w:vertAlign w:val="superscript"/>
        </w:rPr>
      </w:pPr>
      <w:r>
        <w:rPr>
          <w:rFonts w:ascii="Arial" w:cs="Arial" w:eastAsia="Arial" w:hAnsi="Arial"/>
          <w:sz w:val="15"/>
          <w:szCs w:val="15"/>
          <w:color w:val="auto"/>
        </w:rPr>
        <w:t>Litigation, settlements and related charges represents an Impax litigation settlement charge for the three and six months ended June 30, 2018 related to a settlement of claims with the plaintiffs in the class action antitrust suits related to Solodyn®.</w:t>
      </w:r>
    </w:p>
    <w:p>
      <w:pPr>
        <w:spacing w:after="0" w:line="166" w:lineRule="exact"/>
        <w:rPr>
          <w:rFonts w:ascii="Arial" w:cs="Arial" w:eastAsia="Arial" w:hAnsi="Arial"/>
          <w:sz w:val="19"/>
          <w:szCs w:val="19"/>
          <w:color w:val="auto"/>
          <w:vertAlign w:val="superscript"/>
        </w:rPr>
      </w:pPr>
    </w:p>
    <w:p>
      <w:pPr>
        <w:jc w:val="both"/>
        <w:ind w:left="-8" w:firstLine="8"/>
        <w:spacing w:after="0" w:line="277" w:lineRule="auto"/>
        <w:tabs>
          <w:tab w:leader="none" w:pos="218" w:val="left"/>
        </w:tabs>
        <w:numPr>
          <w:ilvl w:val="0"/>
          <w:numId w:val="15"/>
        </w:numPr>
        <w:rPr>
          <w:rFonts w:ascii="Arial" w:cs="Arial" w:eastAsia="Arial" w:hAnsi="Arial"/>
          <w:sz w:val="18"/>
          <w:szCs w:val="18"/>
          <w:color w:val="auto"/>
          <w:vertAlign w:val="superscript"/>
        </w:rPr>
      </w:pPr>
      <w:r>
        <w:rPr>
          <w:rFonts w:ascii="Arial" w:cs="Arial" w:eastAsia="Arial" w:hAnsi="Arial"/>
          <w:sz w:val="14"/>
          <w:szCs w:val="14"/>
          <w:color w:val="auto"/>
        </w:rPr>
        <w:t>For the three months ended June 30, 2019, loss on the sale of international business represents the loss from the sale of our Amneal Deutschland GmbH subsidiary, which comprised substantially all of the Company's operations in Germany. For the six months ended June 30, 2019, gain on the sale of international businesses, net represents the gain from the sale of our Creo Pharma Holding Limited subsidiary, which comprised substantially all of the Company's operations in the United Kingdom partially offset by the loss from the sale of our Amneal Deutschland GmbH subsidiary, which comprised substantially all of the Company's operations in Germany.</w:t>
      </w:r>
    </w:p>
    <w:p>
      <w:pPr>
        <w:spacing w:after="0" w:line="383" w:lineRule="exact"/>
        <w:rPr>
          <w:sz w:val="20"/>
          <w:szCs w:val="20"/>
          <w:color w:val="auto"/>
        </w:rPr>
      </w:pPr>
    </w:p>
    <w:p>
      <w:pPr>
        <w:jc w:val="center"/>
        <w:ind w:right="-11"/>
        <w:spacing w:after="0"/>
        <w:rPr>
          <w:sz w:val="20"/>
          <w:szCs w:val="20"/>
          <w:color w:val="auto"/>
        </w:rPr>
      </w:pPr>
      <w:r>
        <w:rPr>
          <w:rFonts w:ascii="Arial" w:cs="Arial" w:eastAsia="Arial" w:hAnsi="Arial"/>
          <w:sz w:val="14"/>
          <w:szCs w:val="14"/>
          <w:color w:val="auto"/>
        </w:rPr>
        <w:t>Page 23 of 23</w:t>
      </w:r>
    </w:p>
    <w:sectPr>
      <w:pgSz w:w="11900" w:h="16838" w:orient="portrait"/>
      <w:cols w:equalWidth="0" w:num="1">
        <w:col w:w="11412"/>
      </w:cols>
      <w:pgMar w:left="248" w:top="56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5E146"/>
    <w:multiLevelType w:val="hybridMultilevel"/>
    <w:lvl w:ilvl="0">
      <w:lvlJc w:val="left"/>
      <w:lvlText w:val="☐"/>
      <w:numFmt w:val="bullet"/>
      <w:start w:val="1"/>
    </w:lvl>
  </w:abstractNum>
  <w:abstractNum w:abstractNumId="1">
    <w:nsid w:val="515F007C"/>
    <w:multiLevelType w:val="hybridMultilevel"/>
    <w:lvl w:ilvl="0">
      <w:lvlJc w:val="left"/>
      <w:lvlText w:val="(%1)"/>
      <w:numFmt w:val="lowerLetter"/>
      <w:start w:val="4"/>
    </w:lvl>
  </w:abstractNum>
  <w:abstractNum w:abstractNumId="2">
    <w:nsid w:val="5BD062C2"/>
    <w:multiLevelType w:val="hybridMultilevel"/>
    <w:lvl w:ilvl="0">
      <w:lvlJc w:val="left"/>
      <w:lvlText w:val="(%1)"/>
      <w:numFmt w:val="decimal"/>
      <w:start w:val="1"/>
    </w:lvl>
  </w:abstractNum>
  <w:abstractNum w:abstractNumId="3">
    <w:nsid w:val="12200854"/>
    <w:multiLevelType w:val="hybridMultilevel"/>
    <w:lvl w:ilvl="0">
      <w:lvlJc w:val="left"/>
      <w:lvlText w:val="(%1)"/>
      <w:numFmt w:val="decimal"/>
      <w:start w:val="1"/>
    </w:lvl>
  </w:abstractNum>
  <w:abstractNum w:abstractNumId="4">
    <w:nsid w:val="4DB127F8"/>
    <w:multiLevelType w:val="hybridMultilevel"/>
    <w:lvl w:ilvl="0">
      <w:lvlJc w:val="left"/>
      <w:lvlText w:val="(%1)"/>
      <w:numFmt w:val="decimal"/>
      <w:start w:val="4"/>
    </w:lvl>
  </w:abstractNum>
  <w:abstractNum w:abstractNumId="5">
    <w:nsid w:val="216231B"/>
    <w:multiLevelType w:val="hybridMultilevel"/>
    <w:lvl w:ilvl="0">
      <w:lvlJc w:val="left"/>
      <w:lvlText w:val="(%1)"/>
      <w:numFmt w:val="decimal"/>
      <w:start w:val="4"/>
    </w:lvl>
  </w:abstractNum>
  <w:abstractNum w:abstractNumId="6">
    <w:nsid w:val="1F16E9E8"/>
    <w:multiLevelType w:val="hybridMultilevel"/>
    <w:lvl w:ilvl="0">
      <w:lvlJc w:val="left"/>
      <w:lvlText w:val="(%1)"/>
      <w:numFmt w:val="decimal"/>
      <w:start w:val="1"/>
    </w:lvl>
  </w:abstractNum>
  <w:abstractNum w:abstractNumId="7">
    <w:nsid w:val="1190CDE7"/>
    <w:multiLevelType w:val="hybridMultilevel"/>
    <w:lvl w:ilvl="0">
      <w:lvlJc w:val="left"/>
      <w:lvlText w:val="(%1)"/>
      <w:numFmt w:val="decimal"/>
      <w:start w:val="4"/>
    </w:lvl>
  </w:abstractNum>
  <w:abstractNum w:abstractNumId="8">
    <w:nsid w:val="66EF438D"/>
    <w:multiLevelType w:val="hybridMultilevel"/>
    <w:lvl w:ilvl="0">
      <w:lvlJc w:val="left"/>
      <w:lvlText w:val="(%1)"/>
      <w:numFmt w:val="decimal"/>
      <w:start w:val="4"/>
    </w:lvl>
  </w:abstractNum>
  <w:abstractNum w:abstractNumId="9">
    <w:nsid w:val="140E0F76"/>
    <w:multiLevelType w:val="hybridMultilevel"/>
    <w:lvl w:ilvl="0">
      <w:lvlJc w:val="left"/>
      <w:lvlText w:val="(%1)"/>
      <w:numFmt w:val="decimal"/>
      <w:start w:val="1"/>
    </w:lvl>
  </w:abstractNum>
  <w:abstractNum w:abstractNumId="10">
    <w:nsid w:val="3352255A"/>
    <w:multiLevelType w:val="hybridMultilevel"/>
    <w:lvl w:ilvl="0">
      <w:lvlJc w:val="left"/>
      <w:lvlText w:val="(%1)"/>
      <w:numFmt w:val="decimal"/>
      <w:start w:val="6"/>
    </w:lvl>
  </w:abstractNum>
  <w:abstractNum w:abstractNumId="11">
    <w:nsid w:val="109CF92E"/>
    <w:multiLevelType w:val="hybridMultilevel"/>
    <w:lvl w:ilvl="0">
      <w:lvlJc w:val="left"/>
      <w:lvlText w:val="(%1)"/>
      <w:numFmt w:val="decimal"/>
      <w:start w:val="14"/>
    </w:lvl>
  </w:abstractNum>
  <w:abstractNum w:abstractNumId="12">
    <w:nsid w:val="DED7263"/>
    <w:multiLevelType w:val="hybridMultilevel"/>
    <w:lvl w:ilvl="0">
      <w:lvlJc w:val="left"/>
      <w:lvlText w:val="(%1)"/>
      <w:numFmt w:val="decimal"/>
      <w:start w:val="15"/>
    </w:lvl>
  </w:abstractNum>
  <w:abstractNum w:abstractNumId="13">
    <w:nsid w:val="7FDCC233"/>
    <w:multiLevelType w:val="hybridMultilevel"/>
    <w:lvl w:ilvl="0">
      <w:lvlJc w:val="left"/>
      <w:lvlText w:val="(%1)"/>
      <w:numFmt w:val="decimal"/>
      <w:start w:val="7"/>
    </w:lvl>
  </w:abstractNum>
  <w:abstractNum w:abstractNumId="14">
    <w:nsid w:val="1BEFD79F"/>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2020-02-27T08:05:34Z</dcterms:created>
  <dcterms:modified xsi:type="dcterms:W3CDTF">2020-02-27T08:05:34Z</dcterms:modified>
</cp:coreProperties>
</file>