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Courier New" w:cs="Courier New" w:eastAsia="Courier New" w:hAnsi="Courier New"/>
          <w:sz w:val="18"/>
          <w:szCs w:val="18"/>
          <w:color w:val="auto"/>
        </w:rPr>
        <w:t>UNITED STATES</w:t>
      </w:r>
    </w:p>
    <w:p>
      <w:pPr>
        <w:spacing w:after="0" w:line="238" w:lineRule="auto"/>
        <w:rPr>
          <w:sz w:val="20"/>
          <w:szCs w:val="20"/>
          <w:color w:val="auto"/>
        </w:rPr>
      </w:pPr>
      <w:r>
        <w:rPr>
          <w:rFonts w:ascii="Courier New" w:cs="Courier New" w:eastAsia="Courier New" w:hAnsi="Courier New"/>
          <w:sz w:val="18"/>
          <w:szCs w:val="18"/>
          <w:color w:val="auto"/>
        </w:rPr>
        <w:t>SECURITIES AND EXCHANGE COMMISSION</w:t>
      </w:r>
    </w:p>
    <w:p>
      <w:pPr>
        <w:spacing w:after="0"/>
        <w:rPr>
          <w:sz w:val="20"/>
          <w:szCs w:val="20"/>
          <w:color w:val="auto"/>
        </w:rPr>
      </w:pPr>
      <w:r>
        <w:rPr>
          <w:rFonts w:ascii="Courier New" w:cs="Courier New" w:eastAsia="Courier New" w:hAnsi="Courier New"/>
          <w:sz w:val="18"/>
          <w:szCs w:val="18"/>
          <w:color w:val="auto"/>
        </w:rPr>
        <w:t>Washington, D.C. 20549</w:t>
      </w:r>
    </w:p>
    <w:p>
      <w:pPr>
        <w:spacing w:after="0" w:line="237" w:lineRule="auto"/>
        <w:rPr>
          <w:sz w:val="20"/>
          <w:szCs w:val="20"/>
          <w:color w:val="auto"/>
        </w:rPr>
      </w:pPr>
      <w:r>
        <w:rPr>
          <w:rFonts w:ascii="Courier New" w:cs="Courier New" w:eastAsia="Courier New" w:hAnsi="Courier New"/>
          <w:sz w:val="18"/>
          <w:szCs w:val="18"/>
          <w:color w:val="auto"/>
        </w:rPr>
        <w:t>SCHEDULE 13G</w:t>
      </w:r>
    </w:p>
    <w:p>
      <w:pPr>
        <w:spacing w:after="0" w:line="20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Under the Securities Exchange Act of 1934</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(Amendment No. 1)</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Amneal Pharmaceuticals, Inc.</w:t>
      </w:r>
    </w:p>
    <w:p>
      <w:pPr>
        <w:spacing w:after="0" w:line="238" w:lineRule="auto"/>
        <w:rPr>
          <w:sz w:val="20"/>
          <w:szCs w:val="20"/>
          <w:color w:val="auto"/>
        </w:rPr>
      </w:pPr>
      <w:r>
        <w:rPr>
          <w:rFonts w:ascii="Courier New" w:cs="Courier New" w:eastAsia="Courier New" w:hAnsi="Courier New"/>
          <w:sz w:val="18"/>
          <w:szCs w:val="18"/>
          <w:color w:val="auto"/>
        </w:rPr>
        <w:t>(Name of Issuer)</w:t>
      </w:r>
    </w:p>
    <w:p>
      <w:pPr>
        <w:spacing w:after="0" w:line="20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COMMON STOCK</w:t>
      </w:r>
    </w:p>
    <w:p>
      <w:pPr>
        <w:spacing w:after="0" w:line="238" w:lineRule="auto"/>
        <w:rPr>
          <w:sz w:val="20"/>
          <w:szCs w:val="20"/>
          <w:color w:val="auto"/>
        </w:rPr>
      </w:pPr>
      <w:r>
        <w:rPr>
          <w:rFonts w:ascii="Courier New" w:cs="Courier New" w:eastAsia="Courier New" w:hAnsi="Courier New"/>
          <w:sz w:val="18"/>
          <w:szCs w:val="18"/>
          <w:color w:val="auto"/>
        </w:rPr>
        <w:t>(Title of Class of Securities)</w:t>
      </w:r>
    </w:p>
    <w:p>
      <w:pPr>
        <w:spacing w:after="0" w:line="20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03168L105</w:t>
      </w:r>
    </w:p>
    <w:p>
      <w:pPr>
        <w:spacing w:after="0" w:line="238" w:lineRule="auto"/>
        <w:rPr>
          <w:sz w:val="20"/>
          <w:szCs w:val="20"/>
          <w:color w:val="auto"/>
        </w:rPr>
      </w:pPr>
      <w:r>
        <w:rPr>
          <w:rFonts w:ascii="Courier New" w:cs="Courier New" w:eastAsia="Courier New" w:hAnsi="Courier New"/>
          <w:sz w:val="18"/>
          <w:szCs w:val="18"/>
          <w:color w:val="auto"/>
        </w:rPr>
        <w:t>(CUSIP NUMBER)</w:t>
      </w:r>
    </w:p>
    <w:p>
      <w:pPr>
        <w:spacing w:after="0" w:line="20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December 31, 2018</w:t>
      </w:r>
    </w:p>
    <w:p>
      <w:pPr>
        <w:spacing w:after="0" w:line="238" w:lineRule="auto"/>
        <w:rPr>
          <w:sz w:val="20"/>
          <w:szCs w:val="20"/>
          <w:color w:val="auto"/>
        </w:rPr>
      </w:pPr>
      <w:r>
        <w:rPr>
          <w:rFonts w:ascii="Courier New" w:cs="Courier New" w:eastAsia="Courier New" w:hAnsi="Courier New"/>
          <w:sz w:val="18"/>
          <w:szCs w:val="18"/>
          <w:color w:val="auto"/>
        </w:rPr>
        <w:t>(Date of Event which Requires Filing of Statement)</w:t>
      </w:r>
    </w:p>
    <w:p>
      <w:pPr>
        <w:spacing w:after="0" w:line="20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Check the appropriate box to designate the Rule pursuant to which this</w:t>
      </w:r>
    </w:p>
    <w:p>
      <w:pPr>
        <w:spacing w:after="0" w:line="238" w:lineRule="auto"/>
        <w:rPr>
          <w:sz w:val="20"/>
          <w:szCs w:val="20"/>
          <w:color w:val="auto"/>
        </w:rPr>
      </w:pPr>
      <w:r>
        <w:rPr>
          <w:rFonts w:ascii="Courier New" w:cs="Courier New" w:eastAsia="Courier New" w:hAnsi="Courier New"/>
          <w:sz w:val="18"/>
          <w:szCs w:val="18"/>
          <w:color w:val="auto"/>
        </w:rPr>
        <w:t>Schedule is filed:</w:t>
      </w:r>
    </w:p>
    <w:p>
      <w:pPr>
        <w:spacing w:after="0" w:line="5" w:lineRule="exact"/>
        <w:rPr>
          <w:sz w:val="24"/>
          <w:szCs w:val="24"/>
          <w:color w:val="auto"/>
        </w:rPr>
      </w:pPr>
    </w:p>
    <w:p>
      <w:pPr>
        <w:jc w:val="both"/>
        <w:ind w:left="540" w:right="8099" w:hanging="532"/>
        <w:spacing w:after="0" w:line="279" w:lineRule="auto"/>
        <w:tabs>
          <w:tab w:leader="none" w:pos="540" w:val="left"/>
        </w:tabs>
        <w:numPr>
          <w:ilvl w:val="0"/>
          <w:numId w:val="1"/>
        </w:numPr>
        <w:rPr>
          <w:rFonts w:ascii="Courier New" w:cs="Courier New" w:eastAsia="Courier New" w:hAnsi="Courier New"/>
          <w:sz w:val="16"/>
          <w:szCs w:val="16"/>
          <w:color w:val="auto"/>
        </w:rPr>
      </w:pPr>
      <w:r>
        <w:rPr>
          <w:rFonts w:ascii="Courier New" w:cs="Courier New" w:eastAsia="Courier New" w:hAnsi="Courier New"/>
          <w:sz w:val="16"/>
          <w:szCs w:val="16"/>
          <w:color w:val="auto"/>
        </w:rPr>
        <w:t>Rule 13d - 1(b) Rule 13d - 1(c) Rule 13d - 1(d)</w:t>
      </w:r>
    </w:p>
    <w:p>
      <w:pPr>
        <w:spacing w:after="0" w:line="173" w:lineRule="exact"/>
        <w:rPr>
          <w:sz w:val="24"/>
          <w:szCs w:val="24"/>
          <w:color w:val="auto"/>
        </w:rPr>
      </w:pPr>
    </w:p>
    <w:p>
      <w:pPr>
        <w:ind w:left="320" w:hanging="312"/>
        <w:spacing w:after="0"/>
        <w:tabs>
          <w:tab w:leader="none" w:pos="3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Name of Reporting Person</w:t>
      </w:r>
    </w:p>
    <w:p>
      <w:pPr>
        <w:ind w:left="320"/>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T. ROWE PRICE ASSOCIATES, INC.</w:t>
      </w:r>
    </w:p>
    <w:p>
      <w:pPr>
        <w:ind w:left="320"/>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52-0556948</w:t>
      </w:r>
    </w:p>
    <w:p>
      <w:pPr>
        <w:spacing w:after="0" w:line="201" w:lineRule="exact"/>
        <w:rPr>
          <w:rFonts w:ascii="Courier New" w:cs="Courier New" w:eastAsia="Courier New" w:hAnsi="Courier New"/>
          <w:sz w:val="18"/>
          <w:szCs w:val="18"/>
          <w:color w:val="auto"/>
        </w:rPr>
      </w:pPr>
    </w:p>
    <w:p>
      <w:pPr>
        <w:ind w:left="320" w:hanging="312"/>
        <w:spacing w:after="0"/>
        <w:tabs>
          <w:tab w:leader="none" w:pos="3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the Appropriate Box if a Member of a Group</w:t>
      </w:r>
    </w:p>
    <w:p>
      <w:pPr>
        <w:ind w:left="320"/>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NOT APPLICABLE</w:t>
      </w:r>
    </w:p>
    <w:p>
      <w:pPr>
        <w:spacing w:after="0" w:line="201" w:lineRule="exact"/>
        <w:rPr>
          <w:rFonts w:ascii="Courier New" w:cs="Courier New" w:eastAsia="Courier New" w:hAnsi="Courier New"/>
          <w:sz w:val="18"/>
          <w:szCs w:val="18"/>
          <w:color w:val="auto"/>
        </w:rPr>
      </w:pPr>
    </w:p>
    <w:p>
      <w:pPr>
        <w:ind w:left="320" w:hanging="312"/>
        <w:spacing w:after="0"/>
        <w:tabs>
          <w:tab w:leader="none" w:pos="3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 Use Only</w:t>
      </w:r>
    </w:p>
    <w:p>
      <w:pPr>
        <w:spacing w:after="0" w:line="206" w:lineRule="exact"/>
        <w:rPr>
          <w:rFonts w:ascii="Courier New" w:cs="Courier New" w:eastAsia="Courier New" w:hAnsi="Courier New"/>
          <w:sz w:val="18"/>
          <w:szCs w:val="18"/>
          <w:color w:val="auto"/>
        </w:rPr>
      </w:pPr>
    </w:p>
    <w:p>
      <w:pPr>
        <w:ind w:left="320" w:right="6099" w:hanging="312"/>
        <w:spacing w:after="0" w:line="235" w:lineRule="auto"/>
        <w:tabs>
          <w:tab w:leader="none" w:pos="3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or Place of Organization Maryland</w:t>
      </w:r>
    </w:p>
    <w:p>
      <w:pPr>
        <w:spacing w:after="0" w:line="203"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Number of Shares Beneficially Owned by Each Reporting Person With</w:t>
      </w:r>
    </w:p>
    <w:p>
      <w:pPr>
        <w:spacing w:after="0" w:line="201" w:lineRule="exact"/>
        <w:rPr>
          <w:sz w:val="24"/>
          <w:szCs w:val="24"/>
          <w:color w:val="auto"/>
        </w:rPr>
      </w:pPr>
    </w:p>
    <w:tbl>
      <w:tblPr>
        <w:tblLayout w:type="fixed"/>
        <w:tblInd w:w="0" w:type="dxa"/>
        <w:tblCellMar>
          <w:top w:w="0" w:type="dxa"/>
          <w:left w:w="0" w:type="dxa"/>
          <w:bottom w:w="0" w:type="dxa"/>
          <w:right w:w="0" w:type="dxa"/>
        </w:tblCellMar>
      </w:tblPr>
      <w:tr>
        <w:trPr>
          <w:trHeight w:val="204"/>
        </w:trPr>
        <w:tc>
          <w:tcPr>
            <w:tcW w:w="280" w:type="dxa"/>
            <w:vAlign w:val="bottom"/>
          </w:tcPr>
          <w:p>
            <w:pPr>
              <w:jc w:val="right"/>
              <w:spacing w:after="0"/>
              <w:rPr>
                <w:sz w:val="20"/>
                <w:szCs w:val="20"/>
                <w:color w:val="auto"/>
              </w:rPr>
            </w:pPr>
            <w:r>
              <w:rPr>
                <w:rFonts w:ascii="Courier New" w:cs="Courier New" w:eastAsia="Courier New" w:hAnsi="Courier New"/>
                <w:sz w:val="18"/>
                <w:szCs w:val="18"/>
                <w:color w:val="auto"/>
                <w:w w:val="92"/>
              </w:rPr>
              <w:t>5.</w:t>
            </w:r>
          </w:p>
        </w:tc>
        <w:tc>
          <w:tcPr>
            <w:tcW w:w="520" w:type="dxa"/>
            <w:vAlign w:val="bottom"/>
          </w:tcPr>
          <w:p>
            <w:pPr>
              <w:ind w:left="40"/>
              <w:spacing w:after="0"/>
              <w:rPr>
                <w:sz w:val="20"/>
                <w:szCs w:val="20"/>
                <w:color w:val="auto"/>
              </w:rPr>
            </w:pPr>
            <w:r>
              <w:rPr>
                <w:rFonts w:ascii="Courier New" w:cs="Courier New" w:eastAsia="Courier New" w:hAnsi="Courier New"/>
                <w:sz w:val="18"/>
                <w:szCs w:val="18"/>
                <w:color w:val="auto"/>
              </w:rPr>
              <w:t>Sole</w:t>
            </w:r>
          </w:p>
        </w:tc>
        <w:tc>
          <w:tcPr>
            <w:tcW w:w="2220" w:type="dxa"/>
            <w:vAlign w:val="bottom"/>
          </w:tcPr>
          <w:p>
            <w:pPr>
              <w:ind w:left="60"/>
              <w:spacing w:after="0"/>
              <w:rPr>
                <w:sz w:val="20"/>
                <w:szCs w:val="20"/>
                <w:color w:val="auto"/>
              </w:rPr>
            </w:pPr>
            <w:r>
              <w:rPr>
                <w:rFonts w:ascii="Courier New" w:cs="Courier New" w:eastAsia="Courier New" w:hAnsi="Courier New"/>
                <w:sz w:val="18"/>
                <w:szCs w:val="18"/>
                <w:color w:val="auto"/>
              </w:rPr>
              <w:t>Voting Power*</w:t>
            </w:r>
          </w:p>
        </w:tc>
        <w:tc>
          <w:tcPr>
            <w:tcW w:w="1200" w:type="dxa"/>
            <w:vAlign w:val="bottom"/>
          </w:tcPr>
          <w:p>
            <w:pPr>
              <w:ind w:left="140"/>
              <w:spacing w:after="0"/>
              <w:rPr>
                <w:sz w:val="20"/>
                <w:szCs w:val="20"/>
                <w:color w:val="auto"/>
              </w:rPr>
            </w:pPr>
            <w:r>
              <w:rPr>
                <w:rFonts w:ascii="Courier New" w:cs="Courier New" w:eastAsia="Courier New" w:hAnsi="Courier New"/>
                <w:sz w:val="18"/>
                <w:szCs w:val="18"/>
                <w:color w:val="auto"/>
              </w:rPr>
              <w:t>6,076,397</w:t>
            </w:r>
          </w:p>
        </w:tc>
      </w:tr>
      <w:tr>
        <w:trPr>
          <w:trHeight w:val="405"/>
        </w:trPr>
        <w:tc>
          <w:tcPr>
            <w:tcW w:w="280" w:type="dxa"/>
            <w:vAlign w:val="bottom"/>
          </w:tcPr>
          <w:p>
            <w:pPr>
              <w:jc w:val="right"/>
              <w:spacing w:after="0"/>
              <w:rPr>
                <w:sz w:val="20"/>
                <w:szCs w:val="20"/>
                <w:color w:val="auto"/>
              </w:rPr>
            </w:pPr>
            <w:r>
              <w:rPr>
                <w:rFonts w:ascii="Courier New" w:cs="Courier New" w:eastAsia="Courier New" w:hAnsi="Courier New"/>
                <w:sz w:val="18"/>
                <w:szCs w:val="18"/>
                <w:color w:val="auto"/>
                <w:w w:val="92"/>
              </w:rPr>
              <w:t>6.</w:t>
            </w:r>
          </w:p>
        </w:tc>
        <w:tc>
          <w:tcPr>
            <w:tcW w:w="2740" w:type="dxa"/>
            <w:vAlign w:val="bottom"/>
            <w:gridSpan w:val="2"/>
          </w:tcPr>
          <w:p>
            <w:pPr>
              <w:ind w:left="40"/>
              <w:spacing w:after="0"/>
              <w:rPr>
                <w:sz w:val="20"/>
                <w:szCs w:val="20"/>
                <w:color w:val="auto"/>
              </w:rPr>
            </w:pPr>
            <w:r>
              <w:rPr>
                <w:rFonts w:ascii="Courier New" w:cs="Courier New" w:eastAsia="Courier New" w:hAnsi="Courier New"/>
                <w:sz w:val="18"/>
                <w:szCs w:val="18"/>
                <w:color w:val="auto"/>
              </w:rPr>
              <w:t>Shared Voting Power*</w:t>
            </w:r>
          </w:p>
        </w:tc>
        <w:tc>
          <w:tcPr>
            <w:tcW w:w="1200" w:type="dxa"/>
            <w:vAlign w:val="bottom"/>
          </w:tcPr>
          <w:p>
            <w:pPr>
              <w:ind w:left="140"/>
              <w:spacing w:after="0"/>
              <w:rPr>
                <w:sz w:val="20"/>
                <w:szCs w:val="20"/>
                <w:color w:val="auto"/>
              </w:rPr>
            </w:pPr>
            <w:r>
              <w:rPr>
                <w:rFonts w:ascii="Courier New" w:cs="Courier New" w:eastAsia="Courier New" w:hAnsi="Courier New"/>
                <w:sz w:val="18"/>
                <w:szCs w:val="18"/>
                <w:color w:val="auto"/>
              </w:rPr>
              <w:t>0</w:t>
            </w:r>
          </w:p>
        </w:tc>
      </w:tr>
      <w:tr>
        <w:trPr>
          <w:trHeight w:val="405"/>
        </w:trPr>
        <w:tc>
          <w:tcPr>
            <w:tcW w:w="280" w:type="dxa"/>
            <w:vAlign w:val="bottom"/>
          </w:tcPr>
          <w:p>
            <w:pPr>
              <w:jc w:val="right"/>
              <w:spacing w:after="0"/>
              <w:rPr>
                <w:sz w:val="20"/>
                <w:szCs w:val="20"/>
                <w:color w:val="auto"/>
              </w:rPr>
            </w:pPr>
            <w:r>
              <w:rPr>
                <w:rFonts w:ascii="Courier New" w:cs="Courier New" w:eastAsia="Courier New" w:hAnsi="Courier New"/>
                <w:sz w:val="18"/>
                <w:szCs w:val="18"/>
                <w:color w:val="auto"/>
                <w:w w:val="92"/>
              </w:rPr>
              <w:t>7.</w:t>
            </w:r>
          </w:p>
        </w:tc>
        <w:tc>
          <w:tcPr>
            <w:tcW w:w="520" w:type="dxa"/>
            <w:vAlign w:val="bottom"/>
          </w:tcPr>
          <w:p>
            <w:pPr>
              <w:ind w:left="40"/>
              <w:spacing w:after="0"/>
              <w:rPr>
                <w:sz w:val="20"/>
                <w:szCs w:val="20"/>
                <w:color w:val="auto"/>
              </w:rPr>
            </w:pPr>
            <w:r>
              <w:rPr>
                <w:rFonts w:ascii="Courier New" w:cs="Courier New" w:eastAsia="Courier New" w:hAnsi="Courier New"/>
                <w:sz w:val="18"/>
                <w:szCs w:val="18"/>
                <w:color w:val="auto"/>
              </w:rPr>
              <w:t>Sole</w:t>
            </w:r>
          </w:p>
        </w:tc>
        <w:tc>
          <w:tcPr>
            <w:tcW w:w="2220" w:type="dxa"/>
            <w:vAlign w:val="bottom"/>
          </w:tcPr>
          <w:p>
            <w:pPr>
              <w:ind w:left="60"/>
              <w:spacing w:after="0"/>
              <w:rPr>
                <w:sz w:val="20"/>
                <w:szCs w:val="20"/>
                <w:color w:val="auto"/>
              </w:rPr>
            </w:pPr>
            <w:r>
              <w:rPr>
                <w:rFonts w:ascii="Courier New" w:cs="Courier New" w:eastAsia="Courier New" w:hAnsi="Courier New"/>
                <w:sz w:val="18"/>
                <w:szCs w:val="18"/>
                <w:color w:val="auto"/>
              </w:rPr>
              <w:t>Dispositive Power*</w:t>
            </w:r>
          </w:p>
        </w:tc>
        <w:tc>
          <w:tcPr>
            <w:tcW w:w="1200" w:type="dxa"/>
            <w:vAlign w:val="bottom"/>
          </w:tcPr>
          <w:p>
            <w:pPr>
              <w:ind w:left="140"/>
              <w:spacing w:after="0"/>
              <w:rPr>
                <w:sz w:val="20"/>
                <w:szCs w:val="20"/>
                <w:color w:val="auto"/>
              </w:rPr>
            </w:pPr>
            <w:r>
              <w:rPr>
                <w:rFonts w:ascii="Courier New" w:cs="Courier New" w:eastAsia="Courier New" w:hAnsi="Courier New"/>
                <w:sz w:val="18"/>
                <w:szCs w:val="18"/>
                <w:color w:val="auto"/>
                <w:w w:val="96"/>
              </w:rPr>
              <w:t>19,621,696</w:t>
            </w:r>
          </w:p>
        </w:tc>
      </w:tr>
      <w:tr>
        <w:trPr>
          <w:trHeight w:val="405"/>
        </w:trPr>
        <w:tc>
          <w:tcPr>
            <w:tcW w:w="280" w:type="dxa"/>
            <w:vAlign w:val="bottom"/>
          </w:tcPr>
          <w:p>
            <w:pPr>
              <w:jc w:val="right"/>
              <w:spacing w:after="0"/>
              <w:rPr>
                <w:sz w:val="20"/>
                <w:szCs w:val="20"/>
                <w:color w:val="auto"/>
              </w:rPr>
            </w:pPr>
            <w:r>
              <w:rPr>
                <w:rFonts w:ascii="Courier New" w:cs="Courier New" w:eastAsia="Courier New" w:hAnsi="Courier New"/>
                <w:sz w:val="18"/>
                <w:szCs w:val="18"/>
                <w:color w:val="auto"/>
                <w:w w:val="92"/>
              </w:rPr>
              <w:t>8.</w:t>
            </w:r>
          </w:p>
        </w:tc>
        <w:tc>
          <w:tcPr>
            <w:tcW w:w="2740" w:type="dxa"/>
            <w:vAlign w:val="bottom"/>
            <w:gridSpan w:val="2"/>
          </w:tcPr>
          <w:p>
            <w:pPr>
              <w:ind w:left="40"/>
              <w:spacing w:after="0"/>
              <w:rPr>
                <w:sz w:val="20"/>
                <w:szCs w:val="20"/>
                <w:color w:val="auto"/>
              </w:rPr>
            </w:pPr>
            <w:r>
              <w:rPr>
                <w:rFonts w:ascii="Courier New" w:cs="Courier New" w:eastAsia="Courier New" w:hAnsi="Courier New"/>
                <w:sz w:val="18"/>
                <w:szCs w:val="18"/>
                <w:color w:val="auto"/>
              </w:rPr>
              <w:t>Shared Dispositive Power</w:t>
            </w:r>
          </w:p>
        </w:tc>
        <w:tc>
          <w:tcPr>
            <w:tcW w:w="1200" w:type="dxa"/>
            <w:vAlign w:val="bottom"/>
          </w:tcPr>
          <w:p>
            <w:pPr>
              <w:ind w:left="140"/>
              <w:spacing w:after="0"/>
              <w:rPr>
                <w:sz w:val="20"/>
                <w:szCs w:val="20"/>
                <w:color w:val="auto"/>
              </w:rPr>
            </w:pPr>
            <w:r>
              <w:rPr>
                <w:rFonts w:ascii="Courier New" w:cs="Courier New" w:eastAsia="Courier New" w:hAnsi="Courier New"/>
                <w:sz w:val="18"/>
                <w:szCs w:val="18"/>
                <w:color w:val="auto"/>
              </w:rPr>
              <w:t>0</w:t>
            </w:r>
          </w:p>
        </w:tc>
      </w:tr>
    </w:tbl>
    <w:p>
      <w:pPr>
        <w:spacing w:after="0" w:line="207" w:lineRule="exact"/>
        <w:rPr>
          <w:sz w:val="24"/>
          <w:szCs w:val="24"/>
          <w:color w:val="auto"/>
        </w:rPr>
      </w:pPr>
    </w:p>
    <w:p>
      <w:pPr>
        <w:ind w:left="320" w:right="3579" w:hanging="312"/>
        <w:spacing w:after="0" w:line="235" w:lineRule="auto"/>
        <w:tabs>
          <w:tab w:leader="none" w:pos="3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 Amount Beneficially Owned by Each Reporting Person 19,621,696</w:t>
      </w:r>
    </w:p>
    <w:p>
      <w:pPr>
        <w:spacing w:after="0" w:line="208"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6"/>
          <w:szCs w:val="16"/>
          <w:color w:val="auto"/>
        </w:rPr>
      </w:pPr>
      <w:r>
        <w:rPr>
          <w:rFonts w:ascii="Courier New" w:cs="Courier New" w:eastAsia="Courier New" w:hAnsi="Courier New"/>
          <w:sz w:val="16"/>
          <w:szCs w:val="16"/>
          <w:color w:val="auto"/>
        </w:rPr>
        <w:t>Check Box if the Aggregate Amount in Row (9) Excludes Certain Shares</w:t>
      </w:r>
    </w:p>
    <w:p>
      <w:pPr>
        <w:spacing w:after="0" w:line="16" w:lineRule="exact"/>
        <w:rPr>
          <w:rFonts w:ascii="Courier New" w:cs="Courier New" w:eastAsia="Courier New" w:hAnsi="Courier New"/>
          <w:sz w:val="16"/>
          <w:szCs w:val="16"/>
          <w:color w:val="auto"/>
        </w:rPr>
      </w:pPr>
    </w:p>
    <w:p>
      <w:pPr>
        <w:ind w:left="860"/>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NOT APPLICABLE</w:t>
      </w:r>
    </w:p>
    <w:p>
      <w:pPr>
        <w:spacing w:after="0" w:line="201" w:lineRule="exact"/>
        <w:rPr>
          <w:rFonts w:ascii="Courier New" w:cs="Courier New" w:eastAsia="Courier New" w:hAnsi="Courier New"/>
          <w:sz w:val="16"/>
          <w:szCs w:val="16"/>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Represented by Amount in Row 9</w:t>
      </w:r>
    </w:p>
    <w:p>
      <w:pPr>
        <w:ind w:left="860"/>
        <w:spacing w:after="0" w:line="238" w:lineRule="auto"/>
        <w:rPr>
          <w:sz w:val="20"/>
          <w:szCs w:val="20"/>
          <w:color w:val="auto"/>
        </w:rPr>
      </w:pPr>
      <w:r>
        <w:rPr>
          <w:rFonts w:ascii="Courier New" w:cs="Courier New" w:eastAsia="Courier New" w:hAnsi="Courier New"/>
          <w:sz w:val="18"/>
          <w:szCs w:val="18"/>
          <w:color w:val="auto"/>
        </w:rPr>
        <w:t>17.0%</w:t>
      </w:r>
    </w:p>
    <w:p>
      <w:pPr>
        <w:spacing w:after="0" w:line="202" w:lineRule="exact"/>
        <w:rPr>
          <w:sz w:val="24"/>
          <w:szCs w:val="24"/>
          <w:color w:val="auto"/>
        </w:rPr>
      </w:pPr>
    </w:p>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Type of Reporting Person</w:t>
      </w:r>
    </w:p>
    <w:p>
      <w:pPr>
        <w:ind w:left="860"/>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IA</w:t>
      </w:r>
    </w:p>
    <w:p>
      <w:pPr>
        <w:spacing w:after="0" w:line="202"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*Any shares reported in Items 5 and 6 are also reported in Item 7.</w:t>
      </w:r>
    </w:p>
    <w:p>
      <w:pPr>
        <w:spacing w:after="0" w:line="201" w:lineRule="exact"/>
        <w:rPr>
          <w:sz w:val="24"/>
          <w:szCs w:val="24"/>
          <w:color w:val="auto"/>
        </w:rPr>
      </w:pPr>
    </w:p>
    <w:p>
      <w:pPr>
        <w:ind w:left="320" w:hanging="312"/>
        <w:spacing w:after="0"/>
        <w:tabs>
          <w:tab w:leader="none" w:pos="32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Name of Reporting Person</w:t>
      </w:r>
    </w:p>
    <w:p>
      <w:pPr>
        <w:ind w:left="320"/>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T. ROWE PRICE MID-CAP GROWTH FUND, INC.</w:t>
      </w:r>
    </w:p>
    <w:p>
      <w:pPr>
        <w:ind w:left="320"/>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52-1784828</w:t>
      </w:r>
    </w:p>
    <w:p>
      <w:pPr>
        <w:spacing w:after="0" w:line="201" w:lineRule="exact"/>
        <w:rPr>
          <w:rFonts w:ascii="Courier New" w:cs="Courier New" w:eastAsia="Courier New" w:hAnsi="Courier New"/>
          <w:sz w:val="18"/>
          <w:szCs w:val="18"/>
          <w:color w:val="auto"/>
        </w:rPr>
      </w:pPr>
    </w:p>
    <w:p>
      <w:pPr>
        <w:ind w:left="320" w:hanging="312"/>
        <w:spacing w:after="0"/>
        <w:tabs>
          <w:tab w:leader="none" w:pos="32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the Appropriate Box if a Member of a Group</w:t>
      </w:r>
    </w:p>
    <w:p>
      <w:pPr>
        <w:ind w:left="320"/>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NOT APPLICABLE</w:t>
      </w:r>
    </w:p>
    <w:p>
      <w:pPr>
        <w:spacing w:after="0" w:line="201" w:lineRule="exact"/>
        <w:rPr>
          <w:rFonts w:ascii="Courier New" w:cs="Courier New" w:eastAsia="Courier New" w:hAnsi="Courier New"/>
          <w:sz w:val="18"/>
          <w:szCs w:val="18"/>
          <w:color w:val="auto"/>
        </w:rPr>
      </w:pPr>
    </w:p>
    <w:p>
      <w:pPr>
        <w:ind w:left="320" w:hanging="312"/>
        <w:spacing w:after="0"/>
        <w:tabs>
          <w:tab w:leader="none" w:pos="32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 Use Only</w:t>
      </w:r>
    </w:p>
    <w:p>
      <w:pPr>
        <w:spacing w:after="0" w:line="206" w:lineRule="exact"/>
        <w:rPr>
          <w:rFonts w:ascii="Courier New" w:cs="Courier New" w:eastAsia="Courier New" w:hAnsi="Courier New"/>
          <w:sz w:val="18"/>
          <w:szCs w:val="18"/>
          <w:color w:val="auto"/>
        </w:rPr>
      </w:pPr>
    </w:p>
    <w:p>
      <w:pPr>
        <w:ind w:left="320" w:right="6099" w:hanging="312"/>
        <w:spacing w:after="0" w:line="235" w:lineRule="auto"/>
        <w:tabs>
          <w:tab w:leader="none" w:pos="32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or Place of Organization Maryland</w:t>
      </w:r>
    </w:p>
    <w:p>
      <w:pPr>
        <w:spacing w:after="0" w:line="203"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Number of Shares Beneficially Owned by Each Reporting Person With</w:t>
      </w:r>
    </w:p>
    <w:p>
      <w:pPr>
        <w:spacing w:after="0" w:line="201" w:lineRule="exact"/>
        <w:rPr>
          <w:sz w:val="24"/>
          <w:szCs w:val="24"/>
          <w:color w:val="auto"/>
        </w:rPr>
      </w:pPr>
    </w:p>
    <w:tbl>
      <w:tblPr>
        <w:tblLayout w:type="fixed"/>
        <w:tblInd w:w="0" w:type="dxa"/>
        <w:tblCellMar>
          <w:top w:w="0" w:type="dxa"/>
          <w:left w:w="0" w:type="dxa"/>
          <w:bottom w:w="0" w:type="dxa"/>
          <w:right w:w="0" w:type="dxa"/>
        </w:tblCellMar>
      </w:tblPr>
      <w:tr>
        <w:trPr>
          <w:trHeight w:val="204"/>
        </w:trPr>
        <w:tc>
          <w:tcPr>
            <w:tcW w:w="280" w:type="dxa"/>
            <w:vAlign w:val="bottom"/>
          </w:tcPr>
          <w:p>
            <w:pPr>
              <w:jc w:val="right"/>
              <w:spacing w:after="0"/>
              <w:rPr>
                <w:sz w:val="20"/>
                <w:szCs w:val="20"/>
                <w:color w:val="auto"/>
              </w:rPr>
            </w:pPr>
            <w:r>
              <w:rPr>
                <w:rFonts w:ascii="Courier New" w:cs="Courier New" w:eastAsia="Courier New" w:hAnsi="Courier New"/>
                <w:sz w:val="18"/>
                <w:szCs w:val="18"/>
                <w:color w:val="auto"/>
                <w:w w:val="92"/>
              </w:rPr>
              <w:t>5.</w:t>
            </w:r>
          </w:p>
        </w:tc>
        <w:tc>
          <w:tcPr>
            <w:tcW w:w="2520" w:type="dxa"/>
            <w:vAlign w:val="bottom"/>
          </w:tcPr>
          <w:p>
            <w:pPr>
              <w:ind w:left="40"/>
              <w:spacing w:after="0"/>
              <w:rPr>
                <w:sz w:val="20"/>
                <w:szCs w:val="20"/>
                <w:color w:val="auto"/>
              </w:rPr>
            </w:pPr>
            <w:r>
              <w:rPr>
                <w:rFonts w:ascii="Courier New" w:cs="Courier New" w:eastAsia="Courier New" w:hAnsi="Courier New"/>
                <w:sz w:val="18"/>
                <w:szCs w:val="18"/>
                <w:color w:val="auto"/>
              </w:rPr>
              <w:t>Sole Voting Power*</w:t>
            </w:r>
          </w:p>
        </w:tc>
        <w:tc>
          <w:tcPr>
            <w:tcW w:w="1320" w:type="dxa"/>
            <w:vAlign w:val="bottom"/>
          </w:tcPr>
          <w:p>
            <w:pPr>
              <w:ind w:left="360"/>
              <w:spacing w:after="0"/>
              <w:rPr>
                <w:sz w:val="20"/>
                <w:szCs w:val="20"/>
                <w:color w:val="auto"/>
              </w:rPr>
            </w:pPr>
            <w:r>
              <w:rPr>
                <w:rFonts w:ascii="Courier New" w:cs="Courier New" w:eastAsia="Courier New" w:hAnsi="Courier New"/>
                <w:sz w:val="18"/>
                <w:szCs w:val="18"/>
                <w:color w:val="auto"/>
                <w:w w:val="96"/>
              </w:rPr>
              <w:t>7,250,000</w:t>
            </w:r>
          </w:p>
        </w:tc>
      </w:tr>
      <w:tr>
        <w:trPr>
          <w:trHeight w:val="405"/>
        </w:trPr>
        <w:tc>
          <w:tcPr>
            <w:tcW w:w="280" w:type="dxa"/>
            <w:vAlign w:val="bottom"/>
          </w:tcPr>
          <w:p>
            <w:pPr>
              <w:jc w:val="right"/>
              <w:spacing w:after="0"/>
              <w:rPr>
                <w:sz w:val="20"/>
                <w:szCs w:val="20"/>
                <w:color w:val="auto"/>
              </w:rPr>
            </w:pPr>
            <w:r>
              <w:rPr>
                <w:rFonts w:ascii="Courier New" w:cs="Courier New" w:eastAsia="Courier New" w:hAnsi="Courier New"/>
                <w:sz w:val="18"/>
                <w:szCs w:val="18"/>
                <w:color w:val="auto"/>
                <w:w w:val="92"/>
              </w:rPr>
              <w:t>6.</w:t>
            </w:r>
          </w:p>
        </w:tc>
        <w:tc>
          <w:tcPr>
            <w:tcW w:w="2520" w:type="dxa"/>
            <w:vAlign w:val="bottom"/>
          </w:tcPr>
          <w:p>
            <w:pPr>
              <w:ind w:left="40"/>
              <w:spacing w:after="0"/>
              <w:rPr>
                <w:sz w:val="20"/>
                <w:szCs w:val="20"/>
                <w:color w:val="auto"/>
              </w:rPr>
            </w:pPr>
            <w:r>
              <w:rPr>
                <w:rFonts w:ascii="Courier New" w:cs="Courier New" w:eastAsia="Courier New" w:hAnsi="Courier New"/>
                <w:sz w:val="18"/>
                <w:szCs w:val="18"/>
                <w:color w:val="auto"/>
              </w:rPr>
              <w:t>Shared Voting Power*</w:t>
            </w:r>
          </w:p>
        </w:tc>
        <w:tc>
          <w:tcPr>
            <w:tcW w:w="1320" w:type="dxa"/>
            <w:vAlign w:val="bottom"/>
          </w:tcPr>
          <w:p>
            <w:pPr>
              <w:ind w:left="360"/>
              <w:spacing w:after="0"/>
              <w:rPr>
                <w:sz w:val="20"/>
                <w:szCs w:val="20"/>
                <w:color w:val="auto"/>
              </w:rPr>
            </w:pPr>
            <w:r>
              <w:rPr>
                <w:rFonts w:ascii="Courier New" w:cs="Courier New" w:eastAsia="Courier New" w:hAnsi="Courier New"/>
                <w:sz w:val="18"/>
                <w:szCs w:val="18"/>
                <w:color w:val="auto"/>
              </w:rPr>
              <w:t>0</w:t>
            </w:r>
          </w:p>
        </w:tc>
      </w:tr>
    </w:tbl>
    <w:p>
      <w:pPr>
        <w:sectPr>
          <w:pgSz w:w="11900" w:h="16838" w:orient="portrait"/>
          <w:cols w:equalWidth="0" w:num="1">
            <w:col w:w="10219"/>
          </w:cols>
          <w:pgMar w:left="240" w:top="244" w:right="1440" w:bottom="0" w:gutter="0" w:footer="0" w:header="0"/>
        </w:sectPr>
      </w:pPr>
    </w:p>
    <w:bookmarkStart w:id="1" w:name="page2"/>
    <w:bookmarkEnd w:id="1"/>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280" w:type="dxa"/>
            <w:vAlign w:val="bottom"/>
          </w:tcPr>
          <w:p>
            <w:pPr>
              <w:jc w:val="right"/>
              <w:spacing w:after="0"/>
              <w:rPr>
                <w:sz w:val="20"/>
                <w:szCs w:val="20"/>
                <w:color w:val="auto"/>
              </w:rPr>
            </w:pPr>
            <w:r>
              <w:rPr>
                <w:rFonts w:ascii="Courier New" w:cs="Courier New" w:eastAsia="Courier New" w:hAnsi="Courier New"/>
                <w:sz w:val="18"/>
                <w:szCs w:val="18"/>
                <w:color w:val="auto"/>
                <w:w w:val="92"/>
              </w:rPr>
              <w:t>7.</w:t>
            </w:r>
          </w:p>
        </w:tc>
        <w:tc>
          <w:tcPr>
            <w:tcW w:w="2740" w:type="dxa"/>
            <w:vAlign w:val="bottom"/>
          </w:tcPr>
          <w:p>
            <w:pPr>
              <w:ind w:left="40"/>
              <w:spacing w:after="0"/>
              <w:rPr>
                <w:sz w:val="20"/>
                <w:szCs w:val="20"/>
                <w:color w:val="auto"/>
              </w:rPr>
            </w:pPr>
            <w:r>
              <w:rPr>
                <w:rFonts w:ascii="Courier New" w:cs="Courier New" w:eastAsia="Courier New" w:hAnsi="Courier New"/>
                <w:sz w:val="18"/>
                <w:szCs w:val="18"/>
                <w:color w:val="auto"/>
              </w:rPr>
              <w:t>Sole Dispositive Power*</w:t>
            </w:r>
          </w:p>
        </w:tc>
        <w:tc>
          <w:tcPr>
            <w:tcW w:w="260" w:type="dxa"/>
            <w:vAlign w:val="bottom"/>
          </w:tcPr>
          <w:p>
            <w:pPr>
              <w:jc w:val="right"/>
              <w:spacing w:after="0"/>
              <w:rPr>
                <w:sz w:val="20"/>
                <w:szCs w:val="20"/>
                <w:color w:val="auto"/>
              </w:rPr>
            </w:pPr>
            <w:r>
              <w:rPr>
                <w:rFonts w:ascii="Courier New" w:cs="Courier New" w:eastAsia="Courier New" w:hAnsi="Courier New"/>
                <w:sz w:val="18"/>
                <w:szCs w:val="18"/>
                <w:color w:val="auto"/>
              </w:rPr>
              <w:t>0</w:t>
            </w:r>
          </w:p>
        </w:tc>
      </w:tr>
      <w:tr>
        <w:trPr>
          <w:trHeight w:val="405"/>
        </w:trPr>
        <w:tc>
          <w:tcPr>
            <w:tcW w:w="280" w:type="dxa"/>
            <w:vAlign w:val="bottom"/>
          </w:tcPr>
          <w:p>
            <w:pPr>
              <w:jc w:val="right"/>
              <w:spacing w:after="0"/>
              <w:rPr>
                <w:sz w:val="20"/>
                <w:szCs w:val="20"/>
                <w:color w:val="auto"/>
              </w:rPr>
            </w:pPr>
            <w:r>
              <w:rPr>
                <w:rFonts w:ascii="Courier New" w:cs="Courier New" w:eastAsia="Courier New" w:hAnsi="Courier New"/>
                <w:sz w:val="18"/>
                <w:szCs w:val="18"/>
                <w:color w:val="auto"/>
                <w:w w:val="92"/>
              </w:rPr>
              <w:t>8.</w:t>
            </w:r>
          </w:p>
        </w:tc>
        <w:tc>
          <w:tcPr>
            <w:tcW w:w="2740" w:type="dxa"/>
            <w:vAlign w:val="bottom"/>
          </w:tcPr>
          <w:p>
            <w:pPr>
              <w:ind w:left="40"/>
              <w:spacing w:after="0"/>
              <w:rPr>
                <w:sz w:val="20"/>
                <w:szCs w:val="20"/>
                <w:color w:val="auto"/>
              </w:rPr>
            </w:pPr>
            <w:r>
              <w:rPr>
                <w:rFonts w:ascii="Courier New" w:cs="Courier New" w:eastAsia="Courier New" w:hAnsi="Courier New"/>
                <w:sz w:val="18"/>
                <w:szCs w:val="18"/>
                <w:color w:val="auto"/>
              </w:rPr>
              <w:t>Shared Dispositive Power</w:t>
            </w:r>
          </w:p>
        </w:tc>
        <w:tc>
          <w:tcPr>
            <w:tcW w:w="260" w:type="dxa"/>
            <w:vAlign w:val="bottom"/>
          </w:tcPr>
          <w:p>
            <w:pPr>
              <w:jc w:val="right"/>
              <w:spacing w:after="0"/>
              <w:rPr>
                <w:sz w:val="20"/>
                <w:szCs w:val="20"/>
                <w:color w:val="auto"/>
              </w:rPr>
            </w:pPr>
            <w:r>
              <w:rPr>
                <w:rFonts w:ascii="Courier New" w:cs="Courier New" w:eastAsia="Courier New" w:hAnsi="Courier New"/>
                <w:sz w:val="18"/>
                <w:szCs w:val="18"/>
                <w:color w:val="auto"/>
              </w:rPr>
              <w:t>0</w:t>
            </w:r>
          </w:p>
        </w:tc>
      </w:tr>
    </w:tbl>
    <w:p>
      <w:pPr>
        <w:spacing w:after="0" w:line="207" w:lineRule="exact"/>
        <w:rPr>
          <w:sz w:val="20"/>
          <w:szCs w:val="20"/>
          <w:color w:val="auto"/>
        </w:rPr>
      </w:pPr>
    </w:p>
    <w:p>
      <w:pPr>
        <w:ind w:left="320" w:right="3579" w:hanging="312"/>
        <w:spacing w:after="0" w:line="235" w:lineRule="auto"/>
        <w:tabs>
          <w:tab w:leader="none" w:pos="3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 Amount Beneficially Owned by Each Reporting Person 7,250,000</w:t>
      </w:r>
    </w:p>
    <w:p>
      <w:pPr>
        <w:spacing w:after="0" w:line="202"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Box if the Aggregate Amount in Row (9) Excludes Certain Shares</w:t>
      </w:r>
    </w:p>
    <w:p>
      <w:pPr>
        <w:ind w:left="860"/>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NOT APPLICABLE</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Represented by Amount in Row 9</w:t>
      </w:r>
    </w:p>
    <w:p>
      <w:pPr>
        <w:ind w:left="860"/>
        <w:spacing w:after="0" w:line="238" w:lineRule="auto"/>
        <w:rPr>
          <w:sz w:val="20"/>
          <w:szCs w:val="20"/>
          <w:color w:val="auto"/>
        </w:rPr>
      </w:pPr>
      <w:r>
        <w:rPr>
          <w:rFonts w:ascii="Courier New" w:cs="Courier New" w:eastAsia="Courier New" w:hAnsi="Courier New"/>
          <w:sz w:val="18"/>
          <w:szCs w:val="18"/>
          <w:color w:val="auto"/>
        </w:rPr>
        <w:t>6.3%</w:t>
      </w:r>
    </w:p>
    <w:p>
      <w:pPr>
        <w:spacing w:after="0" w:line="202" w:lineRule="exact"/>
        <w:rPr>
          <w:sz w:val="20"/>
          <w:szCs w:val="20"/>
          <w:color w:val="auto"/>
        </w:rPr>
      </w:pPr>
    </w:p>
    <w:p>
      <w:pPr>
        <w:ind w:left="420" w:hanging="412"/>
        <w:spacing w:after="0"/>
        <w:tabs>
          <w:tab w:leader="none" w:pos="420"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Type of Reporting Person</w:t>
      </w:r>
    </w:p>
    <w:p>
      <w:pPr>
        <w:ind w:left="860"/>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IV</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*Any shares reported in Items 5 and 6 are also reported in Item 7.</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1(a) Name of Issuer:</w:t>
      </w:r>
    </w:p>
    <w:p>
      <w:pPr>
        <w:spacing w:after="0" w:line="238" w:lineRule="auto"/>
        <w:rPr>
          <w:sz w:val="20"/>
          <w:szCs w:val="20"/>
          <w:color w:val="auto"/>
        </w:rPr>
      </w:pPr>
      <w:r>
        <w:rPr>
          <w:rFonts w:ascii="Courier New" w:cs="Courier New" w:eastAsia="Courier New" w:hAnsi="Courier New"/>
          <w:sz w:val="18"/>
          <w:szCs w:val="18"/>
          <w:color w:val="auto"/>
        </w:rPr>
        <w:t>Amneal Pharmaceuticals, Inc.</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1(b) Address of Issuer's Principal Executive Offices:</w:t>
      </w:r>
    </w:p>
    <w:p>
      <w:pPr>
        <w:spacing w:after="0" w:line="238" w:lineRule="auto"/>
        <w:rPr>
          <w:sz w:val="20"/>
          <w:szCs w:val="20"/>
          <w:color w:val="auto"/>
        </w:rPr>
      </w:pPr>
      <w:r>
        <w:rPr>
          <w:rFonts w:ascii="Courier New" w:cs="Courier New" w:eastAsia="Courier New" w:hAnsi="Courier New"/>
          <w:sz w:val="18"/>
          <w:szCs w:val="18"/>
          <w:color w:val="auto"/>
        </w:rPr>
        <w:t>400 CROSSING BOULEVARD, 3RD FLOOR, BRIDGEWATER, NJ 08807</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2(a) Name of Person(s) Filing:</w:t>
      </w:r>
    </w:p>
    <w:p>
      <w:pPr>
        <w:ind w:left="420" w:hanging="412"/>
        <w:spacing w:after="0" w:line="238" w:lineRule="auto"/>
        <w:tabs>
          <w:tab w:leader="none" w:pos="420"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T. ROWE PRICE ASSOCIATES, INC. ("Price Associates")</w:t>
      </w:r>
    </w:p>
    <w:p>
      <w:pPr>
        <w:ind w:left="420" w:hanging="412"/>
        <w:spacing w:after="0" w:line="238" w:lineRule="auto"/>
        <w:tabs>
          <w:tab w:leader="none" w:pos="420"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T. ROWE PRICE MID-CAP GROWTH FUND, INC.</w:t>
      </w:r>
    </w:p>
    <w:p>
      <w:pPr>
        <w:spacing w:after="0" w:line="207" w:lineRule="exact"/>
        <w:rPr>
          <w:sz w:val="20"/>
          <w:szCs w:val="20"/>
          <w:color w:val="auto"/>
        </w:rPr>
      </w:pPr>
    </w:p>
    <w:p>
      <w:pPr>
        <w:jc w:val="both"/>
        <w:ind w:left="420" w:right="1999" w:hanging="412"/>
        <w:spacing w:after="0" w:line="268" w:lineRule="auto"/>
        <w:tabs>
          <w:tab w:leader="none" w:pos="420" w:val="left"/>
        </w:tabs>
        <w:numPr>
          <w:ilvl w:val="0"/>
          <w:numId w:val="9"/>
        </w:numPr>
        <w:rPr>
          <w:rFonts w:ascii="Courier New" w:cs="Courier New" w:eastAsia="Courier New" w:hAnsi="Courier New"/>
          <w:sz w:val="16"/>
          <w:szCs w:val="16"/>
          <w:color w:val="auto"/>
        </w:rPr>
      </w:pPr>
      <w:r>
        <w:rPr>
          <w:rFonts w:ascii="Courier New" w:cs="Courier New" w:eastAsia="Courier New" w:hAnsi="Courier New"/>
          <w:sz w:val="16"/>
          <w:szCs w:val="16"/>
          <w:color w:val="auto"/>
        </w:rPr>
        <w:t>Attached as Exhibit A is a copy of an agreement between the Persons Filing (as specified hereinabove) that this Schedule 13G is being filed on behalf</w:t>
      </w:r>
    </w:p>
    <w:p>
      <w:pPr>
        <w:ind w:left="540"/>
        <w:spacing w:after="0" w:line="238"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of each of them.</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2(b) Address of Principal Business Office:</w:t>
      </w:r>
    </w:p>
    <w:p>
      <w:pPr>
        <w:spacing w:after="0" w:line="238" w:lineRule="auto"/>
        <w:rPr>
          <w:sz w:val="20"/>
          <w:szCs w:val="20"/>
          <w:color w:val="auto"/>
        </w:rPr>
      </w:pPr>
      <w:r>
        <w:rPr>
          <w:rFonts w:ascii="Courier New" w:cs="Courier New" w:eastAsia="Courier New" w:hAnsi="Courier New"/>
          <w:sz w:val="18"/>
          <w:szCs w:val="18"/>
          <w:color w:val="auto"/>
        </w:rPr>
        <w:t>100 E. Pratt Street, Baltimore, MD 21202</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2(c) Citizenship or Place of Organization:</w:t>
      </w:r>
    </w:p>
    <w:p>
      <w:pPr>
        <w:ind w:left="420" w:hanging="412"/>
        <w:spacing w:after="0" w:line="238" w:lineRule="auto"/>
        <w:tabs>
          <w:tab w:leader="none" w:pos="420" w:val="left"/>
        </w:tabs>
        <w:numPr>
          <w:ilvl w:val="0"/>
          <w:numId w:val="10"/>
        </w:numPr>
        <w:rPr>
          <w:rFonts w:ascii="Courier New" w:cs="Courier New" w:eastAsia="Courier New" w:hAnsi="Courier New"/>
          <w:sz w:val="18"/>
          <w:szCs w:val="18"/>
          <w:color w:val="auto"/>
        </w:rPr>
      </w:pPr>
      <w:r>
        <w:rPr>
          <w:rFonts w:ascii="Courier New" w:cs="Courier New" w:eastAsia="Courier New" w:hAnsi="Courier New"/>
          <w:sz w:val="18"/>
          <w:szCs w:val="18"/>
          <w:color w:val="auto"/>
        </w:rPr>
        <w:t>Maryland</w:t>
      </w:r>
    </w:p>
    <w:p>
      <w:pPr>
        <w:ind w:left="420" w:hanging="412"/>
        <w:spacing w:after="0" w:line="238" w:lineRule="auto"/>
        <w:tabs>
          <w:tab w:leader="none" w:pos="420" w:val="left"/>
        </w:tabs>
        <w:numPr>
          <w:ilvl w:val="0"/>
          <w:numId w:val="10"/>
        </w:numPr>
        <w:rPr>
          <w:rFonts w:ascii="Courier New" w:cs="Courier New" w:eastAsia="Courier New" w:hAnsi="Courier New"/>
          <w:sz w:val="18"/>
          <w:szCs w:val="18"/>
          <w:color w:val="auto"/>
        </w:rPr>
      </w:pPr>
      <w:r>
        <w:rPr>
          <w:rFonts w:ascii="Courier New" w:cs="Courier New" w:eastAsia="Courier New" w:hAnsi="Courier New"/>
          <w:sz w:val="18"/>
          <w:szCs w:val="18"/>
          <w:color w:val="auto"/>
        </w:rPr>
        <w:t>Maryland</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2(d) Title of Class of Securities: COMMON STOCK</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2(e) Cusip Number: 03168L105</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3: The person filing this Schedule 13G is an:</w:t>
      </w:r>
    </w:p>
    <w:p>
      <w:pPr>
        <w:spacing w:after="0" w:line="4" w:lineRule="exact"/>
        <w:rPr>
          <w:sz w:val="20"/>
          <w:szCs w:val="20"/>
          <w:color w:val="auto"/>
        </w:rPr>
      </w:pPr>
    </w:p>
    <w:p>
      <w:pPr>
        <w:ind w:left="420" w:right="2939" w:hanging="412"/>
        <w:spacing w:after="0" w:line="235" w:lineRule="auto"/>
        <w:tabs>
          <w:tab w:leader="none" w:pos="420" w:val="left"/>
        </w:tabs>
        <w:numPr>
          <w:ilvl w:val="0"/>
          <w:numId w:val="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Investment Adviser registered under Section 203 of the Investment Advisers Act of 1940</w:t>
      </w:r>
    </w:p>
    <w:p>
      <w:pPr>
        <w:spacing w:after="0" w:line="5" w:lineRule="exact"/>
        <w:rPr>
          <w:rFonts w:ascii="Courier New" w:cs="Courier New" w:eastAsia="Courier New" w:hAnsi="Courier New"/>
          <w:sz w:val="18"/>
          <w:szCs w:val="18"/>
          <w:color w:val="auto"/>
        </w:rPr>
      </w:pPr>
    </w:p>
    <w:p>
      <w:pPr>
        <w:ind w:left="420" w:right="3159" w:hanging="412"/>
        <w:spacing w:after="0" w:line="235" w:lineRule="auto"/>
        <w:tabs>
          <w:tab w:leader="none" w:pos="420" w:val="left"/>
        </w:tabs>
        <w:numPr>
          <w:ilvl w:val="0"/>
          <w:numId w:val="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Investment Company registered under Section 8 of the Investment Company Act of 1940</w:t>
      </w:r>
    </w:p>
    <w:p>
      <w:pPr>
        <w:spacing w:after="0" w:line="208" w:lineRule="exact"/>
        <w:rPr>
          <w:sz w:val="20"/>
          <w:szCs w:val="20"/>
          <w:color w:val="auto"/>
        </w:rPr>
      </w:pPr>
    </w:p>
    <w:p>
      <w:pPr>
        <w:ind w:left="860" w:right="2839" w:hanging="842"/>
        <w:spacing w:after="0" w:line="235" w:lineRule="auto"/>
        <w:rPr>
          <w:sz w:val="20"/>
          <w:szCs w:val="20"/>
          <w:color w:val="auto"/>
        </w:rPr>
      </w:pPr>
      <w:r>
        <w:rPr>
          <w:rFonts w:ascii="Courier New" w:cs="Courier New" w:eastAsia="Courier New" w:hAnsi="Courier New"/>
          <w:sz w:val="18"/>
          <w:szCs w:val="18"/>
          <w:color w:val="auto"/>
        </w:rPr>
        <w:t>Item 4: Reference is made to Items 5-11 on the preceding pages of this Schedule 13G.</w:t>
      </w: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5: Ownership of Five Percent or Less of a Class</w:t>
      </w:r>
    </w:p>
    <w:p>
      <w:pPr>
        <w:ind w:left="860"/>
        <w:spacing w:after="0" w:line="238" w:lineRule="auto"/>
        <w:rPr>
          <w:sz w:val="20"/>
          <w:szCs w:val="20"/>
          <w:color w:val="auto"/>
        </w:rPr>
      </w:pPr>
      <w:r>
        <w:rPr>
          <w:rFonts w:ascii="Courier New" w:cs="Courier New" w:eastAsia="Courier New" w:hAnsi="Courier New"/>
          <w:sz w:val="18"/>
          <w:szCs w:val="18"/>
          <w:color w:val="auto"/>
        </w:rPr>
        <w:t>Not Applicable</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6: Ownership of More than Five Percent on Behalf of Another Person</w:t>
      </w:r>
    </w:p>
    <w:p>
      <w:pPr>
        <w:spacing w:after="0" w:line="207" w:lineRule="exact"/>
        <w:rPr>
          <w:sz w:val="20"/>
          <w:szCs w:val="20"/>
          <w:color w:val="auto"/>
        </w:rPr>
      </w:pPr>
    </w:p>
    <w:p>
      <w:pPr>
        <w:ind w:left="860" w:right="2099" w:hanging="852"/>
        <w:spacing w:after="0" w:line="275" w:lineRule="auto"/>
        <w:tabs>
          <w:tab w:leader="none" w:pos="860" w:val="left"/>
        </w:tabs>
        <w:numPr>
          <w:ilvl w:val="0"/>
          <w:numId w:val="12"/>
        </w:numPr>
        <w:rPr>
          <w:rFonts w:ascii="Courier New" w:cs="Courier New" w:eastAsia="Courier New" w:hAnsi="Courier New"/>
          <w:sz w:val="16"/>
          <w:szCs w:val="16"/>
          <w:color w:val="auto"/>
        </w:rPr>
      </w:pPr>
      <w:r>
        <w:rPr>
          <w:rFonts w:ascii="Courier New" w:cs="Courier New" w:eastAsia="Courier New" w:hAnsi="Courier New"/>
          <w:sz w:val="16"/>
          <w:szCs w:val="16"/>
          <w:color w:val="auto"/>
        </w:rPr>
        <w:t>Price Associates does not serve as custodian of the assets of any of its clients; accordingly, in each instance only the client or the client's custodian or trustee bank has the right to receive dividends paid with respect to, and proceeds from the sale of, such securities.</w:t>
      </w:r>
    </w:p>
    <w:p>
      <w:pPr>
        <w:spacing w:after="0" w:line="182" w:lineRule="exact"/>
        <w:rPr>
          <w:rFonts w:ascii="Courier New" w:cs="Courier New" w:eastAsia="Courier New" w:hAnsi="Courier New"/>
          <w:sz w:val="16"/>
          <w:szCs w:val="16"/>
          <w:color w:val="auto"/>
        </w:rPr>
      </w:pPr>
    </w:p>
    <w:p>
      <w:pPr>
        <w:ind w:left="860" w:right="2099"/>
        <w:spacing w:after="0" w:line="237"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The ultimate power to direct the receipt of dividends paid with respect to, and the proceeds from the sale of, such securities, is vested in the individual and institutional clients which Price Associates serves as investment adviser. Any and all discretionary authority which has been delegated to Price Associates may be revoked in whole or in part at any time.</w:t>
      </w:r>
    </w:p>
    <w:p>
      <w:pPr>
        <w:spacing w:after="0" w:line="209" w:lineRule="exact"/>
        <w:rPr>
          <w:rFonts w:ascii="Courier New" w:cs="Courier New" w:eastAsia="Courier New" w:hAnsi="Courier New"/>
          <w:sz w:val="16"/>
          <w:szCs w:val="16"/>
          <w:color w:val="auto"/>
        </w:rPr>
      </w:pPr>
    </w:p>
    <w:p>
      <w:pPr>
        <w:ind w:left="860" w:right="1999"/>
        <w:spacing w:after="0" w:line="237" w:lineRule="auto"/>
        <w:rPr>
          <w:rFonts w:ascii="Courier New" w:cs="Courier New" w:eastAsia="Courier New" w:hAnsi="Courier New"/>
          <w:sz w:val="16"/>
          <w:szCs w:val="16"/>
          <w:color w:val="auto"/>
        </w:rPr>
      </w:pPr>
      <w:r>
        <w:rPr>
          <w:rFonts w:ascii="Courier New" w:cs="Courier New" w:eastAsia="Courier New" w:hAnsi="Courier New"/>
          <w:sz w:val="18"/>
          <w:szCs w:val="18"/>
          <w:color w:val="auto"/>
        </w:rPr>
        <w:t>Except as may be indicated if this is a joint filing with one of the registered investment companies sponsored by Price Associates which it also serves as investment adviser ("T. Rowe Price Funds"), not more than 5% of the class of such securities is owned by any one client subject to the investment advice of Price Associates.</w:t>
      </w:r>
    </w:p>
    <w:p>
      <w:pPr>
        <w:spacing w:after="0" w:line="208" w:lineRule="exact"/>
        <w:rPr>
          <w:rFonts w:ascii="Courier New" w:cs="Courier New" w:eastAsia="Courier New" w:hAnsi="Courier New"/>
          <w:sz w:val="16"/>
          <w:szCs w:val="16"/>
          <w:color w:val="auto"/>
        </w:rPr>
      </w:pPr>
    </w:p>
    <w:p>
      <w:pPr>
        <w:ind w:left="860" w:right="1999" w:hanging="852"/>
        <w:spacing w:after="0" w:line="273" w:lineRule="auto"/>
        <w:tabs>
          <w:tab w:leader="none" w:pos="860" w:val="left"/>
        </w:tabs>
        <w:numPr>
          <w:ilvl w:val="0"/>
          <w:numId w:val="12"/>
        </w:numPr>
        <w:rPr>
          <w:rFonts w:ascii="Courier New" w:cs="Courier New" w:eastAsia="Courier New" w:hAnsi="Courier New"/>
          <w:sz w:val="16"/>
          <w:szCs w:val="16"/>
          <w:color w:val="auto"/>
        </w:rPr>
      </w:pPr>
      <w:r>
        <w:rPr>
          <w:rFonts w:ascii="Courier New" w:cs="Courier New" w:eastAsia="Courier New" w:hAnsi="Courier New"/>
          <w:sz w:val="16"/>
          <w:szCs w:val="16"/>
          <w:color w:val="auto"/>
        </w:rPr>
        <w:t>With respect to securities owned by any one of the T. Rowe Price Funds, only the custodian for each of such Funds, has the right to receive dividends paid with respect to, and proceeds from the sale of, such securities. No other person is known to have such right, except that the shareholders of each such Fund participate proportionately</w:t>
      </w:r>
    </w:p>
    <w:p>
      <w:pPr>
        <w:sectPr>
          <w:pgSz w:w="11900" w:h="16838" w:orient="portrait"/>
          <w:cols w:equalWidth="0" w:num="1">
            <w:col w:w="10219"/>
          </w:cols>
          <w:pgMar w:left="240" w:top="136" w:right="1440" w:bottom="0" w:gutter="0" w:footer="0" w:header="0"/>
        </w:sectPr>
      </w:pPr>
    </w:p>
    <w:bookmarkStart w:id="2" w:name="page3"/>
    <w:bookmarkEnd w:id="2"/>
    <w:p>
      <w:pPr>
        <w:ind w:left="860"/>
        <w:spacing w:after="0"/>
        <w:rPr>
          <w:sz w:val="20"/>
          <w:szCs w:val="20"/>
          <w:color w:val="auto"/>
        </w:rPr>
      </w:pPr>
      <w:r>
        <w:rPr>
          <w:rFonts w:ascii="Courier New" w:cs="Courier New" w:eastAsia="Courier New" w:hAnsi="Courier New"/>
          <w:sz w:val="18"/>
          <w:szCs w:val="18"/>
          <w:color w:val="auto"/>
        </w:rPr>
        <w:t>in any dividends and distributions so paid.</w:t>
      </w:r>
    </w:p>
    <w:p>
      <w:pPr>
        <w:spacing w:after="0" w:line="207" w:lineRule="exact"/>
        <w:rPr>
          <w:sz w:val="20"/>
          <w:szCs w:val="20"/>
          <w:color w:val="auto"/>
        </w:rPr>
      </w:pPr>
    </w:p>
    <w:p>
      <w:pPr>
        <w:ind w:left="860" w:right="1999" w:hanging="842"/>
        <w:spacing w:after="0" w:line="235" w:lineRule="auto"/>
        <w:rPr>
          <w:sz w:val="20"/>
          <w:szCs w:val="20"/>
          <w:color w:val="auto"/>
        </w:rPr>
      </w:pPr>
      <w:r>
        <w:rPr>
          <w:rFonts w:ascii="Courier New" w:cs="Courier New" w:eastAsia="Courier New" w:hAnsi="Courier New"/>
          <w:sz w:val="18"/>
          <w:szCs w:val="18"/>
          <w:color w:val="auto"/>
        </w:rPr>
        <w:t>Item 7: Identification and Classification of the Subsidiary Which Acquired the Security Being Reported on By the Parent Holding Company.</w:t>
      </w:r>
    </w:p>
    <w:p>
      <w:pPr>
        <w:ind w:left="860"/>
        <w:spacing w:after="0"/>
        <w:rPr>
          <w:sz w:val="20"/>
          <w:szCs w:val="20"/>
          <w:color w:val="auto"/>
        </w:rPr>
      </w:pPr>
      <w:r>
        <w:rPr>
          <w:rFonts w:ascii="Courier New" w:cs="Courier New" w:eastAsia="Courier New" w:hAnsi="Courier New"/>
          <w:sz w:val="18"/>
          <w:szCs w:val="18"/>
          <w:color w:val="auto"/>
        </w:rPr>
        <w:t>Not Applicable</w:t>
      </w:r>
    </w:p>
    <w:p>
      <w:pPr>
        <w:spacing w:after="0" w:line="207" w:lineRule="exact"/>
        <w:rPr>
          <w:sz w:val="20"/>
          <w:szCs w:val="20"/>
          <w:color w:val="auto"/>
        </w:rPr>
      </w:pPr>
    </w:p>
    <w:p>
      <w:pPr>
        <w:ind w:left="860" w:right="3359" w:hanging="842"/>
        <w:spacing w:after="0" w:line="235" w:lineRule="auto"/>
        <w:rPr>
          <w:sz w:val="20"/>
          <w:szCs w:val="20"/>
          <w:color w:val="auto"/>
        </w:rPr>
      </w:pPr>
      <w:r>
        <w:rPr>
          <w:rFonts w:ascii="Courier New" w:cs="Courier New" w:eastAsia="Courier New" w:hAnsi="Courier New"/>
          <w:sz w:val="18"/>
          <w:szCs w:val="18"/>
          <w:color w:val="auto"/>
        </w:rPr>
        <w:t>Item 8: Identification and Classification of Members of the Group Not Applicable</w:t>
      </w: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9: Notice of Dissolution of Group</w:t>
      </w:r>
    </w:p>
    <w:p>
      <w:pPr>
        <w:ind w:left="860"/>
        <w:spacing w:after="0" w:line="238" w:lineRule="auto"/>
        <w:rPr>
          <w:sz w:val="20"/>
          <w:szCs w:val="20"/>
          <w:color w:val="auto"/>
        </w:rPr>
      </w:pPr>
      <w:r>
        <w:rPr>
          <w:rFonts w:ascii="Courier New" w:cs="Courier New" w:eastAsia="Courier New" w:hAnsi="Courier New"/>
          <w:sz w:val="18"/>
          <w:szCs w:val="18"/>
          <w:color w:val="auto"/>
        </w:rPr>
        <w:t>Not Applicable</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10: Certification</w:t>
      </w:r>
    </w:p>
    <w:p>
      <w:pPr>
        <w:spacing w:after="0" w:line="4" w:lineRule="exact"/>
        <w:rPr>
          <w:sz w:val="20"/>
          <w:szCs w:val="20"/>
          <w:color w:val="auto"/>
        </w:rPr>
      </w:pPr>
    </w:p>
    <w:p>
      <w:pPr>
        <w:ind w:left="960" w:right="2099"/>
        <w:spacing w:after="0" w:line="237" w:lineRule="auto"/>
        <w:rPr>
          <w:sz w:val="20"/>
          <w:szCs w:val="20"/>
          <w:color w:val="auto"/>
        </w:rPr>
      </w:pPr>
      <w:r>
        <w:rPr>
          <w:rFonts w:ascii="Courier New" w:cs="Courier New" w:eastAsia="Courier New" w:hAnsi="Courier New"/>
          <w:sz w:val="18"/>
          <w:szCs w:val="18"/>
          <w:color w:val="auto"/>
        </w:rPr>
        <w:t>By signing below I certify that, to the best of my knowledge and belief, the securities referred to above were acquired in the ordinary course of business and were not acquired and are not held for the purpose of or with the effect of changing or influencing the control of the issuer of the securities and were not acquired and are not held in connection with or as a participant in any transaction having that purpose or effect. T. Rowe Price Associates, Inc. hereby declares and affirms that the filing</w:t>
      </w:r>
    </w:p>
    <w:p>
      <w:pPr>
        <w:spacing w:after="0" w:line="10" w:lineRule="exact"/>
        <w:rPr>
          <w:sz w:val="20"/>
          <w:szCs w:val="20"/>
          <w:color w:val="auto"/>
        </w:rPr>
      </w:pPr>
    </w:p>
    <w:p>
      <w:pPr>
        <w:jc w:val="both"/>
        <w:ind w:left="960" w:right="2419"/>
        <w:spacing w:after="0" w:line="236" w:lineRule="auto"/>
        <w:rPr>
          <w:sz w:val="20"/>
          <w:szCs w:val="20"/>
          <w:color w:val="auto"/>
        </w:rPr>
      </w:pPr>
      <w:r>
        <w:rPr>
          <w:rFonts w:ascii="Courier New" w:cs="Courier New" w:eastAsia="Courier New" w:hAnsi="Courier New"/>
          <w:sz w:val="18"/>
          <w:szCs w:val="18"/>
          <w:color w:val="auto"/>
        </w:rPr>
        <w:t>of Schedule 13G shall not be construed as an admission that Price Associates is the beneficial owner of the securities referred to, which beneficial ownership is expressly denied.</w:t>
      </w:r>
    </w:p>
    <w:p>
      <w:pPr>
        <w:spacing w:after="0" w:line="203" w:lineRule="exact"/>
        <w:rPr>
          <w:sz w:val="20"/>
          <w:szCs w:val="20"/>
          <w:color w:val="auto"/>
        </w:rPr>
      </w:pPr>
    </w:p>
    <w:p>
      <w:pPr>
        <w:ind w:left="960"/>
        <w:spacing w:after="0"/>
        <w:rPr>
          <w:sz w:val="20"/>
          <w:szCs w:val="20"/>
          <w:color w:val="auto"/>
        </w:rPr>
      </w:pPr>
      <w:r>
        <w:rPr>
          <w:rFonts w:ascii="Courier New" w:cs="Courier New" w:eastAsia="Courier New" w:hAnsi="Courier New"/>
          <w:sz w:val="18"/>
          <w:szCs w:val="18"/>
          <w:color w:val="auto"/>
        </w:rPr>
        <w:t>Signature.</w:t>
      </w:r>
    </w:p>
    <w:p>
      <w:pPr>
        <w:spacing w:after="0" w:line="207" w:lineRule="exact"/>
        <w:rPr>
          <w:sz w:val="20"/>
          <w:szCs w:val="20"/>
          <w:color w:val="auto"/>
        </w:rPr>
      </w:pPr>
    </w:p>
    <w:p>
      <w:pPr>
        <w:jc w:val="both"/>
        <w:ind w:left="960" w:right="2099"/>
        <w:spacing w:after="0" w:line="236" w:lineRule="auto"/>
        <w:rPr>
          <w:sz w:val="20"/>
          <w:szCs w:val="20"/>
          <w:color w:val="auto"/>
        </w:rPr>
      </w:pPr>
      <w:r>
        <w:rPr>
          <w:rFonts w:ascii="Courier New" w:cs="Courier New" w:eastAsia="Courier New" w:hAnsi="Courier New"/>
          <w:sz w:val="18"/>
          <w:szCs w:val="18"/>
          <w:color w:val="auto"/>
        </w:rPr>
        <w:t>After reasonable inquiry and to the best of my knowledge and belief, I certify that the information set forth in this statement is true, complete and correct.</w:t>
      </w: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T. ROWE PRICE ASSOCIATES, INC.</w:t>
      </w:r>
    </w:p>
    <w:p>
      <w:pPr>
        <w:spacing w:after="0" w:line="238" w:lineRule="auto"/>
        <w:rPr>
          <w:sz w:val="20"/>
          <w:szCs w:val="20"/>
          <w:color w:val="auto"/>
        </w:rPr>
      </w:pPr>
      <w:r>
        <w:rPr>
          <w:rFonts w:ascii="Courier New" w:cs="Courier New" w:eastAsia="Courier New" w:hAnsi="Courier New"/>
          <w:sz w:val="18"/>
          <w:szCs w:val="18"/>
          <w:color w:val="auto"/>
        </w:rPr>
        <w:t>Date: February 14, 2019</w:t>
      </w:r>
    </w:p>
    <w:p>
      <w:pPr>
        <w:spacing w:after="0"/>
        <w:rPr>
          <w:sz w:val="20"/>
          <w:szCs w:val="20"/>
          <w:color w:val="auto"/>
        </w:rPr>
      </w:pPr>
      <w:r>
        <w:rPr>
          <w:rFonts w:ascii="Courier New" w:cs="Courier New" w:eastAsia="Courier New" w:hAnsi="Courier New"/>
          <w:sz w:val="18"/>
          <w:szCs w:val="18"/>
          <w:color w:val="auto"/>
        </w:rPr>
        <w:t>Signature: /s/ David Oestreicher</w:t>
      </w:r>
    </w:p>
    <w:p>
      <w:pPr>
        <w:spacing w:after="0" w:line="237" w:lineRule="auto"/>
        <w:rPr>
          <w:sz w:val="20"/>
          <w:szCs w:val="20"/>
          <w:color w:val="auto"/>
        </w:rPr>
      </w:pPr>
      <w:r>
        <w:rPr>
          <w:rFonts w:ascii="Courier New" w:cs="Courier New" w:eastAsia="Courier New" w:hAnsi="Courier New"/>
          <w:sz w:val="18"/>
          <w:szCs w:val="18"/>
          <w:color w:val="auto"/>
        </w:rPr>
        <w:t>Name &amp; Title: David Oestreicher, Vice President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T. ROWE PRICE MID-CAP GROWTH FUND, INC.</w:t>
      </w:r>
    </w:p>
    <w:p>
      <w:pPr>
        <w:spacing w:after="0" w:line="238" w:lineRule="auto"/>
        <w:rPr>
          <w:sz w:val="20"/>
          <w:szCs w:val="20"/>
          <w:color w:val="auto"/>
        </w:rPr>
      </w:pPr>
      <w:r>
        <w:rPr>
          <w:rFonts w:ascii="Courier New" w:cs="Courier New" w:eastAsia="Courier New" w:hAnsi="Courier New"/>
          <w:sz w:val="18"/>
          <w:szCs w:val="18"/>
          <w:color w:val="auto"/>
        </w:rPr>
        <w:t>Date: February 14, 2019</w:t>
      </w:r>
    </w:p>
    <w:p>
      <w:pPr>
        <w:spacing w:after="0"/>
        <w:rPr>
          <w:sz w:val="20"/>
          <w:szCs w:val="20"/>
          <w:color w:val="auto"/>
        </w:rPr>
      </w:pPr>
      <w:r>
        <w:rPr>
          <w:rFonts w:ascii="Courier New" w:cs="Courier New" w:eastAsia="Courier New" w:hAnsi="Courier New"/>
          <w:sz w:val="18"/>
          <w:szCs w:val="18"/>
          <w:color w:val="auto"/>
        </w:rPr>
        <w:t>Signature: /s/ David Oestreicher</w:t>
      </w:r>
    </w:p>
    <w:p>
      <w:pPr>
        <w:spacing w:after="0" w:line="237" w:lineRule="auto"/>
        <w:rPr>
          <w:sz w:val="20"/>
          <w:szCs w:val="20"/>
          <w:color w:val="auto"/>
        </w:rPr>
      </w:pPr>
      <w:r>
        <w:rPr>
          <w:rFonts w:ascii="Courier New" w:cs="Courier New" w:eastAsia="Courier New" w:hAnsi="Courier New"/>
          <w:sz w:val="18"/>
          <w:szCs w:val="18"/>
          <w:color w:val="auto"/>
        </w:rPr>
        <w:t>Name &amp; Title: David Oestreicher, Vice President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12/31/2018</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EXHIBIT A</w:t>
      </w:r>
    </w:p>
    <w:p>
      <w:pPr>
        <w:spacing w:after="0" w:line="238" w:lineRule="auto"/>
        <w:rPr>
          <w:sz w:val="20"/>
          <w:szCs w:val="20"/>
          <w:color w:val="auto"/>
        </w:rPr>
      </w:pPr>
      <w:r>
        <w:rPr>
          <w:rFonts w:ascii="Courier New" w:cs="Courier New" w:eastAsia="Courier New" w:hAnsi="Courier New"/>
          <w:sz w:val="18"/>
          <w:szCs w:val="18"/>
          <w:color w:val="auto"/>
        </w:rPr>
        <w:t>AGREEMENT</w:t>
      </w:r>
    </w:p>
    <w:p>
      <w:pPr>
        <w:spacing w:after="0"/>
        <w:rPr>
          <w:sz w:val="20"/>
          <w:szCs w:val="20"/>
          <w:color w:val="auto"/>
        </w:rPr>
      </w:pPr>
      <w:r>
        <w:rPr>
          <w:rFonts w:ascii="Courier New" w:cs="Courier New" w:eastAsia="Courier New" w:hAnsi="Courier New"/>
          <w:sz w:val="18"/>
          <w:szCs w:val="18"/>
          <w:color w:val="auto"/>
        </w:rPr>
        <w:t>JOINT FILING OF SCHEDULE 13G</w:t>
      </w:r>
    </w:p>
    <w:p>
      <w:pPr>
        <w:spacing w:after="0" w:line="206" w:lineRule="exact"/>
        <w:rPr>
          <w:sz w:val="20"/>
          <w:szCs w:val="20"/>
          <w:color w:val="auto"/>
        </w:rPr>
      </w:pPr>
    </w:p>
    <w:p>
      <w:pPr>
        <w:ind w:right="2099"/>
        <w:spacing w:after="0" w:line="235" w:lineRule="auto"/>
        <w:rPr>
          <w:sz w:val="20"/>
          <w:szCs w:val="20"/>
          <w:color w:val="auto"/>
        </w:rPr>
      </w:pPr>
      <w:r>
        <w:rPr>
          <w:rFonts w:ascii="Courier New" w:cs="Courier New" w:eastAsia="Courier New" w:hAnsi="Courier New"/>
          <w:sz w:val="18"/>
          <w:szCs w:val="18"/>
          <w:color w:val="auto"/>
        </w:rPr>
        <w:t>Price Associates, Inc. (an investment adviser registered under the Investment Advisers Act of 1940), and</w:t>
      </w:r>
    </w:p>
    <w:p>
      <w:pPr>
        <w:spacing w:after="0"/>
        <w:rPr>
          <w:sz w:val="20"/>
          <w:szCs w:val="20"/>
          <w:color w:val="auto"/>
        </w:rPr>
      </w:pPr>
      <w:r>
        <w:rPr>
          <w:rFonts w:ascii="Courier New" w:cs="Courier New" w:eastAsia="Courier New" w:hAnsi="Courier New"/>
          <w:sz w:val="18"/>
          <w:szCs w:val="18"/>
          <w:color w:val="auto"/>
        </w:rPr>
        <w:t>T. ROWE PRICE MID-CAP GROWTH FUND, INC.,</w:t>
      </w:r>
    </w:p>
    <w:p>
      <w:pPr>
        <w:spacing w:after="0" w:line="4" w:lineRule="exact"/>
        <w:rPr>
          <w:sz w:val="20"/>
          <w:szCs w:val="20"/>
          <w:color w:val="auto"/>
        </w:rPr>
      </w:pPr>
    </w:p>
    <w:p>
      <w:pPr>
        <w:ind w:right="1999"/>
        <w:spacing w:after="0" w:line="237" w:lineRule="auto"/>
        <w:rPr>
          <w:sz w:val="20"/>
          <w:szCs w:val="20"/>
          <w:color w:val="auto"/>
        </w:rPr>
      </w:pPr>
      <w:r>
        <w:rPr>
          <w:rFonts w:ascii="Courier New" w:cs="Courier New" w:eastAsia="Courier New" w:hAnsi="Courier New"/>
          <w:sz w:val="18"/>
          <w:szCs w:val="18"/>
          <w:color w:val="auto"/>
        </w:rPr>
        <w:t>all of which are Maryland corporations, hereby agree to file jointly the statement on Schedule 13G to which this Agreement is attached, and any amendments thereto which may be deemed necessary, pursuant to Regulation 13D-G under the Securities Exchange Act of 1934.</w:t>
      </w:r>
    </w:p>
    <w:p>
      <w:pPr>
        <w:spacing w:after="0" w:line="207" w:lineRule="exact"/>
        <w:rPr>
          <w:sz w:val="20"/>
          <w:szCs w:val="20"/>
          <w:color w:val="auto"/>
        </w:rPr>
      </w:pPr>
    </w:p>
    <w:p>
      <w:pPr>
        <w:ind w:right="1879"/>
        <w:spacing w:after="0" w:line="237" w:lineRule="auto"/>
        <w:rPr>
          <w:sz w:val="20"/>
          <w:szCs w:val="20"/>
          <w:color w:val="auto"/>
        </w:rPr>
      </w:pPr>
      <w:r>
        <w:rPr>
          <w:rFonts w:ascii="Courier New" w:cs="Courier New" w:eastAsia="Courier New" w:hAnsi="Courier New"/>
          <w:sz w:val="18"/>
          <w:szCs w:val="18"/>
          <w:color w:val="auto"/>
        </w:rPr>
        <w:t>It is understood and agreed that each of the parties hereto is responsible for the timely filing of such statement and any amendments thereto, and for the completeness and accuracy of the information concerning such party contained therein, but such party is not responsible for the completeness or accuracy of information concerning the other party unless such party knows or has reason to believe that such information is inaccurate.</w:t>
      </w:r>
    </w:p>
    <w:p>
      <w:pPr>
        <w:spacing w:after="0" w:line="210" w:lineRule="exact"/>
        <w:rPr>
          <w:sz w:val="20"/>
          <w:szCs w:val="20"/>
          <w:color w:val="auto"/>
        </w:rPr>
      </w:pPr>
    </w:p>
    <w:p>
      <w:pPr>
        <w:ind w:right="1999"/>
        <w:spacing w:after="0" w:line="236" w:lineRule="auto"/>
        <w:rPr>
          <w:sz w:val="20"/>
          <w:szCs w:val="20"/>
          <w:color w:val="auto"/>
        </w:rPr>
      </w:pPr>
      <w:r>
        <w:rPr>
          <w:rFonts w:ascii="Courier New" w:cs="Courier New" w:eastAsia="Courier New" w:hAnsi="Courier New"/>
          <w:sz w:val="18"/>
          <w:szCs w:val="18"/>
          <w:color w:val="auto"/>
        </w:rPr>
        <w:t>It is understood and agreed that a copy of this Agreement shall be attached as an exhibit to the statement on Schedule 13G, and any amendments hereto, filed on behalf of each of the parties hereto.</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T. ROWE PRICE ASSOCIATES, INC.</w:t>
      </w:r>
    </w:p>
    <w:p>
      <w:pPr>
        <w:spacing w:after="0" w:line="238" w:lineRule="auto"/>
        <w:rPr>
          <w:sz w:val="20"/>
          <w:szCs w:val="20"/>
          <w:color w:val="auto"/>
        </w:rPr>
      </w:pPr>
      <w:r>
        <w:rPr>
          <w:rFonts w:ascii="Courier New" w:cs="Courier New" w:eastAsia="Courier New" w:hAnsi="Courier New"/>
          <w:sz w:val="18"/>
          <w:szCs w:val="18"/>
          <w:color w:val="auto"/>
        </w:rPr>
        <w:t>Date: February 14, 2019</w:t>
      </w:r>
    </w:p>
    <w:p>
      <w:pPr>
        <w:spacing w:after="0"/>
        <w:rPr>
          <w:sz w:val="20"/>
          <w:szCs w:val="20"/>
          <w:color w:val="auto"/>
        </w:rPr>
      </w:pPr>
      <w:r>
        <w:rPr>
          <w:rFonts w:ascii="Courier New" w:cs="Courier New" w:eastAsia="Courier New" w:hAnsi="Courier New"/>
          <w:sz w:val="18"/>
          <w:szCs w:val="18"/>
          <w:color w:val="auto"/>
        </w:rPr>
        <w:t>Signature: /s/ David Oestreicher</w:t>
      </w:r>
    </w:p>
    <w:p>
      <w:pPr>
        <w:spacing w:after="0" w:line="237" w:lineRule="auto"/>
        <w:rPr>
          <w:sz w:val="20"/>
          <w:szCs w:val="20"/>
          <w:color w:val="auto"/>
        </w:rPr>
      </w:pPr>
      <w:r>
        <w:rPr>
          <w:rFonts w:ascii="Courier New" w:cs="Courier New" w:eastAsia="Courier New" w:hAnsi="Courier New"/>
          <w:sz w:val="18"/>
          <w:szCs w:val="18"/>
          <w:color w:val="auto"/>
        </w:rPr>
        <w:t>Name &amp; Title: David Oestreicher, Vice President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T. ROWE PRICE MID-CAP GROWTH FUND, INC.</w:t>
      </w:r>
    </w:p>
    <w:p>
      <w:pPr>
        <w:spacing w:after="0" w:line="238" w:lineRule="auto"/>
        <w:rPr>
          <w:sz w:val="20"/>
          <w:szCs w:val="20"/>
          <w:color w:val="auto"/>
        </w:rPr>
      </w:pPr>
      <w:r>
        <w:rPr>
          <w:rFonts w:ascii="Courier New" w:cs="Courier New" w:eastAsia="Courier New" w:hAnsi="Courier New"/>
          <w:sz w:val="18"/>
          <w:szCs w:val="18"/>
          <w:color w:val="auto"/>
        </w:rPr>
        <w:t>Date: February 14, 2019</w:t>
      </w:r>
    </w:p>
    <w:p>
      <w:pPr>
        <w:spacing w:after="0"/>
        <w:rPr>
          <w:sz w:val="20"/>
          <w:szCs w:val="20"/>
          <w:color w:val="auto"/>
        </w:rPr>
      </w:pPr>
      <w:r>
        <w:rPr>
          <w:rFonts w:ascii="Courier New" w:cs="Courier New" w:eastAsia="Courier New" w:hAnsi="Courier New"/>
          <w:sz w:val="18"/>
          <w:szCs w:val="18"/>
          <w:color w:val="auto"/>
        </w:rPr>
        <w:t>Signature: /s/ David Oestreicher</w:t>
      </w:r>
    </w:p>
    <w:p>
      <w:pPr>
        <w:spacing w:after="0" w:line="237" w:lineRule="auto"/>
        <w:rPr>
          <w:sz w:val="20"/>
          <w:szCs w:val="20"/>
          <w:color w:val="auto"/>
        </w:rPr>
      </w:pPr>
      <w:r>
        <w:rPr>
          <w:rFonts w:ascii="Courier New" w:cs="Courier New" w:eastAsia="Courier New" w:hAnsi="Courier New"/>
          <w:sz w:val="18"/>
          <w:szCs w:val="18"/>
          <w:color w:val="auto"/>
        </w:rPr>
        <w:t>Name &amp; Title: David Oestreicher, Vice President</w:t>
      </w:r>
    </w:p>
    <w:sectPr>
      <w:pgSz w:w="11900" w:h="16838" w:orient="portrait"/>
      <w:cols w:equalWidth="0" w:num="1">
        <w:col w:w="10219"/>
      </w:cols>
      <w:pgMar w:left="240" w:top="136" w:right="1440" w:bottom="13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2EB141F2"/>
    <w:multiLevelType w:val="hybridMultilevel"/>
    <w:lvl w:ilvl="0">
      <w:lvlJc w:val="left"/>
      <w:lvlText w:val="[%1]"/>
      <w:numFmt w:val="lowerRoman"/>
      <w:start w:val="10"/>
    </w:lvl>
  </w:abstractNum>
  <w:abstractNum w:abstractNumId="1">
    <w:nsid w:val="41B71EFB"/>
    <w:multiLevelType w:val="hybridMultilevel"/>
    <w:lvl w:ilvl="0">
      <w:lvlJc w:val="left"/>
      <w:lvlText w:val="%1."/>
      <w:numFmt w:val="decimal"/>
      <w:start w:val="1"/>
    </w:lvl>
  </w:abstractNum>
  <w:abstractNum w:abstractNumId="2">
    <w:nsid w:val="79E2A9E3"/>
    <w:multiLevelType w:val="hybridMultilevel"/>
    <w:lvl w:ilvl="0">
      <w:lvlJc w:val="left"/>
      <w:lvlText w:val="%1."/>
      <w:numFmt w:val="decimal"/>
      <w:start w:val="9"/>
    </w:lvl>
  </w:abstractNum>
  <w:abstractNum w:abstractNumId="3">
    <w:nsid w:val="7545E146"/>
    <w:multiLevelType w:val="hybridMultilevel"/>
    <w:lvl w:ilvl="0">
      <w:lvlJc w:val="left"/>
      <w:lvlText w:val="%1."/>
      <w:numFmt w:val="decimal"/>
      <w:start w:val="12"/>
    </w:lvl>
  </w:abstractNum>
  <w:abstractNum w:abstractNumId="4">
    <w:nsid w:val="515F007C"/>
    <w:multiLevelType w:val="hybridMultilevel"/>
    <w:lvl w:ilvl="0">
      <w:lvlJc w:val="left"/>
      <w:lvlText w:val="%1."/>
      <w:numFmt w:val="decimal"/>
      <w:start w:val="1"/>
    </w:lvl>
  </w:abstractNum>
  <w:abstractNum w:abstractNumId="5">
    <w:nsid w:val="5BD062C2"/>
    <w:multiLevelType w:val="hybridMultilevel"/>
    <w:lvl w:ilvl="0">
      <w:lvlJc w:val="left"/>
      <w:lvlText w:val="%1."/>
      <w:numFmt w:val="decimal"/>
      <w:start w:val="9"/>
    </w:lvl>
  </w:abstractNum>
  <w:abstractNum w:abstractNumId="6">
    <w:nsid w:val="12200854"/>
    <w:multiLevelType w:val="hybridMultilevel"/>
    <w:lvl w:ilvl="0">
      <w:lvlJc w:val="left"/>
      <w:lvlText w:val="%1."/>
      <w:numFmt w:val="decimal"/>
      <w:start w:val="12"/>
    </w:lvl>
  </w:abstractNum>
  <w:abstractNum w:abstractNumId="7">
    <w:nsid w:val="4DB127F8"/>
    <w:multiLevelType w:val="hybridMultilevel"/>
    <w:lvl w:ilvl="0">
      <w:lvlJc w:val="left"/>
      <w:lvlText w:val="(%1)"/>
      <w:numFmt w:val="decimal"/>
      <w:start w:val="1"/>
    </w:lvl>
  </w:abstractNum>
  <w:abstractNum w:abstractNumId="8">
    <w:nsid w:val="216231B"/>
    <w:multiLevelType w:val="hybridMultilevel"/>
    <w:lvl w:ilvl="0">
      <w:lvlJc w:val="left"/>
      <w:lvlText w:val="X"/>
      <w:numFmt w:val="bullet"/>
      <w:start w:val="1"/>
    </w:lvl>
  </w:abstractNum>
  <w:abstractNum w:abstractNumId="9">
    <w:nsid w:val="1F16E9E8"/>
    <w:multiLevelType w:val="hybridMultilevel"/>
    <w:lvl w:ilvl="0">
      <w:lvlJc w:val="left"/>
      <w:lvlText w:val="(%1)"/>
      <w:numFmt w:val="decimal"/>
      <w:start w:val="1"/>
    </w:lvl>
  </w:abstractNum>
  <w:abstractNum w:abstractNumId="10">
    <w:nsid w:val="1190CDE7"/>
    <w:multiLevelType w:val="hybridMultilevel"/>
    <w:lvl w:ilvl="0">
      <w:lvlJc w:val="left"/>
      <w:lvlText w:val="X"/>
      <w:numFmt w:val="bullet"/>
      <w:start w:val="1"/>
    </w:lvl>
  </w:abstractNum>
  <w:abstractNum w:abstractNumId="11">
    <w:nsid w:val="66EF438D"/>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2020-01-09T20:28:16Z</dcterms:created>
  <dcterms:modified xsi:type="dcterms:W3CDTF">2020-01-09T20:28:16Z</dcterms:modified>
</cp:coreProperties>
</file>