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9"/>
          <w:szCs w:val="29"/>
          <w:b w:val="1"/>
          <w:bCs w:val="1"/>
          <w:color w:val="auto"/>
        </w:rPr>
        <w:t>UNITED STATES</w:t>
      </w:r>
    </w:p>
    <w:p>
      <w:pPr>
        <w:spacing w:after="0" w:line="4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9"/>
          <w:szCs w:val="29"/>
          <w:b w:val="1"/>
          <w:bCs w:val="1"/>
          <w:color w:val="auto"/>
        </w:rPr>
        <w:t>SECURITIES AND EXCHANGE COMMISSION</w:t>
      </w:r>
    </w:p>
    <w:p>
      <w:pPr>
        <w:spacing w:after="0" w:line="1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1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9"/>
          <w:szCs w:val="29"/>
          <w:b w:val="1"/>
          <w:bCs w:val="1"/>
          <w:color w:val="auto"/>
        </w:rPr>
        <w:t>FORM 8-K/A</w:t>
      </w:r>
    </w:p>
    <w:p>
      <w:pPr>
        <w:spacing w:after="0" w:line="4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9"/>
          <w:szCs w:val="29"/>
          <w:b w:val="1"/>
          <w:bCs w:val="1"/>
          <w:color w:val="auto"/>
        </w:rPr>
        <w:t>(Amendment No. 2)</w:t>
      </w:r>
    </w:p>
    <w:p>
      <w:pPr>
        <w:spacing w:after="0" w:line="243"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274" w:lineRule="exact"/>
        <w:rPr>
          <w:sz w:val="24"/>
          <w:szCs w:val="24"/>
          <w:color w:val="auto"/>
        </w:rPr>
      </w:pPr>
    </w:p>
    <w:p>
      <w:pPr>
        <w:ind w:left="3380"/>
        <w:spacing w:after="0"/>
        <w:rPr>
          <w:sz w:val="20"/>
          <w:szCs w:val="20"/>
          <w:color w:val="auto"/>
        </w:rPr>
      </w:pPr>
      <w:r>
        <w:rPr>
          <w:rFonts w:ascii="Times New Roman" w:cs="Times New Roman" w:eastAsia="Times New Roman" w:hAnsi="Times New Roman"/>
          <w:sz w:val="22"/>
          <w:szCs w:val="22"/>
          <w:b w:val="1"/>
          <w:bCs w:val="1"/>
          <w:color w:val="auto"/>
        </w:rPr>
        <w:t>PURSUANT TO SECTION 13 OR 15(d) OF THE</w:t>
      </w:r>
    </w:p>
    <w:p>
      <w:pPr>
        <w:spacing w:after="0" w:line="32" w:lineRule="exact"/>
        <w:rPr>
          <w:sz w:val="24"/>
          <w:szCs w:val="24"/>
          <w:color w:val="auto"/>
        </w:rPr>
      </w:pPr>
    </w:p>
    <w:p>
      <w:pPr>
        <w:ind w:left="3740"/>
        <w:spacing w:after="0"/>
        <w:rPr>
          <w:sz w:val="20"/>
          <w:szCs w:val="20"/>
          <w:color w:val="auto"/>
        </w:rPr>
      </w:pPr>
      <w:r>
        <w:rPr>
          <w:rFonts w:ascii="Times New Roman" w:cs="Times New Roman" w:eastAsia="Times New Roman" w:hAnsi="Times New Roman"/>
          <w:sz w:val="22"/>
          <w:szCs w:val="22"/>
          <w:b w:val="1"/>
          <w:bCs w:val="1"/>
          <w:color w:val="auto"/>
        </w:rPr>
        <w:t>SECURITIES EXCHANGE ACT OF 1934</w:t>
      </w:r>
    </w:p>
    <w:p>
      <w:pPr>
        <w:spacing w:after="0" w:line="23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color w:val="auto"/>
        </w:rPr>
        <w:t xml:space="preserve">Date of Report (Date of earliest event reported): </w:t>
      </w:r>
      <w:r>
        <w:rPr>
          <w:rFonts w:ascii="Times New Roman" w:cs="Times New Roman" w:eastAsia="Times New Roman" w:hAnsi="Times New Roman"/>
          <w:sz w:val="22"/>
          <w:szCs w:val="22"/>
          <w:b w:val="1"/>
          <w:bCs w:val="1"/>
          <w:color w:val="auto"/>
        </w:rPr>
        <w:t>July 11, 2018</w:t>
      </w:r>
    </w:p>
    <w:p>
      <w:pPr>
        <w:spacing w:after="0" w:line="24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AMNEAL PHARMACEUTICALS, INC.</w:t>
      </w:r>
    </w:p>
    <w:p>
      <w:pPr>
        <w:spacing w:after="0" w:line="54"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22"/>
          <w:szCs w:val="22"/>
          <w:color w:val="auto"/>
        </w:rPr>
        <w:t>(Exact Name of registrant as specified in its charter)</w:t>
      </w:r>
    </w:p>
    <w:p>
      <w:pPr>
        <w:spacing w:after="0" w:line="200" w:lineRule="exact"/>
        <w:rPr>
          <w:sz w:val="24"/>
          <w:szCs w:val="24"/>
          <w:color w:val="auto"/>
        </w:rPr>
      </w:pPr>
    </w:p>
    <w:p>
      <w:pPr>
        <w:spacing w:after="0" w:line="343" w:lineRule="exact"/>
        <w:rPr>
          <w:sz w:val="24"/>
          <w:szCs w:val="24"/>
          <w:color w:val="auto"/>
        </w:rPr>
      </w:pPr>
    </w:p>
    <w:tbl>
      <w:tblPr>
        <w:tblLayout w:type="fixed"/>
        <w:tblInd w:w="0" w:type="dxa"/>
        <w:tblCellMar>
          <w:top w:w="0" w:type="dxa"/>
          <w:left w:w="0" w:type="dxa"/>
          <w:bottom w:w="0" w:type="dxa"/>
          <w:right w:w="0" w:type="dxa"/>
        </w:tblCellMar>
      </w:tblPr>
      <w:tr>
        <w:trPr>
          <w:trHeight w:val="287"/>
        </w:trPr>
        <w:tc>
          <w:tcPr>
            <w:tcW w:w="4580" w:type="dxa"/>
            <w:vAlign w:val="bottom"/>
            <w:gridSpan w:val="2"/>
          </w:tcPr>
          <w:p>
            <w:pPr>
              <w:jc w:val="center"/>
              <w:ind w:right="640"/>
              <w:spacing w:after="0"/>
              <w:rPr>
                <w:sz w:val="20"/>
                <w:szCs w:val="20"/>
                <w:color w:val="auto"/>
              </w:rPr>
            </w:pPr>
            <w:r>
              <w:rPr>
                <w:rFonts w:ascii="Times New Roman" w:cs="Times New Roman" w:eastAsia="Times New Roman" w:hAnsi="Times New Roman"/>
                <w:sz w:val="22"/>
                <w:szCs w:val="22"/>
                <w:b w:val="1"/>
                <w:bCs w:val="1"/>
                <w:color w:val="auto"/>
                <w:w w:val="96"/>
              </w:rPr>
              <w:t>Delaware</w:t>
            </w:r>
          </w:p>
        </w:tc>
        <w:tc>
          <w:tcPr>
            <w:tcW w:w="3080" w:type="dxa"/>
            <w:vAlign w:val="bottom"/>
          </w:tcPr>
          <w:p>
            <w:pPr>
              <w:jc w:val="right"/>
              <w:ind w:right="961"/>
              <w:spacing w:after="0"/>
              <w:rPr>
                <w:sz w:val="20"/>
                <w:szCs w:val="20"/>
                <w:color w:val="auto"/>
              </w:rPr>
            </w:pPr>
            <w:r>
              <w:rPr>
                <w:rFonts w:ascii="Times New Roman" w:cs="Times New Roman" w:eastAsia="Times New Roman" w:hAnsi="Times New Roman"/>
                <w:sz w:val="22"/>
                <w:szCs w:val="22"/>
                <w:b w:val="1"/>
                <w:bCs w:val="1"/>
                <w:color w:val="auto"/>
              </w:rPr>
              <w:t>001-38485</w:t>
            </w:r>
          </w:p>
        </w:tc>
        <w:tc>
          <w:tcPr>
            <w:tcW w:w="680" w:type="dxa"/>
            <w:vAlign w:val="bottom"/>
          </w:tcPr>
          <w:p>
            <w:pPr>
              <w:spacing w:after="0"/>
              <w:rPr>
                <w:sz w:val="24"/>
                <w:szCs w:val="24"/>
                <w:color w:val="auto"/>
              </w:rPr>
            </w:pPr>
          </w:p>
        </w:tc>
        <w:tc>
          <w:tcPr>
            <w:tcW w:w="308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32-0546926</w:t>
            </w:r>
          </w:p>
        </w:tc>
      </w:tr>
      <w:tr>
        <w:trPr>
          <w:trHeight w:val="42"/>
        </w:trPr>
        <w:tc>
          <w:tcPr>
            <w:tcW w:w="3900" w:type="dxa"/>
            <w:vAlign w:val="bottom"/>
            <w:tcBorders>
              <w:bottom w:val="single" w:sz="8" w:color="auto"/>
            </w:tcBorders>
          </w:tcPr>
          <w:p>
            <w:pPr>
              <w:spacing w:after="0"/>
              <w:rPr>
                <w:sz w:val="3"/>
                <w:szCs w:val="3"/>
                <w:color w:val="auto"/>
              </w:rPr>
            </w:pPr>
          </w:p>
        </w:tc>
        <w:tc>
          <w:tcPr>
            <w:tcW w:w="680" w:type="dxa"/>
            <w:vAlign w:val="bottom"/>
          </w:tcPr>
          <w:p>
            <w:pPr>
              <w:spacing w:after="0"/>
              <w:rPr>
                <w:sz w:val="3"/>
                <w:szCs w:val="3"/>
                <w:color w:val="auto"/>
              </w:rPr>
            </w:pPr>
          </w:p>
        </w:tc>
        <w:tc>
          <w:tcPr>
            <w:tcW w:w="3080" w:type="dxa"/>
            <w:vAlign w:val="bottom"/>
            <w:tcBorders>
              <w:bottom w:val="single" w:sz="8" w:color="auto"/>
            </w:tcBorders>
          </w:tcPr>
          <w:p>
            <w:pPr>
              <w:spacing w:after="0"/>
              <w:rPr>
                <w:sz w:val="3"/>
                <w:szCs w:val="3"/>
                <w:color w:val="auto"/>
              </w:rPr>
            </w:pPr>
          </w:p>
        </w:tc>
        <w:tc>
          <w:tcPr>
            <w:tcW w:w="680" w:type="dxa"/>
            <w:vAlign w:val="bottom"/>
          </w:tcPr>
          <w:p>
            <w:pPr>
              <w:spacing w:after="0"/>
              <w:rPr>
                <w:sz w:val="3"/>
                <w:szCs w:val="3"/>
                <w:color w:val="auto"/>
              </w:rPr>
            </w:pPr>
          </w:p>
        </w:tc>
        <w:tc>
          <w:tcPr>
            <w:tcW w:w="3080" w:type="dxa"/>
            <w:vAlign w:val="bottom"/>
            <w:tcBorders>
              <w:bottom w:val="single" w:sz="8" w:color="auto"/>
            </w:tcBorders>
          </w:tcPr>
          <w:p>
            <w:pPr>
              <w:spacing w:after="0"/>
              <w:rPr>
                <w:sz w:val="3"/>
                <w:szCs w:val="3"/>
                <w:color w:val="auto"/>
              </w:rPr>
            </w:pPr>
          </w:p>
        </w:tc>
      </w:tr>
      <w:tr>
        <w:trPr>
          <w:trHeight w:val="218"/>
        </w:trPr>
        <w:tc>
          <w:tcPr>
            <w:tcW w:w="4580" w:type="dxa"/>
            <w:vAlign w:val="bottom"/>
            <w:gridSpan w:val="2"/>
          </w:tcPr>
          <w:p>
            <w:pPr>
              <w:jc w:val="center"/>
              <w:ind w:right="680"/>
              <w:spacing w:after="0"/>
              <w:rPr>
                <w:sz w:val="20"/>
                <w:szCs w:val="20"/>
                <w:color w:val="auto"/>
              </w:rPr>
            </w:pPr>
            <w:r>
              <w:rPr>
                <w:rFonts w:ascii="Times New Roman" w:cs="Times New Roman" w:eastAsia="Times New Roman" w:hAnsi="Times New Roman"/>
                <w:sz w:val="18"/>
                <w:szCs w:val="18"/>
                <w:color w:val="auto"/>
              </w:rPr>
              <w:t>(State or other jurisdiction</w:t>
            </w:r>
          </w:p>
        </w:tc>
        <w:tc>
          <w:tcPr>
            <w:tcW w:w="3760" w:type="dxa"/>
            <w:vAlign w:val="bottom"/>
            <w:gridSpan w:val="2"/>
          </w:tcPr>
          <w:p>
            <w:pPr>
              <w:jc w:val="center"/>
              <w:ind w:right="640"/>
              <w:spacing w:after="0"/>
              <w:rPr>
                <w:sz w:val="20"/>
                <w:szCs w:val="20"/>
                <w:color w:val="auto"/>
              </w:rPr>
            </w:pPr>
            <w:r>
              <w:rPr>
                <w:rFonts w:ascii="Times New Roman" w:cs="Times New Roman" w:eastAsia="Times New Roman" w:hAnsi="Times New Roman"/>
                <w:sz w:val="18"/>
                <w:szCs w:val="18"/>
                <w:color w:val="auto"/>
              </w:rPr>
              <w:t>(Commission File Number)</w:t>
            </w:r>
          </w:p>
        </w:tc>
        <w:tc>
          <w:tcPr>
            <w:tcW w:w="30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4580" w:type="dxa"/>
            <w:vAlign w:val="bottom"/>
            <w:gridSpan w:val="2"/>
          </w:tcPr>
          <w:p>
            <w:pPr>
              <w:jc w:val="center"/>
              <w:ind w:right="640"/>
              <w:spacing w:after="0"/>
              <w:rPr>
                <w:sz w:val="20"/>
                <w:szCs w:val="20"/>
                <w:color w:val="auto"/>
              </w:rPr>
            </w:pPr>
            <w:r>
              <w:rPr>
                <w:rFonts w:ascii="Times New Roman" w:cs="Times New Roman" w:eastAsia="Times New Roman" w:hAnsi="Times New Roman"/>
                <w:sz w:val="18"/>
                <w:szCs w:val="18"/>
                <w:color w:val="auto"/>
                <w:w w:val="99"/>
              </w:rPr>
              <w:t>of incorporation)</w:t>
            </w:r>
          </w:p>
        </w:tc>
        <w:tc>
          <w:tcPr>
            <w:tcW w:w="30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30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Identification No.)</w:t>
            </w:r>
          </w:p>
        </w:tc>
      </w:tr>
    </w:tbl>
    <w:p>
      <w:pPr>
        <w:spacing w:after="0" w:line="10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400 Crossing Blvd</w:t>
      </w:r>
    </w:p>
    <w:p>
      <w:pPr>
        <w:spacing w:after="0" w:line="3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Bridgewater, NJ 08807</w:t>
      </w:r>
    </w:p>
    <w:p>
      <w:pPr>
        <w:spacing w:after="0" w:line="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color w:val="auto"/>
        </w:rPr>
        <w:t>(Address of principal executive offices) (Zip Code)</w:t>
      </w:r>
    </w:p>
    <w:p>
      <w:pPr>
        <w:spacing w:after="0" w:line="23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color w:val="auto"/>
        </w:rPr>
        <w:t xml:space="preserve">Registrant’s telephone number, including area code: </w:t>
      </w:r>
      <w:r>
        <w:rPr>
          <w:rFonts w:ascii="Times New Roman" w:cs="Times New Roman" w:eastAsia="Times New Roman" w:hAnsi="Times New Roman"/>
          <w:sz w:val="22"/>
          <w:szCs w:val="22"/>
          <w:b w:val="1"/>
          <w:bCs w:val="1"/>
          <w:color w:val="auto"/>
        </w:rPr>
        <w:t>(908) 947-3120</w:t>
      </w:r>
    </w:p>
    <w:p>
      <w:pPr>
        <w:spacing w:after="0" w:line="3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N/A</w:t>
      </w:r>
    </w:p>
    <w:p>
      <w:pPr>
        <w:spacing w:after="0" w:line="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color w:val="auto"/>
        </w:rPr>
        <w:t>(Former Name or Former Address, if Changed Since Last Report)</w:t>
      </w:r>
    </w:p>
    <w:p>
      <w:pPr>
        <w:spacing w:after="0" w:line="259" w:lineRule="exact"/>
        <w:rPr>
          <w:sz w:val="24"/>
          <w:szCs w:val="24"/>
          <w:color w:val="auto"/>
        </w:rPr>
      </w:pPr>
    </w:p>
    <w:p>
      <w:pPr>
        <w:ind w:right="120"/>
        <w:spacing w:after="0" w:line="307"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r>
        <w:rPr>
          <w:rFonts w:ascii="Times New Roman" w:cs="Times New Roman" w:eastAsia="Times New Roman" w:hAnsi="Times New Roman"/>
          <w:sz w:val="21"/>
          <w:szCs w:val="21"/>
          <w:color w:val="auto"/>
        </w:rPr>
        <w:t>:</w:t>
      </w:r>
    </w:p>
    <w:p>
      <w:pPr>
        <w:spacing w:after="0" w:line="183" w:lineRule="exact"/>
        <w:rPr>
          <w:sz w:val="24"/>
          <w:szCs w:val="24"/>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184"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184"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184"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25" w:lineRule="exact"/>
        <w:rPr>
          <w:sz w:val="24"/>
          <w:szCs w:val="24"/>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3"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54" w:lineRule="exact"/>
        <w:rPr>
          <w:sz w:val="24"/>
          <w:szCs w:val="24"/>
          <w:color w:val="auto"/>
        </w:rPr>
      </w:pPr>
    </w:p>
    <w:p>
      <w:pPr>
        <w:ind w:right="14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420"/>
          </w:cols>
          <w:pgMar w:left="240" w:top="1006" w:right="23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Explanatory Note</w:t>
      </w:r>
    </w:p>
    <w:p>
      <w:pPr>
        <w:spacing w:after="0" w:line="229" w:lineRule="exact"/>
        <w:rPr>
          <w:sz w:val="20"/>
          <w:szCs w:val="20"/>
          <w:color w:val="auto"/>
        </w:rPr>
      </w:pPr>
    </w:p>
    <w:p>
      <w:pPr>
        <w:ind w:right="80" w:firstLine="324"/>
        <w:spacing w:after="0" w:line="258" w:lineRule="auto"/>
        <w:rPr>
          <w:sz w:val="20"/>
          <w:szCs w:val="20"/>
          <w:color w:val="auto"/>
        </w:rPr>
      </w:pPr>
      <w:r>
        <w:rPr>
          <w:rFonts w:ascii="Times New Roman" w:cs="Times New Roman" w:eastAsia="Times New Roman" w:hAnsi="Times New Roman"/>
          <w:sz w:val="18"/>
          <w:szCs w:val="18"/>
          <w:color w:val="auto"/>
        </w:rPr>
        <w:t>As previously reported in the Current Report on Form 8-K filed by Amneal Pharmaceuticals, Inc., a Delaware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on May 7, 2018 as amended by Amendment No. 1 on Form 8-K/A filed by the Company on May 10, 2018 (as amended, the “</w:t>
      </w:r>
      <w:r>
        <w:rPr>
          <w:rFonts w:ascii="Times New Roman" w:cs="Times New Roman" w:eastAsia="Times New Roman" w:hAnsi="Times New Roman"/>
          <w:sz w:val="18"/>
          <w:szCs w:val="18"/>
          <w:u w:val="single" w:color="auto"/>
          <w:color w:val="auto"/>
        </w:rPr>
        <w:t>Original Report</w:t>
      </w:r>
      <w:r>
        <w:rPr>
          <w:rFonts w:ascii="Times New Roman" w:cs="Times New Roman" w:eastAsia="Times New Roman" w:hAnsi="Times New Roman"/>
          <w:sz w:val="18"/>
          <w:szCs w:val="18"/>
          <w:color w:val="auto"/>
        </w:rPr>
        <w:t>”), the transactions (the “</w:t>
      </w:r>
      <w:r>
        <w:rPr>
          <w:rFonts w:ascii="Times New Roman" w:cs="Times New Roman" w:eastAsia="Times New Roman" w:hAnsi="Times New Roman"/>
          <w:sz w:val="18"/>
          <w:szCs w:val="18"/>
          <w:u w:val="single" w:color="auto"/>
          <w:color w:val="auto"/>
        </w:rPr>
        <w:t>Business Combination Transactions</w:t>
      </w:r>
      <w:r>
        <w:rPr>
          <w:rFonts w:ascii="Times New Roman" w:cs="Times New Roman" w:eastAsia="Times New Roman" w:hAnsi="Times New Roman"/>
          <w:sz w:val="18"/>
          <w:szCs w:val="18"/>
          <w:color w:val="auto"/>
        </w:rPr>
        <w:t>”) pursuant to the Business Combination Agreement dated as of October 17, 2017, as amended, by and among the Company, Impax Laboratories, LLC (f/k/a Impax Laboratories, Inc.) (“</w:t>
      </w:r>
      <w:r>
        <w:rPr>
          <w:rFonts w:ascii="Times New Roman" w:cs="Times New Roman" w:eastAsia="Times New Roman" w:hAnsi="Times New Roman"/>
          <w:sz w:val="18"/>
          <w:szCs w:val="18"/>
          <w:u w:val="single" w:color="auto"/>
          <w:color w:val="auto"/>
        </w:rPr>
        <w:t>Impax</w:t>
      </w:r>
      <w:r>
        <w:rPr>
          <w:rFonts w:ascii="Times New Roman" w:cs="Times New Roman" w:eastAsia="Times New Roman" w:hAnsi="Times New Roman"/>
          <w:sz w:val="18"/>
          <w:szCs w:val="18"/>
          <w:color w:val="auto"/>
        </w:rPr>
        <w:t>”), K2 Merger Sub Corporation and Amneal Pharmaceuticals LLC (“</w:t>
      </w:r>
      <w:r>
        <w:rPr>
          <w:rFonts w:ascii="Times New Roman" w:cs="Times New Roman" w:eastAsia="Times New Roman" w:hAnsi="Times New Roman"/>
          <w:sz w:val="18"/>
          <w:szCs w:val="18"/>
          <w:u w:val="single" w:color="auto"/>
          <w:color w:val="auto"/>
        </w:rPr>
        <w:t>Amneal</w:t>
      </w:r>
      <w:r>
        <w:rPr>
          <w:rFonts w:ascii="Times New Roman" w:cs="Times New Roman" w:eastAsia="Times New Roman" w:hAnsi="Times New Roman"/>
          <w:sz w:val="18"/>
          <w:szCs w:val="18"/>
          <w:color w:val="auto"/>
        </w:rPr>
        <w:t>”), were consummated on May 4, 2018, and each of Impax and Amneal became subsidiaries of the Company.</w:t>
      </w:r>
    </w:p>
    <w:p>
      <w:pPr>
        <w:spacing w:after="0" w:line="184" w:lineRule="exact"/>
        <w:rPr>
          <w:sz w:val="20"/>
          <w:szCs w:val="20"/>
          <w:color w:val="auto"/>
        </w:rPr>
      </w:pPr>
    </w:p>
    <w:p>
      <w:pPr>
        <w:ind w:firstLine="324"/>
        <w:spacing w:after="0" w:line="261" w:lineRule="auto"/>
        <w:rPr>
          <w:sz w:val="20"/>
          <w:szCs w:val="20"/>
          <w:color w:val="auto"/>
        </w:rPr>
      </w:pPr>
      <w:r>
        <w:rPr>
          <w:rFonts w:ascii="Times New Roman" w:cs="Times New Roman" w:eastAsia="Times New Roman" w:hAnsi="Times New Roman"/>
          <w:sz w:val="18"/>
          <w:szCs w:val="18"/>
          <w:color w:val="auto"/>
        </w:rPr>
        <w:t>This Amendment No. 2 should be read in conjunction with the Original Report and amends the Original Report to provide certain historical financial information for Amneal and certain unaudited pro forma information of the Company as required by Item 9.01(a) and Item 9.01(b) of Form 8-K in connection with the Business Combination Transactions and should be read in conjunction with the Original Report. Except as set forth in Item 9.01 below, no other modifications have been made to the Original Report</w:t>
      </w:r>
    </w:p>
    <w:p>
      <w:pPr>
        <w:spacing w:after="0" w:line="1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8"/>
          <w:szCs w:val="18"/>
          <w:b w:val="1"/>
          <w:bCs w:val="1"/>
          <w:color w:val="auto"/>
        </w:rPr>
        <w:t>Item 9.01</w:t>
      </w:r>
      <w:r>
        <w:rPr>
          <w:sz w:val="20"/>
          <w:szCs w:val="20"/>
          <w:color w:val="auto"/>
        </w:rPr>
        <w:tab/>
      </w:r>
      <w:r>
        <w:rPr>
          <w:rFonts w:ascii="Times New Roman" w:cs="Times New Roman" w:eastAsia="Times New Roman" w:hAnsi="Times New Roman"/>
          <w:sz w:val="17"/>
          <w:szCs w:val="17"/>
          <w:b w:val="1"/>
          <w:bCs w:val="1"/>
          <w:color w:val="auto"/>
        </w:rPr>
        <w:t>Financial Statements and Exhibits.</w:t>
      </w:r>
    </w:p>
    <w:p>
      <w:pPr>
        <w:spacing w:after="0" w:line="229" w:lineRule="exact"/>
        <w:rPr>
          <w:sz w:val="20"/>
          <w:szCs w:val="20"/>
          <w:color w:val="auto"/>
        </w:rPr>
      </w:pPr>
    </w:p>
    <w:p>
      <w:pPr>
        <w:ind w:left="440" w:hanging="432"/>
        <w:spacing w:after="0"/>
        <w:tabs>
          <w:tab w:leader="none" w:pos="4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Financial Statements of Business Acquired.</w:t>
      </w:r>
    </w:p>
    <w:p>
      <w:pPr>
        <w:spacing w:after="0" w:line="225" w:lineRule="exact"/>
        <w:rPr>
          <w:sz w:val="20"/>
          <w:szCs w:val="20"/>
          <w:color w:val="auto"/>
        </w:rPr>
      </w:pPr>
    </w:p>
    <w:p>
      <w:pPr>
        <w:ind w:right="400" w:firstLine="324"/>
        <w:spacing w:after="0" w:line="261" w:lineRule="auto"/>
        <w:rPr>
          <w:sz w:val="20"/>
          <w:szCs w:val="20"/>
          <w:color w:val="auto"/>
        </w:rPr>
      </w:pPr>
      <w:r>
        <w:rPr>
          <w:rFonts w:ascii="Times New Roman" w:cs="Times New Roman" w:eastAsia="Times New Roman" w:hAnsi="Times New Roman"/>
          <w:sz w:val="18"/>
          <w:szCs w:val="18"/>
          <w:color w:val="auto"/>
        </w:rPr>
        <w:t>The audited consolidated balance sheets of Impax as of December 31, 2017 and December 31, 2016, the related audited consolidated statements of operations, comprehensive (loss) income, changes in stockholders’ equity and cash flows for Impax for each of the years in the three year period ended December 31, 2017, and the notes thereto, including the related report of the independent registered public accounting firm thereon, included in the Company’s Registration Statement on Form S-1 filed with the SEC on May 7, 2018, as amended (the “</w:t>
      </w:r>
      <w:r>
        <w:rPr>
          <w:rFonts w:ascii="Times New Roman" w:cs="Times New Roman" w:eastAsia="Times New Roman" w:hAnsi="Times New Roman"/>
          <w:sz w:val="18"/>
          <w:szCs w:val="18"/>
          <w:u w:val="single" w:color="auto"/>
          <w:color w:val="auto"/>
        </w:rPr>
        <w:t>Form S-1</w:t>
      </w:r>
      <w:r>
        <w:rPr>
          <w:rFonts w:ascii="Times New Roman" w:cs="Times New Roman" w:eastAsia="Times New Roman" w:hAnsi="Times New Roman"/>
          <w:sz w:val="18"/>
          <w:szCs w:val="18"/>
          <w:color w:val="auto"/>
        </w:rPr>
        <w:t>”), are incorporated by reference herein.</w:t>
      </w:r>
    </w:p>
    <w:p>
      <w:pPr>
        <w:spacing w:after="0" w:line="180" w:lineRule="exact"/>
        <w:rPr>
          <w:sz w:val="20"/>
          <w:szCs w:val="20"/>
          <w:color w:val="auto"/>
        </w:rPr>
      </w:pPr>
    </w:p>
    <w:p>
      <w:pPr>
        <w:ind w:right="260" w:firstLine="324"/>
        <w:spacing w:after="0" w:line="266" w:lineRule="auto"/>
        <w:rPr>
          <w:sz w:val="20"/>
          <w:szCs w:val="20"/>
          <w:color w:val="auto"/>
        </w:rPr>
      </w:pPr>
      <w:r>
        <w:rPr>
          <w:rFonts w:ascii="Times New Roman" w:cs="Times New Roman" w:eastAsia="Times New Roman" w:hAnsi="Times New Roman"/>
          <w:sz w:val="18"/>
          <w:szCs w:val="18"/>
          <w:color w:val="auto"/>
        </w:rPr>
        <w:t>The unaudited consolidated balance sheet of Impax as of March 31, 2018, the related unaudited consolidated statements of operations, comprehensive (loss) income and cash flows for Impax for the three months ended March 31, 2018 and March 31, 2017, and the notes thereto contained in the Quarterly Report on Form 10-Q filed by Impax on May 10, 2018 are incorporated by reference herein.</w:t>
      </w:r>
    </w:p>
    <w:p>
      <w:pPr>
        <w:spacing w:after="0" w:line="176" w:lineRule="exact"/>
        <w:rPr>
          <w:sz w:val="20"/>
          <w:szCs w:val="20"/>
          <w:color w:val="auto"/>
        </w:rPr>
      </w:pPr>
    </w:p>
    <w:p>
      <w:pPr>
        <w:ind w:right="240" w:firstLine="324"/>
        <w:spacing w:after="0" w:line="261" w:lineRule="auto"/>
        <w:rPr>
          <w:sz w:val="20"/>
          <w:szCs w:val="20"/>
          <w:color w:val="auto"/>
        </w:rPr>
      </w:pPr>
      <w:r>
        <w:rPr>
          <w:rFonts w:ascii="Times New Roman" w:cs="Times New Roman" w:eastAsia="Times New Roman" w:hAnsi="Times New Roman"/>
          <w:sz w:val="18"/>
          <w:szCs w:val="18"/>
          <w:color w:val="auto"/>
        </w:rPr>
        <w:t>The audited consolidated balance sheets of Amneal as of December 31, 2017 and December 31, 2016, the related audited consolidated statements of income, comprehensive income, changes in members’ deficit and cash flows for Amneal for each of the years in the three year period ended December 31, 2017, and the notes thereto, including the related report of the independent registered public accounting firm thereon, included in the Form S-1 are incorporated by reference herein.</w:t>
      </w:r>
    </w:p>
    <w:p>
      <w:pPr>
        <w:spacing w:after="0" w:line="180" w:lineRule="exact"/>
        <w:rPr>
          <w:sz w:val="20"/>
          <w:szCs w:val="20"/>
          <w:color w:val="auto"/>
        </w:rPr>
      </w:pPr>
    </w:p>
    <w:p>
      <w:pPr>
        <w:ind w:right="220" w:firstLine="324"/>
        <w:spacing w:after="0" w:line="266" w:lineRule="auto"/>
        <w:rPr>
          <w:sz w:val="20"/>
          <w:szCs w:val="20"/>
          <w:color w:val="auto"/>
        </w:rPr>
      </w:pPr>
      <w:r>
        <w:rPr>
          <w:rFonts w:ascii="Times New Roman" w:cs="Times New Roman" w:eastAsia="Times New Roman" w:hAnsi="Times New Roman"/>
          <w:sz w:val="18"/>
          <w:szCs w:val="18"/>
          <w:color w:val="auto"/>
        </w:rPr>
        <w:t>The unaudited consolidated balance sheet of Amneal as of March 31, 2018, the related unaudited consolidated statements of income, comprehensive income, changes in members' deficit and cash flows for Amneal for the three months ended March 31, 2018 and March 31, 2017, and the notes thereto, are filed herewith as Exhibit 99.1 and incorporated by reference herein.</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 Pro Forma Financial Information.</w:t>
      </w:r>
    </w:p>
    <w:p>
      <w:pPr>
        <w:spacing w:after="0" w:line="225" w:lineRule="exact"/>
        <w:rPr>
          <w:sz w:val="20"/>
          <w:szCs w:val="20"/>
          <w:color w:val="auto"/>
        </w:rPr>
      </w:pPr>
    </w:p>
    <w:p>
      <w:pPr>
        <w:jc w:val="both"/>
        <w:ind w:right="700" w:firstLine="324"/>
        <w:spacing w:after="0" w:line="266" w:lineRule="auto"/>
        <w:rPr>
          <w:sz w:val="20"/>
          <w:szCs w:val="20"/>
          <w:color w:val="auto"/>
        </w:rPr>
      </w:pPr>
      <w:r>
        <w:rPr>
          <w:rFonts w:ascii="Times New Roman" w:cs="Times New Roman" w:eastAsia="Times New Roman" w:hAnsi="Times New Roman"/>
          <w:sz w:val="18"/>
          <w:szCs w:val="18"/>
          <w:color w:val="auto"/>
        </w:rPr>
        <w:t>The unaudited pro forma condensed combined balance sheet of the Company as of December 31, 2017, and the unaudited pro forma condensed combined statements of operations of the Company for the fiscal year ended December 31, 2017, and the notes thereto, included in the Form S-1 are incorporated by reference herein.</w:t>
      </w:r>
    </w:p>
    <w:p>
      <w:pPr>
        <w:spacing w:after="0" w:line="176" w:lineRule="exact"/>
        <w:rPr>
          <w:sz w:val="20"/>
          <w:szCs w:val="20"/>
          <w:color w:val="auto"/>
        </w:rPr>
      </w:pPr>
    </w:p>
    <w:p>
      <w:pPr>
        <w:ind w:right="280" w:firstLine="324"/>
        <w:spacing w:after="0" w:line="266" w:lineRule="auto"/>
        <w:rPr>
          <w:sz w:val="20"/>
          <w:szCs w:val="20"/>
          <w:color w:val="auto"/>
        </w:rPr>
      </w:pPr>
      <w:r>
        <w:rPr>
          <w:rFonts w:ascii="Times New Roman" w:cs="Times New Roman" w:eastAsia="Times New Roman" w:hAnsi="Times New Roman"/>
          <w:sz w:val="18"/>
          <w:szCs w:val="18"/>
          <w:color w:val="auto"/>
        </w:rPr>
        <w:t>The unaudited pro forma condensed combined balance sheet of the Company as of March 31, 2018 and the unaudited pro forma condensed combined statements of operations of the Company for the three months ended March 31, 2018, and the notes thereto, are filed herewith as Exhibit 99.2 and incorporated by reference herein.</w:t>
      </w:r>
    </w:p>
    <w:p>
      <w:pPr>
        <w:sectPr>
          <w:pgSz w:w="11900" w:h="16838" w:orient="portrait"/>
          <w:cols w:equalWidth="0" w:num="1">
            <w:col w:w="11400"/>
          </w:cols>
          <w:pgMar w:left="240" w:top="1009" w:right="25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4"/>
        </w:trPr>
        <w:tc>
          <w:tcPr>
            <w:tcW w:w="168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(d) Exhibits.</w:t>
            </w:r>
          </w:p>
        </w:tc>
        <w:tc>
          <w:tcPr>
            <w:tcW w:w="7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120" w:type="dxa"/>
            <w:vAlign w:val="bottom"/>
          </w:tcPr>
          <w:p>
            <w:pPr>
              <w:spacing w:after="0"/>
              <w:rPr>
                <w:sz w:val="20"/>
                <w:szCs w:val="20"/>
                <w:color w:val="auto"/>
              </w:rPr>
            </w:pPr>
          </w:p>
        </w:tc>
      </w:tr>
      <w:tr>
        <w:trPr>
          <w:trHeight w:val="554"/>
        </w:trPr>
        <w:tc>
          <w:tcPr>
            <w:tcW w:w="80" w:type="dxa"/>
            <w:vAlign w:val="bottom"/>
          </w:tcPr>
          <w:p>
            <w:pPr>
              <w:spacing w:after="0"/>
              <w:rPr>
                <w:sz w:val="24"/>
                <w:szCs w:val="24"/>
                <w:color w:val="auto"/>
              </w:rPr>
            </w:pPr>
          </w:p>
        </w:tc>
        <w:tc>
          <w:tcPr>
            <w:tcW w:w="160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Exhibit No.</w:t>
            </w:r>
          </w:p>
        </w:tc>
        <w:tc>
          <w:tcPr>
            <w:tcW w:w="9700" w:type="dxa"/>
            <w:vAlign w:val="bottom"/>
            <w:gridSpan w:val="3"/>
          </w:tcPr>
          <w:p>
            <w:pPr>
              <w:ind w:left="700"/>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20"/>
        </w:trPr>
        <w:tc>
          <w:tcPr>
            <w:tcW w:w="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8120" w:type="dxa"/>
            <w:vAlign w:val="bottom"/>
          </w:tcPr>
          <w:p>
            <w:pPr>
              <w:spacing w:after="0" w:line="20" w:lineRule="exact"/>
              <w:rPr>
                <w:sz w:val="1"/>
                <w:szCs w:val="1"/>
                <w:color w:val="auto"/>
              </w:rPr>
            </w:pPr>
          </w:p>
        </w:tc>
      </w:tr>
      <w:tr>
        <w:trPr>
          <w:trHeight w:val="277"/>
        </w:trPr>
        <w:tc>
          <w:tcPr>
            <w:tcW w:w="80" w:type="dxa"/>
            <w:vAlign w:val="bottom"/>
          </w:tcPr>
          <w:p>
            <w:pPr>
              <w:spacing w:after="0"/>
              <w:rPr>
                <w:sz w:val="24"/>
                <w:szCs w:val="24"/>
                <w:color w:val="auto"/>
              </w:rPr>
            </w:pPr>
          </w:p>
        </w:tc>
        <w:tc>
          <w:tcPr>
            <w:tcW w:w="880" w:type="dxa"/>
            <w:vAlign w:val="bottom"/>
            <w:gridSpan w:val="2"/>
          </w:tcPr>
          <w:p>
            <w:pPr>
              <w:spacing w:after="0"/>
              <w:rPr>
                <w:rFonts w:ascii="Times New Roman" w:cs="Times New Roman" w:eastAsia="Times New Roman" w:hAnsi="Times New Roman"/>
                <w:sz w:val="18"/>
                <w:szCs w:val="18"/>
                <w:color w:val="0000FF"/>
              </w:rPr>
            </w:pPr>
            <w:hyperlink w:anchor="page5">
              <w:r>
                <w:rPr>
                  <w:rFonts w:ascii="Times New Roman" w:cs="Times New Roman" w:eastAsia="Times New Roman" w:hAnsi="Times New Roman"/>
                  <w:sz w:val="18"/>
                  <w:szCs w:val="18"/>
                  <w:color w:val="0000FF"/>
                </w:rPr>
                <w:t>99.</w:t>
              </w:r>
              <w:r>
                <w:rPr>
                  <w:rFonts w:ascii="Times New Roman" w:cs="Times New Roman" w:eastAsia="Times New Roman" w:hAnsi="Times New Roman"/>
                  <w:sz w:val="18"/>
                  <w:szCs w:val="18"/>
                  <w:u w:val="single" w:color="auto"/>
                  <w:color w:val="0000FF"/>
                </w:rPr>
                <w:t>1</w:t>
              </w:r>
            </w:hyperlink>
          </w:p>
        </w:tc>
        <w:tc>
          <w:tcPr>
            <w:tcW w:w="720" w:type="dxa"/>
            <w:vAlign w:val="bottom"/>
          </w:tcPr>
          <w:p>
            <w:pPr>
              <w:spacing w:after="0"/>
              <w:rPr>
                <w:sz w:val="24"/>
                <w:szCs w:val="24"/>
                <w:color w:val="auto"/>
              </w:rPr>
            </w:pPr>
          </w:p>
        </w:tc>
        <w:tc>
          <w:tcPr>
            <w:tcW w:w="9700" w:type="dxa"/>
            <w:vAlign w:val="bottom"/>
            <w:gridSpan w:val="3"/>
          </w:tcPr>
          <w:p>
            <w:pPr>
              <w:ind w:left="700"/>
              <w:spacing w:after="0"/>
              <w:rPr>
                <w:sz w:val="20"/>
                <w:szCs w:val="20"/>
                <w:color w:val="auto"/>
              </w:rPr>
            </w:pPr>
            <w:r>
              <w:rPr>
                <w:rFonts w:ascii="Times New Roman" w:cs="Times New Roman" w:eastAsia="Times New Roman" w:hAnsi="Times New Roman"/>
                <w:sz w:val="18"/>
                <w:szCs w:val="18"/>
                <w:color w:val="auto"/>
              </w:rPr>
              <w:t>Unaudited consolidated balance sheets of Amneal as of March 31, 2018 and December 31, 2017, the related unaudited</w:t>
            </w:r>
          </w:p>
        </w:tc>
      </w:tr>
      <w:tr>
        <w:trPr>
          <w:trHeight w:val="218"/>
        </w:trPr>
        <w:tc>
          <w:tcPr>
            <w:tcW w:w="80" w:type="dxa"/>
            <w:vAlign w:val="bottom"/>
          </w:tcPr>
          <w:p>
            <w:pPr>
              <w:spacing w:after="0"/>
              <w:rPr>
                <w:sz w:val="18"/>
                <w:szCs w:val="18"/>
                <w:color w:val="auto"/>
              </w:rPr>
            </w:pPr>
          </w:p>
        </w:tc>
        <w:tc>
          <w:tcPr>
            <w:tcW w:w="320" w:type="dxa"/>
            <w:vAlign w:val="bottom"/>
            <w:tcBorders>
              <w:top w:val="single" w:sz="8" w:color="0000FF"/>
            </w:tcBorders>
          </w:tcPr>
          <w:p>
            <w:pPr>
              <w:spacing w:after="0"/>
              <w:rPr>
                <w:sz w:val="18"/>
                <w:szCs w:val="18"/>
                <w:color w:val="auto"/>
              </w:rPr>
            </w:pPr>
          </w:p>
        </w:tc>
        <w:tc>
          <w:tcPr>
            <w:tcW w:w="5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9700" w:type="dxa"/>
            <w:vAlign w:val="bottom"/>
            <w:gridSpan w:val="3"/>
          </w:tcPr>
          <w:p>
            <w:pPr>
              <w:ind w:left="700"/>
              <w:spacing w:after="0"/>
              <w:rPr>
                <w:sz w:val="20"/>
                <w:szCs w:val="20"/>
                <w:color w:val="auto"/>
              </w:rPr>
            </w:pPr>
            <w:r>
              <w:rPr>
                <w:rFonts w:ascii="Times New Roman" w:cs="Times New Roman" w:eastAsia="Times New Roman" w:hAnsi="Times New Roman"/>
                <w:sz w:val="18"/>
                <w:szCs w:val="18"/>
                <w:color w:val="auto"/>
              </w:rPr>
              <w:t>consolidated statements of income, comprehensive income, changes in members' deficit and cash flows for Amneal for the</w:t>
            </w:r>
          </w:p>
        </w:tc>
      </w:tr>
      <w:tr>
        <w:trPr>
          <w:trHeight w:val="234"/>
        </w:trPr>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9700" w:type="dxa"/>
            <w:vAlign w:val="bottom"/>
            <w:gridSpan w:val="3"/>
          </w:tcPr>
          <w:p>
            <w:pPr>
              <w:ind w:left="700"/>
              <w:spacing w:after="0"/>
              <w:rPr>
                <w:sz w:val="20"/>
                <w:szCs w:val="20"/>
                <w:color w:val="auto"/>
              </w:rPr>
            </w:pPr>
            <w:r>
              <w:rPr>
                <w:rFonts w:ascii="Times New Roman" w:cs="Times New Roman" w:eastAsia="Times New Roman" w:hAnsi="Times New Roman"/>
                <w:sz w:val="18"/>
                <w:szCs w:val="18"/>
                <w:color w:val="auto"/>
              </w:rPr>
              <w:t>three months ended March 31, 2018 and 2017, and the notes thereto.</w:t>
            </w:r>
          </w:p>
        </w:tc>
      </w:tr>
      <w:tr>
        <w:trPr>
          <w:trHeight w:val="257"/>
        </w:trPr>
        <w:tc>
          <w:tcPr>
            <w:tcW w:w="960" w:type="dxa"/>
            <w:vAlign w:val="bottom"/>
            <w:gridSpan w:val="3"/>
          </w:tcPr>
          <w:p>
            <w:pPr>
              <w:ind w:left="80"/>
              <w:spacing w:after="0"/>
              <w:rPr>
                <w:rFonts w:ascii="Times New Roman" w:cs="Times New Roman" w:eastAsia="Times New Roman" w:hAnsi="Times New Roman"/>
                <w:sz w:val="18"/>
                <w:szCs w:val="18"/>
                <w:color w:val="0000FF"/>
              </w:rPr>
            </w:pPr>
            <w:hyperlink w:anchor="page32">
              <w:r>
                <w:rPr>
                  <w:rFonts w:ascii="Times New Roman" w:cs="Times New Roman" w:eastAsia="Times New Roman" w:hAnsi="Times New Roman"/>
                  <w:sz w:val="18"/>
                  <w:szCs w:val="18"/>
                  <w:color w:val="0000FF"/>
                </w:rPr>
                <w:t>99.</w:t>
              </w:r>
              <w:r>
                <w:rPr>
                  <w:rFonts w:ascii="Times New Roman" w:cs="Times New Roman" w:eastAsia="Times New Roman" w:hAnsi="Times New Roman"/>
                  <w:sz w:val="18"/>
                  <w:szCs w:val="18"/>
                  <w:u w:val="single" w:color="auto"/>
                  <w:color w:val="0000FF"/>
                </w:rPr>
                <w:t>2</w:t>
              </w:r>
            </w:hyperlink>
          </w:p>
        </w:tc>
        <w:tc>
          <w:tcPr>
            <w:tcW w:w="720" w:type="dxa"/>
            <w:vAlign w:val="bottom"/>
          </w:tcPr>
          <w:p>
            <w:pPr>
              <w:spacing w:after="0"/>
              <w:rPr>
                <w:sz w:val="22"/>
                <w:szCs w:val="22"/>
                <w:color w:val="auto"/>
              </w:rPr>
            </w:pPr>
          </w:p>
        </w:tc>
        <w:tc>
          <w:tcPr>
            <w:tcW w:w="9700" w:type="dxa"/>
            <w:vAlign w:val="bottom"/>
            <w:gridSpan w:val="3"/>
          </w:tcPr>
          <w:p>
            <w:pPr>
              <w:ind w:left="700"/>
              <w:spacing w:after="0"/>
              <w:rPr>
                <w:sz w:val="20"/>
                <w:szCs w:val="20"/>
                <w:color w:val="auto"/>
              </w:rPr>
            </w:pPr>
            <w:r>
              <w:rPr>
                <w:rFonts w:ascii="Times New Roman" w:cs="Times New Roman" w:eastAsia="Times New Roman" w:hAnsi="Times New Roman"/>
                <w:sz w:val="18"/>
                <w:szCs w:val="18"/>
                <w:color w:val="auto"/>
                <w:w w:val="99"/>
              </w:rPr>
              <w:t>Unaudited pro forma condensed combined balance sheets of the Company as of March 31, 2018 and December 31, 2017, the</w:t>
            </w:r>
          </w:p>
        </w:tc>
      </w:tr>
      <w:tr>
        <w:trPr>
          <w:trHeight w:val="218"/>
        </w:trPr>
        <w:tc>
          <w:tcPr>
            <w:tcW w:w="80" w:type="dxa"/>
            <w:vAlign w:val="bottom"/>
          </w:tcPr>
          <w:p>
            <w:pPr>
              <w:spacing w:after="0"/>
              <w:rPr>
                <w:sz w:val="18"/>
                <w:szCs w:val="18"/>
                <w:color w:val="auto"/>
              </w:rPr>
            </w:pPr>
          </w:p>
        </w:tc>
        <w:tc>
          <w:tcPr>
            <w:tcW w:w="320" w:type="dxa"/>
            <w:vAlign w:val="bottom"/>
            <w:tcBorders>
              <w:top w:val="single" w:sz="8" w:color="0000FF"/>
            </w:tcBorders>
          </w:tcPr>
          <w:p>
            <w:pPr>
              <w:spacing w:after="0"/>
              <w:rPr>
                <w:sz w:val="18"/>
                <w:szCs w:val="18"/>
                <w:color w:val="auto"/>
              </w:rPr>
            </w:pPr>
          </w:p>
        </w:tc>
        <w:tc>
          <w:tcPr>
            <w:tcW w:w="5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9700" w:type="dxa"/>
            <w:vAlign w:val="bottom"/>
            <w:gridSpan w:val="3"/>
          </w:tcPr>
          <w:p>
            <w:pPr>
              <w:ind w:left="700"/>
              <w:spacing w:after="0"/>
              <w:rPr>
                <w:sz w:val="20"/>
                <w:szCs w:val="20"/>
                <w:color w:val="auto"/>
              </w:rPr>
            </w:pPr>
            <w:r>
              <w:rPr>
                <w:rFonts w:ascii="Times New Roman" w:cs="Times New Roman" w:eastAsia="Times New Roman" w:hAnsi="Times New Roman"/>
                <w:sz w:val="18"/>
                <w:szCs w:val="18"/>
                <w:color w:val="auto"/>
              </w:rPr>
              <w:t>unaudited pro forma condensed combined statements of operations of the Company for the three months ended March 31,</w:t>
            </w:r>
          </w:p>
        </w:tc>
      </w:tr>
      <w:tr>
        <w:trPr>
          <w:trHeight w:val="234"/>
        </w:trPr>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9700" w:type="dxa"/>
            <w:vAlign w:val="bottom"/>
            <w:gridSpan w:val="3"/>
          </w:tcPr>
          <w:p>
            <w:pPr>
              <w:ind w:left="700"/>
              <w:spacing w:after="0"/>
              <w:rPr>
                <w:sz w:val="20"/>
                <w:szCs w:val="20"/>
                <w:color w:val="auto"/>
              </w:rPr>
            </w:pPr>
            <w:r>
              <w:rPr>
                <w:rFonts w:ascii="Times New Roman" w:cs="Times New Roman" w:eastAsia="Times New Roman" w:hAnsi="Times New Roman"/>
                <w:sz w:val="18"/>
                <w:szCs w:val="18"/>
                <w:color w:val="auto"/>
              </w:rPr>
              <w:t>2018, and the notes thereto.</w:t>
            </w:r>
          </w:p>
        </w:tc>
      </w:tr>
    </w:tbl>
    <w:p>
      <w:pPr>
        <w:sectPr>
          <w:pgSz w:w="11900" w:h="16838" w:orient="portrait"/>
          <w:cols w:equalWidth="0" w:num="1">
            <w:col w:w="11380"/>
          </w:cols>
          <w:pgMar w:left="240" w:top="580" w:right="279" w:bottom="1440" w:gutter="0" w:footer="0" w:header="0"/>
        </w:sectPr>
      </w:pPr>
    </w:p>
    <w:bookmarkStart w:id="3" w:name="page4"/>
    <w:bookmarkEnd w:id="3"/>
    <w:p>
      <w:pPr>
        <w:ind w:left="5220"/>
        <w:spacing w:after="0"/>
        <w:rPr>
          <w:sz w:val="20"/>
          <w:szCs w:val="20"/>
          <w:color w:val="auto"/>
        </w:rPr>
      </w:pPr>
      <w:r>
        <w:rPr>
          <w:rFonts w:ascii="Times New Roman" w:cs="Times New Roman" w:eastAsia="Times New Roman" w:hAnsi="Times New Roman"/>
          <w:sz w:val="22"/>
          <w:szCs w:val="22"/>
          <w:b w:val="1"/>
          <w:bCs w:val="1"/>
          <w:color w:val="auto"/>
        </w:rPr>
        <w:t>SIGNATURES</w:t>
      </w:r>
    </w:p>
    <w:p>
      <w:pPr>
        <w:spacing w:after="0" w:line="246" w:lineRule="exact"/>
        <w:rPr>
          <w:sz w:val="20"/>
          <w:szCs w:val="20"/>
          <w:color w:val="auto"/>
        </w:rPr>
      </w:pPr>
    </w:p>
    <w:p>
      <w:pPr>
        <w:ind w:right="640" w:firstLine="324"/>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324" w:lineRule="exact"/>
        <w:rPr>
          <w:sz w:val="20"/>
          <w:szCs w:val="20"/>
          <w:color w:val="auto"/>
        </w:rPr>
      </w:pPr>
    </w:p>
    <w:tbl>
      <w:tblPr>
        <w:tblLayout w:type="fixed"/>
        <w:tblInd w:w="280" w:type="dxa"/>
        <w:tblCellMar>
          <w:top w:w="0" w:type="dxa"/>
          <w:left w:w="0" w:type="dxa"/>
          <w:bottom w:w="0" w:type="dxa"/>
          <w:right w:w="0" w:type="dxa"/>
        </w:tblCellMar>
      </w:tblPr>
      <w:tr>
        <w:trPr>
          <w:trHeight w:val="234"/>
        </w:trPr>
        <w:tc>
          <w:tcPr>
            <w:tcW w:w="4800" w:type="dxa"/>
            <w:vAlign w:val="bottom"/>
          </w:tcPr>
          <w:p>
            <w:pPr>
              <w:spacing w:after="0"/>
              <w:rPr>
                <w:sz w:val="20"/>
                <w:szCs w:val="20"/>
                <w:color w:val="auto"/>
              </w:rPr>
            </w:pPr>
            <w:r>
              <w:rPr>
                <w:rFonts w:ascii="Times New Roman" w:cs="Times New Roman" w:eastAsia="Times New Roman" w:hAnsi="Times New Roman"/>
                <w:sz w:val="18"/>
                <w:szCs w:val="18"/>
                <w:color w:val="auto"/>
              </w:rPr>
              <w:t>Date: July 11, 2018</w:t>
            </w:r>
          </w:p>
        </w:tc>
        <w:tc>
          <w:tcPr>
            <w:tcW w:w="6160" w:type="dxa"/>
            <w:vAlign w:val="bottom"/>
            <w:gridSpan w:val="2"/>
          </w:tcPr>
          <w:p>
            <w:pPr>
              <w:ind w:left="60"/>
              <w:spacing w:after="0"/>
              <w:rPr>
                <w:sz w:val="20"/>
                <w:szCs w:val="20"/>
                <w:color w:val="auto"/>
              </w:rPr>
            </w:pPr>
            <w:r>
              <w:rPr>
                <w:rFonts w:ascii="Times New Roman" w:cs="Times New Roman" w:eastAsia="Times New Roman" w:hAnsi="Times New Roman"/>
                <w:sz w:val="18"/>
                <w:szCs w:val="18"/>
                <w:color w:val="auto"/>
              </w:rPr>
              <w:t>AMNEAL PHARMACEUTICALS, INC.</w:t>
            </w:r>
          </w:p>
        </w:tc>
      </w:tr>
      <w:tr>
        <w:trPr>
          <w:trHeight w:val="621"/>
        </w:trPr>
        <w:tc>
          <w:tcPr>
            <w:tcW w:w="4800" w:type="dxa"/>
            <w:vAlign w:val="bottom"/>
          </w:tcPr>
          <w:p>
            <w:pPr>
              <w:spacing w:after="0"/>
              <w:rPr>
                <w:sz w:val="24"/>
                <w:szCs w:val="24"/>
                <w:color w:val="auto"/>
              </w:rPr>
            </w:pPr>
          </w:p>
        </w:tc>
        <w:tc>
          <w:tcPr>
            <w:tcW w:w="80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By:</w:t>
            </w:r>
          </w:p>
        </w:tc>
        <w:tc>
          <w:tcPr>
            <w:tcW w:w="536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/s/ Bryan M. Reasons</w:t>
            </w:r>
          </w:p>
        </w:tc>
      </w:tr>
      <w:tr>
        <w:trPr>
          <w:trHeight w:val="54"/>
        </w:trPr>
        <w:tc>
          <w:tcPr>
            <w:tcW w:w="4800" w:type="dxa"/>
            <w:vAlign w:val="bottom"/>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5360" w:type="dxa"/>
            <w:vAlign w:val="bottom"/>
            <w:tcBorders>
              <w:bottom w:val="single" w:sz="8" w:color="auto"/>
            </w:tcBorders>
          </w:tcPr>
          <w:p>
            <w:pPr>
              <w:spacing w:after="0"/>
              <w:rPr>
                <w:sz w:val="4"/>
                <w:szCs w:val="4"/>
                <w:color w:val="auto"/>
              </w:rPr>
            </w:pPr>
          </w:p>
        </w:tc>
      </w:tr>
      <w:tr>
        <w:trPr>
          <w:trHeight w:val="237"/>
        </w:trPr>
        <w:tc>
          <w:tcPr>
            <w:tcW w:w="4800" w:type="dxa"/>
            <w:vAlign w:val="bottom"/>
          </w:tcPr>
          <w:p>
            <w:pPr>
              <w:spacing w:after="0"/>
              <w:rPr>
                <w:sz w:val="20"/>
                <w:szCs w:val="20"/>
                <w:color w:val="auto"/>
              </w:rPr>
            </w:pPr>
          </w:p>
        </w:tc>
        <w:tc>
          <w:tcPr>
            <w:tcW w:w="80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Name:</w:t>
            </w:r>
          </w:p>
        </w:tc>
        <w:tc>
          <w:tcPr>
            <w:tcW w:w="536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Bryan M. Reasons</w:t>
            </w:r>
          </w:p>
        </w:tc>
      </w:tr>
      <w:tr>
        <w:trPr>
          <w:trHeight w:val="297"/>
        </w:trPr>
        <w:tc>
          <w:tcPr>
            <w:tcW w:w="4800" w:type="dxa"/>
            <w:vAlign w:val="bottom"/>
          </w:tcPr>
          <w:p>
            <w:pPr>
              <w:spacing w:after="0"/>
              <w:rPr>
                <w:sz w:val="24"/>
                <w:szCs w:val="24"/>
                <w:color w:val="auto"/>
              </w:rPr>
            </w:pPr>
          </w:p>
        </w:tc>
        <w:tc>
          <w:tcPr>
            <w:tcW w:w="80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Title:</w:t>
            </w:r>
          </w:p>
        </w:tc>
        <w:tc>
          <w:tcPr>
            <w:tcW w:w="536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Senior Vice President and Chief Financial Officer</w:t>
            </w:r>
          </w:p>
        </w:tc>
      </w:tr>
    </w:tbl>
    <w:p>
      <w:pPr>
        <w:sectPr>
          <w:pgSz w:w="11900" w:h="16838" w:orient="portrait"/>
          <w:cols w:equalWidth="0" w:num="1">
            <w:col w:w="11240"/>
          </w:cols>
          <w:pgMar w:left="240" w:top="918" w:right="419" w:bottom="1440" w:gutter="0" w:footer="0" w:header="0"/>
        </w:sectPr>
      </w:pPr>
    </w:p>
    <w:bookmarkStart w:id="4" w:name="page5"/>
    <w:bookmarkEnd w:id="4"/>
    <w:p>
      <w:pPr>
        <w:jc w:val="right"/>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25"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ind w:left="2060"/>
        <w:spacing w:after="0"/>
        <w:rPr>
          <w:sz w:val="20"/>
          <w:szCs w:val="20"/>
          <w:color w:val="auto"/>
        </w:rPr>
      </w:pPr>
      <w:r>
        <w:rPr>
          <w:rFonts w:ascii="Times New Roman" w:cs="Times New Roman" w:eastAsia="Times New Roman" w:hAnsi="Times New Roman"/>
          <w:sz w:val="18"/>
          <w:szCs w:val="18"/>
          <w:b w:val="1"/>
          <w:bCs w:val="1"/>
          <w:color w:val="auto"/>
        </w:rPr>
        <w:t>UNAUDITED CONSOLIDATED FINANCIAL STATEMENTS</w:t>
      </w:r>
    </w:p>
    <w:p>
      <w:pPr>
        <w:sectPr>
          <w:pgSz w:w="11900" w:h="16838" w:orient="portrait"/>
          <w:cols w:equalWidth="0" w:num="1">
            <w:col w:w="10220"/>
          </w:cols>
          <w:pgMar w:left="1440" w:top="360" w:right="239" w:bottom="1440" w:gutter="0" w:footer="0" w:header="0"/>
        </w:sectPr>
      </w:pPr>
    </w:p>
    <w:bookmarkStart w:id="5" w:name="page6"/>
    <w:bookmarkEnd w:id="5"/>
    <w:p>
      <w:pPr>
        <w:ind w:left="3880"/>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18"/>
          <w:szCs w:val="18"/>
          <w:b w:val="1"/>
          <w:bCs w:val="1"/>
          <w:color w:val="auto"/>
        </w:rPr>
        <w:t>Consolidated Financial Statements (unaudited)</w:t>
      </w:r>
    </w:p>
    <w:p>
      <w:pPr>
        <w:spacing w:after="0" w:line="200" w:lineRule="exact"/>
        <w:rPr>
          <w:sz w:val="20"/>
          <w:szCs w:val="20"/>
          <w:color w:val="auto"/>
        </w:rPr>
      </w:pPr>
    </w:p>
    <w:p>
      <w:pPr>
        <w:spacing w:after="0" w:line="3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INDEX TO AMNEAL PHARMACEUTICALS LLC AND SUBSIDIARIES UNAUDITED CONSOLIDATED FINANCIAL STATEMENTS</w:t>
      </w:r>
    </w:p>
    <w:p>
      <w:pPr>
        <w:spacing w:after="0" w:line="378" w:lineRule="exact"/>
        <w:rPr>
          <w:sz w:val="20"/>
          <w:szCs w:val="20"/>
          <w:color w:val="auto"/>
        </w:rPr>
      </w:pPr>
    </w:p>
    <w:tbl>
      <w:tblPr>
        <w:tblLayout w:type="fixed"/>
        <w:tblInd w:w="0" w:type="dxa"/>
        <w:tblCellMar>
          <w:top w:w="0" w:type="dxa"/>
          <w:left w:w="0" w:type="dxa"/>
          <w:bottom w:w="0" w:type="dxa"/>
          <w:right w:w="0" w:type="dxa"/>
        </w:tblCellMar>
      </w:tblPr>
      <w:tr>
        <w:trPr>
          <w:trHeight w:val="255"/>
        </w:trPr>
        <w:tc>
          <w:tcPr>
            <w:tcW w:w="111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Consolidated Balance Sheets as of March 31, 2018 and December 31, 2017…………………………….........................</w:t>
            </w:r>
          </w:p>
        </w:tc>
        <w:tc>
          <w:tcPr>
            <w:tcW w:w="100" w:type="dxa"/>
            <w:vAlign w:val="bottom"/>
            <w:tcBorders>
              <w:bottom w:val="single" w:sz="8" w:color="0000EE"/>
            </w:tcBorders>
            <w:shd w:val="clear" w:color="auto" w:fill="CCEEFF"/>
          </w:tcPr>
          <w:p>
            <w:pPr>
              <w:jc w:val="right"/>
              <w:spacing w:after="0"/>
              <w:rPr>
                <w:rFonts w:ascii="Times New Roman" w:cs="Times New Roman" w:eastAsia="Times New Roman" w:hAnsi="Times New Roman"/>
                <w:sz w:val="18"/>
                <w:szCs w:val="18"/>
                <w:color w:val="0000EE"/>
                <w:w w:val="88"/>
              </w:rPr>
            </w:pPr>
            <w:hyperlink w:anchor="page7">
              <w:r>
                <w:rPr>
                  <w:rFonts w:ascii="Times New Roman" w:cs="Times New Roman" w:eastAsia="Times New Roman" w:hAnsi="Times New Roman"/>
                  <w:sz w:val="18"/>
                  <w:szCs w:val="18"/>
                  <w:color w:val="0000EE"/>
                  <w:w w:val="88"/>
                </w:rPr>
                <w:t>2</w:t>
              </w:r>
            </w:hyperlink>
          </w:p>
        </w:tc>
        <w:tc>
          <w:tcPr>
            <w:tcW w:w="220" w:type="dxa"/>
            <w:vAlign w:val="bottom"/>
            <w:tcBorders>
              <w:bottom w:val="single" w:sz="8" w:color="CCEEFF"/>
            </w:tcBorders>
            <w:shd w:val="clear" w:color="auto" w:fill="CCEEFF"/>
          </w:tcPr>
          <w:p>
            <w:pPr>
              <w:spacing w:after="0"/>
              <w:rPr>
                <w:sz w:val="22"/>
                <w:szCs w:val="22"/>
                <w:color w:val="auto"/>
              </w:rPr>
            </w:pPr>
          </w:p>
        </w:tc>
      </w:tr>
      <w:tr>
        <w:trPr>
          <w:trHeight w:val="203"/>
        </w:trPr>
        <w:tc>
          <w:tcPr>
            <w:tcW w:w="11100" w:type="dxa"/>
            <w:vAlign w:val="bottom"/>
          </w:tcPr>
          <w:p>
            <w:pPr>
              <w:ind w:left="40"/>
              <w:spacing w:after="0" w:line="202" w:lineRule="exact"/>
              <w:rPr>
                <w:sz w:val="20"/>
                <w:szCs w:val="20"/>
                <w:color w:val="auto"/>
              </w:rPr>
            </w:pPr>
            <w:r>
              <w:rPr>
                <w:rFonts w:ascii="Times New Roman" w:cs="Times New Roman" w:eastAsia="Times New Roman" w:hAnsi="Times New Roman"/>
                <w:sz w:val="18"/>
                <w:szCs w:val="18"/>
                <w:color w:val="auto"/>
              </w:rPr>
              <w:t>Consolidated Statements of Income for the three months ended March 31, 2018 and 2017……………………………..</w:t>
            </w:r>
          </w:p>
        </w:tc>
        <w:tc>
          <w:tcPr>
            <w:tcW w:w="320" w:type="dxa"/>
            <w:vAlign w:val="bottom"/>
            <w:gridSpan w:val="2"/>
          </w:tcPr>
          <w:p>
            <w:pPr>
              <w:jc w:val="right"/>
              <w:ind w:right="220"/>
              <w:spacing w:after="0" w:line="202" w:lineRule="exact"/>
              <w:rPr>
                <w:rFonts w:ascii="Times New Roman" w:cs="Times New Roman" w:eastAsia="Times New Roman" w:hAnsi="Times New Roman"/>
                <w:sz w:val="18"/>
                <w:szCs w:val="18"/>
                <w:color w:val="0000EE"/>
                <w:w w:val="88"/>
              </w:rPr>
            </w:pPr>
            <w:hyperlink w:anchor="page8">
              <w:r>
                <w:rPr>
                  <w:rFonts w:ascii="Times New Roman" w:cs="Times New Roman" w:eastAsia="Times New Roman" w:hAnsi="Times New Roman"/>
                  <w:sz w:val="18"/>
                  <w:szCs w:val="18"/>
                  <w:color w:val="0000EE"/>
                  <w:w w:val="88"/>
                </w:rPr>
                <w:t>3</w:t>
              </w:r>
            </w:hyperlink>
          </w:p>
        </w:tc>
      </w:tr>
      <w:tr>
        <w:trPr>
          <w:trHeight w:val="48"/>
        </w:trPr>
        <w:tc>
          <w:tcPr>
            <w:tcW w:w="1110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20" w:type="dxa"/>
            <w:vAlign w:val="bottom"/>
          </w:tcPr>
          <w:p>
            <w:pPr>
              <w:spacing w:after="0"/>
              <w:rPr>
                <w:sz w:val="4"/>
                <w:szCs w:val="4"/>
                <w:color w:val="auto"/>
              </w:rPr>
            </w:pPr>
          </w:p>
        </w:tc>
      </w:tr>
      <w:tr>
        <w:trPr>
          <w:trHeight w:val="250"/>
        </w:trPr>
        <w:tc>
          <w:tcPr>
            <w:tcW w:w="11100" w:type="dxa"/>
            <w:vAlign w:val="bottom"/>
            <w:tcBorders>
              <w:bottom w:val="single" w:sz="8" w:color="CCEEFF"/>
            </w:tcBorders>
            <w:shd w:val="clear" w:color="auto" w:fill="CCEEFF"/>
          </w:tcPr>
          <w:p>
            <w:pPr>
              <w:ind w:left="40"/>
              <w:spacing w:after="0" w:line="202" w:lineRule="exact"/>
              <w:rPr>
                <w:sz w:val="20"/>
                <w:szCs w:val="20"/>
                <w:color w:val="auto"/>
              </w:rPr>
            </w:pPr>
            <w:r>
              <w:rPr>
                <w:rFonts w:ascii="Times New Roman" w:cs="Times New Roman" w:eastAsia="Times New Roman" w:hAnsi="Times New Roman"/>
                <w:sz w:val="18"/>
                <w:szCs w:val="18"/>
                <w:color w:val="auto"/>
              </w:rPr>
              <w:t>Consolidated Statements of Comprehensive Income for the three months ended March 31, 2018 and 2017……………</w:t>
            </w:r>
          </w:p>
        </w:tc>
        <w:tc>
          <w:tcPr>
            <w:tcW w:w="100" w:type="dxa"/>
            <w:vAlign w:val="bottom"/>
            <w:tcBorders>
              <w:bottom w:val="single" w:sz="8" w:color="0000EE"/>
            </w:tcBorders>
            <w:shd w:val="clear" w:color="auto" w:fill="CCEEFF"/>
          </w:tcPr>
          <w:p>
            <w:pPr>
              <w:jc w:val="right"/>
              <w:spacing w:after="0" w:line="202" w:lineRule="exact"/>
              <w:rPr>
                <w:rFonts w:ascii="Times New Roman" w:cs="Times New Roman" w:eastAsia="Times New Roman" w:hAnsi="Times New Roman"/>
                <w:sz w:val="18"/>
                <w:szCs w:val="18"/>
                <w:color w:val="0000EE"/>
                <w:w w:val="88"/>
              </w:rPr>
            </w:pPr>
            <w:hyperlink w:anchor="page9">
              <w:r>
                <w:rPr>
                  <w:rFonts w:ascii="Times New Roman" w:cs="Times New Roman" w:eastAsia="Times New Roman" w:hAnsi="Times New Roman"/>
                  <w:sz w:val="18"/>
                  <w:szCs w:val="18"/>
                  <w:color w:val="0000EE"/>
                  <w:w w:val="88"/>
                </w:rPr>
                <w:t>4</w:t>
              </w:r>
            </w:hyperlink>
          </w:p>
        </w:tc>
        <w:tc>
          <w:tcPr>
            <w:tcW w:w="220" w:type="dxa"/>
            <w:vAlign w:val="bottom"/>
            <w:tcBorders>
              <w:bottom w:val="single" w:sz="8" w:color="CCEEFF"/>
            </w:tcBorders>
            <w:shd w:val="clear" w:color="auto" w:fill="CCEEFF"/>
          </w:tcPr>
          <w:p>
            <w:pPr>
              <w:spacing w:after="0"/>
              <w:rPr>
                <w:sz w:val="21"/>
                <w:szCs w:val="21"/>
                <w:color w:val="auto"/>
              </w:rPr>
            </w:pPr>
          </w:p>
        </w:tc>
      </w:tr>
      <w:tr>
        <w:trPr>
          <w:trHeight w:val="203"/>
        </w:trPr>
        <w:tc>
          <w:tcPr>
            <w:tcW w:w="11100" w:type="dxa"/>
            <w:vAlign w:val="bottom"/>
          </w:tcPr>
          <w:p>
            <w:pPr>
              <w:ind w:left="40"/>
              <w:spacing w:after="0" w:line="202" w:lineRule="exact"/>
              <w:rPr>
                <w:sz w:val="20"/>
                <w:szCs w:val="20"/>
                <w:color w:val="auto"/>
              </w:rPr>
            </w:pPr>
            <w:r>
              <w:rPr>
                <w:rFonts w:ascii="Times New Roman" w:cs="Times New Roman" w:eastAsia="Times New Roman" w:hAnsi="Times New Roman"/>
                <w:sz w:val="18"/>
                <w:szCs w:val="18"/>
                <w:color w:val="auto"/>
              </w:rPr>
              <w:t>Consolidated Statements of Changes in Members’ Deficit for the three months ended March 31, 2018 and 2017……..</w:t>
            </w:r>
          </w:p>
        </w:tc>
        <w:tc>
          <w:tcPr>
            <w:tcW w:w="320" w:type="dxa"/>
            <w:vAlign w:val="bottom"/>
            <w:gridSpan w:val="2"/>
          </w:tcPr>
          <w:p>
            <w:pPr>
              <w:jc w:val="right"/>
              <w:ind w:right="220"/>
              <w:spacing w:after="0" w:line="202" w:lineRule="exact"/>
              <w:rPr>
                <w:rFonts w:ascii="Times New Roman" w:cs="Times New Roman" w:eastAsia="Times New Roman" w:hAnsi="Times New Roman"/>
                <w:sz w:val="18"/>
                <w:szCs w:val="18"/>
                <w:color w:val="0000EE"/>
                <w:w w:val="88"/>
              </w:rPr>
            </w:pPr>
            <w:hyperlink w:anchor="page10">
              <w:r>
                <w:rPr>
                  <w:rFonts w:ascii="Times New Roman" w:cs="Times New Roman" w:eastAsia="Times New Roman" w:hAnsi="Times New Roman"/>
                  <w:sz w:val="18"/>
                  <w:szCs w:val="18"/>
                  <w:color w:val="0000EE"/>
                  <w:w w:val="88"/>
                </w:rPr>
                <w:t>5</w:t>
              </w:r>
            </w:hyperlink>
          </w:p>
        </w:tc>
      </w:tr>
      <w:tr>
        <w:trPr>
          <w:trHeight w:val="48"/>
        </w:trPr>
        <w:tc>
          <w:tcPr>
            <w:tcW w:w="1110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20" w:type="dxa"/>
            <w:vAlign w:val="bottom"/>
          </w:tcPr>
          <w:p>
            <w:pPr>
              <w:spacing w:after="0"/>
              <w:rPr>
                <w:sz w:val="4"/>
                <w:szCs w:val="4"/>
                <w:color w:val="auto"/>
              </w:rPr>
            </w:pPr>
          </w:p>
        </w:tc>
      </w:tr>
      <w:tr>
        <w:trPr>
          <w:trHeight w:val="250"/>
        </w:trPr>
        <w:tc>
          <w:tcPr>
            <w:tcW w:w="11100" w:type="dxa"/>
            <w:vAlign w:val="bottom"/>
            <w:tcBorders>
              <w:bottom w:val="single" w:sz="8" w:color="CCEEFF"/>
            </w:tcBorders>
            <w:shd w:val="clear" w:color="auto" w:fill="CCEEFF"/>
          </w:tcPr>
          <w:p>
            <w:pPr>
              <w:ind w:left="40"/>
              <w:spacing w:after="0" w:line="202" w:lineRule="exact"/>
              <w:rPr>
                <w:sz w:val="20"/>
                <w:szCs w:val="20"/>
                <w:color w:val="auto"/>
              </w:rPr>
            </w:pPr>
            <w:r>
              <w:rPr>
                <w:rFonts w:ascii="Times New Roman" w:cs="Times New Roman" w:eastAsia="Times New Roman" w:hAnsi="Times New Roman"/>
                <w:sz w:val="18"/>
                <w:szCs w:val="18"/>
                <w:color w:val="auto"/>
              </w:rPr>
              <w:t>Consolidated Statements of Cash Flows for the three months ended March 31, 2018 and 2017…………………………</w:t>
            </w:r>
          </w:p>
        </w:tc>
        <w:tc>
          <w:tcPr>
            <w:tcW w:w="100" w:type="dxa"/>
            <w:vAlign w:val="bottom"/>
            <w:tcBorders>
              <w:bottom w:val="single" w:sz="8" w:color="0000EE"/>
            </w:tcBorders>
            <w:shd w:val="clear" w:color="auto" w:fill="CCEEFF"/>
          </w:tcPr>
          <w:p>
            <w:pPr>
              <w:jc w:val="right"/>
              <w:spacing w:after="0" w:line="202" w:lineRule="exact"/>
              <w:rPr>
                <w:rFonts w:ascii="Times New Roman" w:cs="Times New Roman" w:eastAsia="Times New Roman" w:hAnsi="Times New Roman"/>
                <w:sz w:val="18"/>
                <w:szCs w:val="18"/>
                <w:color w:val="0000EE"/>
                <w:w w:val="88"/>
              </w:rPr>
            </w:pPr>
            <w:hyperlink w:anchor="page11">
              <w:r>
                <w:rPr>
                  <w:rFonts w:ascii="Times New Roman" w:cs="Times New Roman" w:eastAsia="Times New Roman" w:hAnsi="Times New Roman"/>
                  <w:sz w:val="18"/>
                  <w:szCs w:val="18"/>
                  <w:color w:val="0000EE"/>
                  <w:w w:val="88"/>
                </w:rPr>
                <w:t>6</w:t>
              </w:r>
            </w:hyperlink>
          </w:p>
        </w:tc>
        <w:tc>
          <w:tcPr>
            <w:tcW w:w="220" w:type="dxa"/>
            <w:vAlign w:val="bottom"/>
            <w:tcBorders>
              <w:bottom w:val="single" w:sz="8" w:color="CCEEFF"/>
            </w:tcBorders>
            <w:shd w:val="clear" w:color="auto" w:fill="CCEEFF"/>
          </w:tcPr>
          <w:p>
            <w:pPr>
              <w:spacing w:after="0"/>
              <w:rPr>
                <w:sz w:val="21"/>
                <w:szCs w:val="21"/>
                <w:color w:val="auto"/>
              </w:rPr>
            </w:pPr>
          </w:p>
        </w:tc>
      </w:tr>
      <w:tr>
        <w:trPr>
          <w:trHeight w:val="203"/>
        </w:trPr>
        <w:tc>
          <w:tcPr>
            <w:tcW w:w="11100" w:type="dxa"/>
            <w:vAlign w:val="bottom"/>
          </w:tcPr>
          <w:p>
            <w:pPr>
              <w:ind w:left="40"/>
              <w:spacing w:after="0" w:line="202" w:lineRule="exact"/>
              <w:rPr>
                <w:sz w:val="20"/>
                <w:szCs w:val="20"/>
                <w:color w:val="auto"/>
              </w:rPr>
            </w:pPr>
            <w:r>
              <w:rPr>
                <w:rFonts w:ascii="Times New Roman" w:cs="Times New Roman" w:eastAsia="Times New Roman" w:hAnsi="Times New Roman"/>
                <w:sz w:val="18"/>
                <w:szCs w:val="18"/>
                <w:color w:val="auto"/>
              </w:rPr>
              <w:t>Notes to Consolidated Financial Statements……………………………………………………………………………...</w:t>
            </w:r>
          </w:p>
        </w:tc>
        <w:tc>
          <w:tcPr>
            <w:tcW w:w="320" w:type="dxa"/>
            <w:vAlign w:val="bottom"/>
            <w:gridSpan w:val="2"/>
          </w:tcPr>
          <w:p>
            <w:pPr>
              <w:jc w:val="right"/>
              <w:ind w:right="220"/>
              <w:spacing w:after="0" w:line="202" w:lineRule="exact"/>
              <w:rPr>
                <w:rFonts w:ascii="Times New Roman" w:cs="Times New Roman" w:eastAsia="Times New Roman" w:hAnsi="Times New Roman"/>
                <w:sz w:val="18"/>
                <w:szCs w:val="18"/>
                <w:color w:val="0000EE"/>
                <w:w w:val="88"/>
              </w:rPr>
            </w:pPr>
            <w:hyperlink w:anchor="page12">
              <w:r>
                <w:rPr>
                  <w:rFonts w:ascii="Times New Roman" w:cs="Times New Roman" w:eastAsia="Times New Roman" w:hAnsi="Times New Roman"/>
                  <w:sz w:val="18"/>
                  <w:szCs w:val="18"/>
                  <w:color w:val="0000EE"/>
                  <w:w w:val="88"/>
                </w:rPr>
                <w:t>7</w:t>
              </w:r>
            </w:hyperlink>
          </w:p>
        </w:tc>
      </w:tr>
      <w:tr>
        <w:trPr>
          <w:trHeight w:val="723"/>
        </w:trPr>
        <w:tc>
          <w:tcPr>
            <w:tcW w:w="11100" w:type="dxa"/>
            <w:vAlign w:val="bottom"/>
          </w:tcPr>
          <w:p>
            <w:pPr>
              <w:ind w:left="5660"/>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tcBorders>
              <w:top w:val="single" w:sz="8" w:color="0000EE"/>
            </w:tcBorders>
          </w:tcPr>
          <w:p>
            <w:pPr>
              <w:spacing w:after="0"/>
              <w:rPr>
                <w:sz w:val="24"/>
                <w:szCs w:val="24"/>
                <w:color w:val="auto"/>
              </w:rPr>
            </w:pPr>
          </w:p>
        </w:tc>
        <w:tc>
          <w:tcPr>
            <w:tcW w:w="220" w:type="dxa"/>
            <w:vAlign w:val="bottom"/>
          </w:tcPr>
          <w:p>
            <w:pPr>
              <w:spacing w:after="0"/>
              <w:rPr>
                <w:sz w:val="24"/>
                <w:szCs w:val="24"/>
                <w:color w:val="auto"/>
              </w:rPr>
            </w:pPr>
          </w:p>
        </w:tc>
      </w:tr>
    </w:tbl>
    <w:p>
      <w:pPr>
        <w:sectPr>
          <w:pgSz w:w="11900" w:h="16838" w:orient="portrait"/>
          <w:cols w:equalWidth="0" w:num="1">
            <w:col w:w="11420"/>
          </w:cols>
          <w:pgMar w:left="240" w:top="117" w:right="239" w:bottom="1440" w:gutter="0" w:footer="0" w:header="0"/>
        </w:sectPr>
      </w:pPr>
    </w:p>
    <w:bookmarkStart w:id="6" w:name="page7"/>
    <w:bookmarkEnd w:id="6"/>
    <w:p>
      <w:pPr>
        <w:jc w:val="center"/>
        <w:ind w:right="-259"/>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18"/>
          <w:szCs w:val="18"/>
          <w:b w:val="1"/>
          <w:bCs w:val="1"/>
          <w:color w:val="auto"/>
        </w:rPr>
        <w:t>Consolidated Balance Sheets</w:t>
      </w:r>
    </w:p>
    <w:p>
      <w:pPr>
        <w:spacing w:after="0" w:line="9"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18"/>
          <w:szCs w:val="18"/>
          <w:b w:val="1"/>
          <w:bCs w:val="1"/>
          <w:color w:val="auto"/>
        </w:rPr>
        <w:t>(Unaudited; in thousands except unit amounts)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5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760" w:type="dxa"/>
            <w:vAlign w:val="bottom"/>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rPr>
              <w:t>March 31, 2018</w:t>
            </w:r>
          </w:p>
        </w:tc>
        <w:tc>
          <w:tcPr>
            <w:tcW w:w="400" w:type="dxa"/>
            <w:vAlign w:val="bottom"/>
          </w:tcPr>
          <w:p>
            <w:pPr>
              <w:spacing w:after="0"/>
              <w:rPr>
                <w:sz w:val="20"/>
                <w:szCs w:val="20"/>
                <w:color w:val="auto"/>
              </w:rPr>
            </w:pPr>
          </w:p>
        </w:tc>
        <w:tc>
          <w:tcPr>
            <w:tcW w:w="2000" w:type="dxa"/>
            <w:vAlign w:val="bottom"/>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December 31, 2017</w:t>
            </w:r>
          </w:p>
        </w:tc>
        <w:tc>
          <w:tcPr>
            <w:tcW w:w="0" w:type="dxa"/>
            <w:vAlign w:val="bottom"/>
          </w:tcPr>
          <w:p>
            <w:pPr>
              <w:spacing w:after="0"/>
              <w:rPr>
                <w:sz w:val="1"/>
                <w:szCs w:val="1"/>
                <w:color w:val="auto"/>
              </w:rPr>
            </w:pPr>
          </w:p>
        </w:tc>
      </w:tr>
      <w:tr>
        <w:trPr>
          <w:trHeight w:val="27"/>
        </w:trPr>
        <w:tc>
          <w:tcPr>
            <w:tcW w:w="6540" w:type="dxa"/>
            <w:vAlign w:val="bottom"/>
            <w:vMerge w:val="restart"/>
          </w:tcPr>
          <w:p>
            <w:pPr>
              <w:ind w:left="40"/>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46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6540" w:type="dxa"/>
            <w:vAlign w:val="bottom"/>
            <w:vMerge w:val="continue"/>
          </w:tcPr>
          <w:p>
            <w:pPr>
              <w:spacing w:after="0"/>
              <w:rPr>
                <w:sz w:val="19"/>
                <w:szCs w:val="19"/>
                <w:color w:val="auto"/>
              </w:rPr>
            </w:pPr>
          </w:p>
        </w:tc>
        <w:tc>
          <w:tcPr>
            <w:tcW w:w="46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6540" w:type="dxa"/>
            <w:vAlign w:val="bottom"/>
          </w:tcPr>
          <w:p>
            <w:pPr>
              <w:spacing w:after="0"/>
              <w:rPr>
                <w:sz w:val="3"/>
                <w:szCs w:val="3"/>
                <w:color w:val="auto"/>
              </w:rPr>
            </w:pPr>
          </w:p>
        </w:tc>
        <w:tc>
          <w:tcPr>
            <w:tcW w:w="460" w:type="dxa"/>
            <w:vAlign w:val="bottom"/>
          </w:tcPr>
          <w:p>
            <w:pPr>
              <w:spacing w:after="0"/>
              <w:rPr>
                <w:sz w:val="3"/>
                <w:szCs w:val="3"/>
                <w:color w:val="auto"/>
              </w:rPr>
            </w:pPr>
          </w:p>
        </w:tc>
        <w:tc>
          <w:tcPr>
            <w:tcW w:w="1760" w:type="dxa"/>
            <w:vAlign w:val="bottom"/>
          </w:tcPr>
          <w:p>
            <w:pPr>
              <w:spacing w:after="0"/>
              <w:rPr>
                <w:sz w:val="3"/>
                <w:szCs w:val="3"/>
                <w:color w:val="auto"/>
              </w:rPr>
            </w:pPr>
          </w:p>
        </w:tc>
        <w:tc>
          <w:tcPr>
            <w:tcW w:w="400" w:type="dxa"/>
            <w:vAlign w:val="bottom"/>
          </w:tcPr>
          <w:p>
            <w:pPr>
              <w:spacing w:after="0"/>
              <w:rPr>
                <w:sz w:val="3"/>
                <w:szCs w:val="3"/>
                <w:color w:val="auto"/>
              </w:rPr>
            </w:pPr>
          </w:p>
        </w:tc>
        <w:tc>
          <w:tcPr>
            <w:tcW w:w="20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65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Current assets:</w:t>
            </w:r>
          </w:p>
        </w:tc>
        <w:tc>
          <w:tcPr>
            <w:tcW w:w="4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5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4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48,224</w:t>
            </w:r>
          </w:p>
        </w:tc>
        <w:tc>
          <w:tcPr>
            <w:tcW w:w="40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20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74,166</w:t>
            </w:r>
          </w:p>
        </w:tc>
        <w:tc>
          <w:tcPr>
            <w:tcW w:w="0" w:type="dxa"/>
            <w:vAlign w:val="bottom"/>
          </w:tcPr>
          <w:p>
            <w:pPr>
              <w:spacing w:after="0"/>
              <w:rPr>
                <w:sz w:val="1"/>
                <w:szCs w:val="1"/>
                <w:color w:val="auto"/>
              </w:rPr>
            </w:pPr>
          </w:p>
        </w:tc>
      </w:tr>
      <w:tr>
        <w:trPr>
          <w:trHeight w:val="27"/>
        </w:trPr>
        <w:tc>
          <w:tcPr>
            <w:tcW w:w="6540" w:type="dxa"/>
            <w:vAlign w:val="bottom"/>
          </w:tcPr>
          <w:p>
            <w:pPr>
              <w:spacing w:after="0"/>
              <w:rPr>
                <w:sz w:val="2"/>
                <w:szCs w:val="2"/>
                <w:color w:val="auto"/>
              </w:rPr>
            </w:pPr>
          </w:p>
        </w:tc>
        <w:tc>
          <w:tcPr>
            <w:tcW w:w="46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0" w:type="dxa"/>
            <w:vAlign w:val="bottom"/>
          </w:tcPr>
          <w:p>
            <w:pPr>
              <w:spacing w:after="0"/>
              <w:rPr>
                <w:sz w:val="2"/>
                <w:szCs w:val="2"/>
                <w:color w:val="auto"/>
              </w:rPr>
            </w:pPr>
          </w:p>
        </w:tc>
        <w:tc>
          <w:tcPr>
            <w:tcW w:w="2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4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Restricted cash</w:t>
            </w:r>
          </w:p>
        </w:tc>
        <w:tc>
          <w:tcPr>
            <w:tcW w:w="4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4,393</w:t>
            </w:r>
          </w:p>
        </w:tc>
        <w:tc>
          <w:tcPr>
            <w:tcW w:w="40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3,756</w:t>
            </w:r>
          </w:p>
        </w:tc>
        <w:tc>
          <w:tcPr>
            <w:tcW w:w="0" w:type="dxa"/>
            <w:vAlign w:val="bottom"/>
          </w:tcPr>
          <w:p>
            <w:pPr>
              <w:spacing w:after="0"/>
              <w:rPr>
                <w:sz w:val="1"/>
                <w:szCs w:val="1"/>
                <w:color w:val="auto"/>
              </w:rPr>
            </w:pPr>
          </w:p>
        </w:tc>
      </w:tr>
      <w:tr>
        <w:trPr>
          <w:trHeight w:val="243"/>
        </w:trPr>
        <w:tc>
          <w:tcPr>
            <w:tcW w:w="65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Trade accounts receivable – net</w:t>
            </w:r>
          </w:p>
        </w:tc>
        <w:tc>
          <w:tcPr>
            <w:tcW w:w="460" w:type="dxa"/>
            <w:vAlign w:val="bottom"/>
          </w:tcPr>
          <w:p>
            <w:pPr>
              <w:spacing w:after="0"/>
              <w:rPr>
                <w:sz w:val="21"/>
                <w:szCs w:val="21"/>
                <w:color w:val="auto"/>
              </w:rPr>
            </w:pPr>
          </w:p>
        </w:tc>
        <w:tc>
          <w:tcPr>
            <w:tcW w:w="17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346,680</w:t>
            </w:r>
          </w:p>
        </w:tc>
        <w:tc>
          <w:tcPr>
            <w:tcW w:w="400" w:type="dxa"/>
            <w:vAlign w:val="bottom"/>
          </w:tcPr>
          <w:p>
            <w:pPr>
              <w:spacing w:after="0"/>
              <w:rPr>
                <w:sz w:val="21"/>
                <w:szCs w:val="21"/>
                <w:color w:val="auto"/>
              </w:rPr>
            </w:pPr>
          </w:p>
        </w:tc>
        <w:tc>
          <w:tcPr>
            <w:tcW w:w="20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351,367</w:t>
            </w:r>
          </w:p>
        </w:tc>
        <w:tc>
          <w:tcPr>
            <w:tcW w:w="0" w:type="dxa"/>
            <w:vAlign w:val="bottom"/>
          </w:tcPr>
          <w:p>
            <w:pPr>
              <w:spacing w:after="0"/>
              <w:rPr>
                <w:sz w:val="1"/>
                <w:szCs w:val="1"/>
                <w:color w:val="auto"/>
              </w:rPr>
            </w:pPr>
          </w:p>
        </w:tc>
      </w:tr>
      <w:tr>
        <w:trPr>
          <w:trHeight w:val="27"/>
        </w:trPr>
        <w:tc>
          <w:tcPr>
            <w:tcW w:w="6540" w:type="dxa"/>
            <w:vAlign w:val="bottom"/>
          </w:tcPr>
          <w:p>
            <w:pPr>
              <w:spacing w:after="0"/>
              <w:rPr>
                <w:sz w:val="2"/>
                <w:szCs w:val="2"/>
                <w:color w:val="auto"/>
              </w:rPr>
            </w:pPr>
          </w:p>
        </w:tc>
        <w:tc>
          <w:tcPr>
            <w:tcW w:w="46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0" w:type="dxa"/>
            <w:vAlign w:val="bottom"/>
          </w:tcPr>
          <w:p>
            <w:pPr>
              <w:spacing w:after="0"/>
              <w:rPr>
                <w:sz w:val="2"/>
                <w:szCs w:val="2"/>
                <w:color w:val="auto"/>
              </w:rPr>
            </w:pPr>
          </w:p>
        </w:tc>
        <w:tc>
          <w:tcPr>
            <w:tcW w:w="2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4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Inventories</w:t>
            </w:r>
          </w:p>
        </w:tc>
        <w:tc>
          <w:tcPr>
            <w:tcW w:w="4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327,886</w:t>
            </w:r>
          </w:p>
        </w:tc>
        <w:tc>
          <w:tcPr>
            <w:tcW w:w="40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284,038</w:t>
            </w:r>
          </w:p>
        </w:tc>
        <w:tc>
          <w:tcPr>
            <w:tcW w:w="0" w:type="dxa"/>
            <w:vAlign w:val="bottom"/>
          </w:tcPr>
          <w:p>
            <w:pPr>
              <w:spacing w:after="0"/>
              <w:rPr>
                <w:sz w:val="1"/>
                <w:szCs w:val="1"/>
                <w:color w:val="auto"/>
              </w:rPr>
            </w:pPr>
          </w:p>
        </w:tc>
      </w:tr>
      <w:tr>
        <w:trPr>
          <w:trHeight w:val="243"/>
        </w:trPr>
        <w:tc>
          <w:tcPr>
            <w:tcW w:w="65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460" w:type="dxa"/>
            <w:vAlign w:val="bottom"/>
          </w:tcPr>
          <w:p>
            <w:pPr>
              <w:spacing w:after="0"/>
              <w:rPr>
                <w:sz w:val="21"/>
                <w:szCs w:val="21"/>
                <w:color w:val="auto"/>
              </w:rPr>
            </w:pPr>
          </w:p>
        </w:tc>
        <w:tc>
          <w:tcPr>
            <w:tcW w:w="17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37,299</w:t>
            </w:r>
          </w:p>
        </w:tc>
        <w:tc>
          <w:tcPr>
            <w:tcW w:w="400" w:type="dxa"/>
            <w:vAlign w:val="bottom"/>
          </w:tcPr>
          <w:p>
            <w:pPr>
              <w:spacing w:after="0"/>
              <w:rPr>
                <w:sz w:val="21"/>
                <w:szCs w:val="21"/>
                <w:color w:val="auto"/>
              </w:rPr>
            </w:pPr>
          </w:p>
        </w:tc>
        <w:tc>
          <w:tcPr>
            <w:tcW w:w="20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42,396</w:t>
            </w:r>
          </w:p>
        </w:tc>
        <w:tc>
          <w:tcPr>
            <w:tcW w:w="0" w:type="dxa"/>
            <w:vAlign w:val="bottom"/>
          </w:tcPr>
          <w:p>
            <w:pPr>
              <w:spacing w:after="0"/>
              <w:rPr>
                <w:sz w:val="1"/>
                <w:szCs w:val="1"/>
                <w:color w:val="auto"/>
              </w:rPr>
            </w:pPr>
          </w:p>
        </w:tc>
      </w:tr>
      <w:tr>
        <w:trPr>
          <w:trHeight w:val="27"/>
        </w:trPr>
        <w:tc>
          <w:tcPr>
            <w:tcW w:w="6540" w:type="dxa"/>
            <w:vAlign w:val="bottom"/>
          </w:tcPr>
          <w:p>
            <w:pPr>
              <w:spacing w:after="0"/>
              <w:rPr>
                <w:sz w:val="2"/>
                <w:szCs w:val="2"/>
                <w:color w:val="auto"/>
              </w:rPr>
            </w:pPr>
          </w:p>
        </w:tc>
        <w:tc>
          <w:tcPr>
            <w:tcW w:w="46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0" w:type="dxa"/>
            <w:vAlign w:val="bottom"/>
          </w:tcPr>
          <w:p>
            <w:pPr>
              <w:spacing w:after="0"/>
              <w:rPr>
                <w:sz w:val="2"/>
                <w:szCs w:val="2"/>
                <w:color w:val="auto"/>
              </w:rPr>
            </w:pPr>
          </w:p>
        </w:tc>
        <w:tc>
          <w:tcPr>
            <w:tcW w:w="2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54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Related-party receivables</w:t>
            </w:r>
          </w:p>
        </w:tc>
        <w:tc>
          <w:tcPr>
            <w:tcW w:w="460" w:type="dxa"/>
            <w:vAlign w:val="bottom"/>
            <w:tcBorders>
              <w:bottom w:val="single" w:sz="8" w:color="CCEEFF"/>
            </w:tcBorders>
            <w:shd w:val="clear" w:color="auto" w:fill="CCEEFF"/>
          </w:tcPr>
          <w:p>
            <w:pPr>
              <w:spacing w:after="0"/>
              <w:rPr>
                <w:sz w:val="23"/>
                <w:szCs w:val="23"/>
                <w:color w:val="auto"/>
              </w:rPr>
            </w:pPr>
          </w:p>
        </w:tc>
        <w:tc>
          <w:tcPr>
            <w:tcW w:w="17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10,982</w:t>
            </w:r>
          </w:p>
        </w:tc>
        <w:tc>
          <w:tcPr>
            <w:tcW w:w="400" w:type="dxa"/>
            <w:vAlign w:val="bottom"/>
            <w:tcBorders>
              <w:bottom w:val="single" w:sz="8" w:color="CCEEFF"/>
            </w:tcBorders>
            <w:shd w:val="clear" w:color="auto" w:fill="CCEEFF"/>
          </w:tcPr>
          <w:p>
            <w:pPr>
              <w:spacing w:after="0"/>
              <w:rPr>
                <w:sz w:val="23"/>
                <w:szCs w:val="23"/>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16,210</w:t>
            </w:r>
          </w:p>
        </w:tc>
        <w:tc>
          <w:tcPr>
            <w:tcW w:w="0" w:type="dxa"/>
            <w:vAlign w:val="bottom"/>
          </w:tcPr>
          <w:p>
            <w:pPr>
              <w:spacing w:after="0"/>
              <w:rPr>
                <w:sz w:val="1"/>
                <w:szCs w:val="1"/>
                <w:color w:val="auto"/>
              </w:rPr>
            </w:pPr>
          </w:p>
        </w:tc>
      </w:tr>
      <w:tr>
        <w:trPr>
          <w:trHeight w:val="237"/>
        </w:trPr>
        <w:tc>
          <w:tcPr>
            <w:tcW w:w="65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Total current assets</w:t>
            </w:r>
          </w:p>
        </w:tc>
        <w:tc>
          <w:tcPr>
            <w:tcW w:w="460" w:type="dxa"/>
            <w:vAlign w:val="bottom"/>
            <w:tcBorders>
              <w:top w:val="single" w:sz="8" w:color="auto"/>
            </w:tcBorders>
          </w:tcPr>
          <w:p>
            <w:pPr>
              <w:spacing w:after="0"/>
              <w:rPr>
                <w:sz w:val="20"/>
                <w:szCs w:val="20"/>
                <w:color w:val="auto"/>
              </w:rPr>
            </w:pPr>
          </w:p>
        </w:tc>
        <w:tc>
          <w:tcPr>
            <w:tcW w:w="1760" w:type="dxa"/>
            <w:vAlign w:val="bottom"/>
            <w:tcBorders>
              <w:top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775,464</w:t>
            </w:r>
          </w:p>
        </w:tc>
        <w:tc>
          <w:tcPr>
            <w:tcW w:w="400" w:type="dxa"/>
            <w:vAlign w:val="bottom"/>
            <w:tcBorders>
              <w:top w:val="single" w:sz="8" w:color="auto"/>
            </w:tcBorders>
          </w:tcPr>
          <w:p>
            <w:pPr>
              <w:spacing w:after="0"/>
              <w:rPr>
                <w:sz w:val="20"/>
                <w:szCs w:val="20"/>
                <w:color w:val="auto"/>
              </w:rPr>
            </w:pPr>
          </w:p>
        </w:tc>
        <w:tc>
          <w:tcPr>
            <w:tcW w:w="20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771,933</w:t>
            </w:r>
          </w:p>
        </w:tc>
        <w:tc>
          <w:tcPr>
            <w:tcW w:w="0" w:type="dxa"/>
            <w:vAlign w:val="bottom"/>
          </w:tcPr>
          <w:p>
            <w:pPr>
              <w:spacing w:after="0"/>
              <w:rPr>
                <w:sz w:val="1"/>
                <w:szCs w:val="1"/>
                <w:color w:val="auto"/>
              </w:rPr>
            </w:pPr>
          </w:p>
        </w:tc>
      </w:tr>
      <w:tr>
        <w:trPr>
          <w:trHeight w:val="27"/>
        </w:trPr>
        <w:tc>
          <w:tcPr>
            <w:tcW w:w="654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5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Property, plant, and equipment – net</w:t>
            </w:r>
          </w:p>
        </w:tc>
        <w:tc>
          <w:tcPr>
            <w:tcW w:w="4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489,947</w:t>
            </w:r>
          </w:p>
        </w:tc>
        <w:tc>
          <w:tcPr>
            <w:tcW w:w="40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486,758</w:t>
            </w:r>
          </w:p>
        </w:tc>
        <w:tc>
          <w:tcPr>
            <w:tcW w:w="0" w:type="dxa"/>
            <w:vAlign w:val="bottom"/>
          </w:tcPr>
          <w:p>
            <w:pPr>
              <w:spacing w:after="0"/>
              <w:rPr>
                <w:sz w:val="1"/>
                <w:szCs w:val="1"/>
                <w:color w:val="auto"/>
              </w:rPr>
            </w:pPr>
          </w:p>
        </w:tc>
      </w:tr>
      <w:tr>
        <w:trPr>
          <w:trHeight w:val="243"/>
        </w:trPr>
        <w:tc>
          <w:tcPr>
            <w:tcW w:w="65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Goodwill</w:t>
            </w:r>
          </w:p>
        </w:tc>
        <w:tc>
          <w:tcPr>
            <w:tcW w:w="460" w:type="dxa"/>
            <w:vAlign w:val="bottom"/>
          </w:tcPr>
          <w:p>
            <w:pPr>
              <w:spacing w:after="0"/>
              <w:rPr>
                <w:sz w:val="21"/>
                <w:szCs w:val="21"/>
                <w:color w:val="auto"/>
              </w:rPr>
            </w:pPr>
          </w:p>
        </w:tc>
        <w:tc>
          <w:tcPr>
            <w:tcW w:w="17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26,338</w:t>
            </w:r>
          </w:p>
        </w:tc>
        <w:tc>
          <w:tcPr>
            <w:tcW w:w="400" w:type="dxa"/>
            <w:vAlign w:val="bottom"/>
          </w:tcPr>
          <w:p>
            <w:pPr>
              <w:spacing w:after="0"/>
              <w:rPr>
                <w:sz w:val="21"/>
                <w:szCs w:val="21"/>
                <w:color w:val="auto"/>
              </w:rPr>
            </w:pPr>
          </w:p>
        </w:tc>
        <w:tc>
          <w:tcPr>
            <w:tcW w:w="20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26,444</w:t>
            </w:r>
          </w:p>
        </w:tc>
        <w:tc>
          <w:tcPr>
            <w:tcW w:w="0" w:type="dxa"/>
            <w:vAlign w:val="bottom"/>
          </w:tcPr>
          <w:p>
            <w:pPr>
              <w:spacing w:after="0"/>
              <w:rPr>
                <w:sz w:val="1"/>
                <w:szCs w:val="1"/>
                <w:color w:val="auto"/>
              </w:rPr>
            </w:pPr>
          </w:p>
        </w:tc>
      </w:tr>
      <w:tr>
        <w:trPr>
          <w:trHeight w:val="27"/>
        </w:trPr>
        <w:tc>
          <w:tcPr>
            <w:tcW w:w="6540" w:type="dxa"/>
            <w:vAlign w:val="bottom"/>
          </w:tcPr>
          <w:p>
            <w:pPr>
              <w:spacing w:after="0"/>
              <w:rPr>
                <w:sz w:val="2"/>
                <w:szCs w:val="2"/>
                <w:color w:val="auto"/>
              </w:rPr>
            </w:pPr>
          </w:p>
        </w:tc>
        <w:tc>
          <w:tcPr>
            <w:tcW w:w="46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0" w:type="dxa"/>
            <w:vAlign w:val="bottom"/>
          </w:tcPr>
          <w:p>
            <w:pPr>
              <w:spacing w:after="0"/>
              <w:rPr>
                <w:sz w:val="2"/>
                <w:szCs w:val="2"/>
                <w:color w:val="auto"/>
              </w:rPr>
            </w:pPr>
          </w:p>
        </w:tc>
        <w:tc>
          <w:tcPr>
            <w:tcW w:w="2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Intangible assets – net</w:t>
            </w:r>
          </w:p>
        </w:tc>
        <w:tc>
          <w:tcPr>
            <w:tcW w:w="4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48,166</w:t>
            </w:r>
          </w:p>
        </w:tc>
        <w:tc>
          <w:tcPr>
            <w:tcW w:w="40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44,599</w:t>
            </w:r>
          </w:p>
        </w:tc>
        <w:tc>
          <w:tcPr>
            <w:tcW w:w="0" w:type="dxa"/>
            <w:vAlign w:val="bottom"/>
          </w:tcPr>
          <w:p>
            <w:pPr>
              <w:spacing w:after="0"/>
              <w:rPr>
                <w:sz w:val="1"/>
                <w:szCs w:val="1"/>
                <w:color w:val="auto"/>
              </w:rPr>
            </w:pPr>
          </w:p>
        </w:tc>
      </w:tr>
      <w:tr>
        <w:trPr>
          <w:trHeight w:val="243"/>
        </w:trPr>
        <w:tc>
          <w:tcPr>
            <w:tcW w:w="65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Other assets</w:t>
            </w:r>
          </w:p>
        </w:tc>
        <w:tc>
          <w:tcPr>
            <w:tcW w:w="460" w:type="dxa"/>
            <w:vAlign w:val="bottom"/>
          </w:tcPr>
          <w:p>
            <w:pPr>
              <w:spacing w:after="0"/>
              <w:rPr>
                <w:sz w:val="21"/>
                <w:szCs w:val="21"/>
                <w:color w:val="auto"/>
              </w:rPr>
            </w:pPr>
          </w:p>
        </w:tc>
        <w:tc>
          <w:tcPr>
            <w:tcW w:w="17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18,873</w:t>
            </w:r>
          </w:p>
        </w:tc>
        <w:tc>
          <w:tcPr>
            <w:tcW w:w="400" w:type="dxa"/>
            <w:vAlign w:val="bottom"/>
          </w:tcPr>
          <w:p>
            <w:pPr>
              <w:spacing w:after="0"/>
              <w:rPr>
                <w:sz w:val="21"/>
                <w:szCs w:val="21"/>
                <w:color w:val="auto"/>
              </w:rPr>
            </w:pPr>
          </w:p>
        </w:tc>
        <w:tc>
          <w:tcPr>
            <w:tcW w:w="20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12,155</w:t>
            </w:r>
          </w:p>
        </w:tc>
        <w:tc>
          <w:tcPr>
            <w:tcW w:w="0" w:type="dxa"/>
            <w:vAlign w:val="bottom"/>
          </w:tcPr>
          <w:p>
            <w:pPr>
              <w:spacing w:after="0"/>
              <w:rPr>
                <w:sz w:val="1"/>
                <w:szCs w:val="1"/>
                <w:color w:val="auto"/>
              </w:rPr>
            </w:pPr>
          </w:p>
        </w:tc>
      </w:tr>
      <w:tr>
        <w:trPr>
          <w:trHeight w:val="27"/>
        </w:trPr>
        <w:tc>
          <w:tcPr>
            <w:tcW w:w="654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5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Total assets</w:t>
            </w:r>
          </w:p>
        </w:tc>
        <w:tc>
          <w:tcPr>
            <w:tcW w:w="4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1,358,788</w:t>
            </w:r>
          </w:p>
        </w:tc>
        <w:tc>
          <w:tcPr>
            <w:tcW w:w="4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1,341,889</w:t>
            </w:r>
          </w:p>
        </w:tc>
        <w:tc>
          <w:tcPr>
            <w:tcW w:w="0" w:type="dxa"/>
            <w:vAlign w:val="bottom"/>
          </w:tcPr>
          <w:p>
            <w:pPr>
              <w:spacing w:after="0"/>
              <w:rPr>
                <w:sz w:val="1"/>
                <w:szCs w:val="1"/>
                <w:color w:val="auto"/>
              </w:rPr>
            </w:pPr>
          </w:p>
        </w:tc>
      </w:tr>
      <w:tr>
        <w:trPr>
          <w:trHeight w:val="20"/>
        </w:trPr>
        <w:tc>
          <w:tcPr>
            <w:tcW w:w="6540" w:type="dxa"/>
            <w:vAlign w:val="bottom"/>
            <w:tcBorders>
              <w:top w:val="single" w:sz="8" w:color="CCEEFF"/>
              <w:bottom w:val="single" w:sz="8" w:color="CCEEFF"/>
            </w:tcBorders>
            <w:vMerge w:val="restart"/>
          </w:tcPr>
          <w:p>
            <w:pPr>
              <w:ind w:left="40"/>
              <w:spacing w:after="0"/>
              <w:rPr>
                <w:sz w:val="20"/>
                <w:szCs w:val="20"/>
                <w:color w:val="auto"/>
              </w:rPr>
            </w:pPr>
            <w:r>
              <w:rPr>
                <w:rFonts w:ascii="Times New Roman" w:cs="Times New Roman" w:eastAsia="Times New Roman" w:hAnsi="Times New Roman"/>
                <w:sz w:val="18"/>
                <w:szCs w:val="18"/>
                <w:b w:val="1"/>
                <w:bCs w:val="1"/>
                <w:color w:val="auto"/>
              </w:rPr>
              <w:t>Liabilities and members’ deficit</w:t>
            </w:r>
          </w:p>
        </w:tc>
        <w:tc>
          <w:tcPr>
            <w:tcW w:w="460" w:type="dxa"/>
            <w:vAlign w:val="bottom"/>
            <w:tcBorders>
              <w:top w:val="single" w:sz="8" w:color="auto"/>
              <w:bottom w:val="single" w:sz="8" w:color="auto"/>
            </w:tcBorders>
          </w:tcPr>
          <w:p>
            <w:pPr>
              <w:spacing w:after="0" w:line="20" w:lineRule="exact"/>
              <w:rPr>
                <w:sz w:val="1"/>
                <w:szCs w:val="1"/>
                <w:color w:val="auto"/>
              </w:rPr>
            </w:pPr>
          </w:p>
        </w:tc>
        <w:tc>
          <w:tcPr>
            <w:tcW w:w="17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540" w:type="dxa"/>
            <w:vAlign w:val="bottom"/>
            <w:vMerge w:val="continue"/>
          </w:tcPr>
          <w:p>
            <w:pPr>
              <w:spacing w:after="0"/>
              <w:rPr>
                <w:sz w:val="18"/>
                <w:szCs w:val="18"/>
                <w:color w:val="auto"/>
              </w:rPr>
            </w:pPr>
          </w:p>
        </w:tc>
        <w:tc>
          <w:tcPr>
            <w:tcW w:w="46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
        </w:trPr>
        <w:tc>
          <w:tcPr>
            <w:tcW w:w="6540" w:type="dxa"/>
            <w:vAlign w:val="bottom"/>
          </w:tcPr>
          <w:p>
            <w:pPr>
              <w:spacing w:after="0"/>
              <w:rPr>
                <w:sz w:val="3"/>
                <w:szCs w:val="3"/>
                <w:color w:val="auto"/>
              </w:rPr>
            </w:pPr>
          </w:p>
        </w:tc>
        <w:tc>
          <w:tcPr>
            <w:tcW w:w="460" w:type="dxa"/>
            <w:vAlign w:val="bottom"/>
          </w:tcPr>
          <w:p>
            <w:pPr>
              <w:spacing w:after="0"/>
              <w:rPr>
                <w:sz w:val="3"/>
                <w:szCs w:val="3"/>
                <w:color w:val="auto"/>
              </w:rPr>
            </w:pPr>
          </w:p>
        </w:tc>
        <w:tc>
          <w:tcPr>
            <w:tcW w:w="1760" w:type="dxa"/>
            <w:vAlign w:val="bottom"/>
          </w:tcPr>
          <w:p>
            <w:pPr>
              <w:spacing w:after="0"/>
              <w:rPr>
                <w:sz w:val="3"/>
                <w:szCs w:val="3"/>
                <w:color w:val="auto"/>
              </w:rPr>
            </w:pPr>
          </w:p>
        </w:tc>
        <w:tc>
          <w:tcPr>
            <w:tcW w:w="400" w:type="dxa"/>
            <w:vAlign w:val="bottom"/>
          </w:tcPr>
          <w:p>
            <w:pPr>
              <w:spacing w:after="0"/>
              <w:rPr>
                <w:sz w:val="3"/>
                <w:szCs w:val="3"/>
                <w:color w:val="auto"/>
              </w:rPr>
            </w:pPr>
          </w:p>
        </w:tc>
        <w:tc>
          <w:tcPr>
            <w:tcW w:w="20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65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Current liabilities:</w:t>
            </w:r>
          </w:p>
        </w:tc>
        <w:tc>
          <w:tcPr>
            <w:tcW w:w="4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5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Accounts payable</w:t>
            </w:r>
          </w:p>
        </w:tc>
        <w:tc>
          <w:tcPr>
            <w:tcW w:w="4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84,221</w:t>
            </w:r>
          </w:p>
        </w:tc>
        <w:tc>
          <w:tcPr>
            <w:tcW w:w="40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20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70,013</w:t>
            </w:r>
          </w:p>
        </w:tc>
        <w:tc>
          <w:tcPr>
            <w:tcW w:w="0" w:type="dxa"/>
            <w:vAlign w:val="bottom"/>
          </w:tcPr>
          <w:p>
            <w:pPr>
              <w:spacing w:after="0"/>
              <w:rPr>
                <w:sz w:val="1"/>
                <w:szCs w:val="1"/>
                <w:color w:val="auto"/>
              </w:rPr>
            </w:pPr>
          </w:p>
        </w:tc>
      </w:tr>
      <w:tr>
        <w:trPr>
          <w:trHeight w:val="27"/>
        </w:trPr>
        <w:tc>
          <w:tcPr>
            <w:tcW w:w="6540" w:type="dxa"/>
            <w:vAlign w:val="bottom"/>
          </w:tcPr>
          <w:p>
            <w:pPr>
              <w:spacing w:after="0"/>
              <w:rPr>
                <w:sz w:val="2"/>
                <w:szCs w:val="2"/>
                <w:color w:val="auto"/>
              </w:rPr>
            </w:pPr>
          </w:p>
        </w:tc>
        <w:tc>
          <w:tcPr>
            <w:tcW w:w="46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0" w:type="dxa"/>
            <w:vAlign w:val="bottom"/>
          </w:tcPr>
          <w:p>
            <w:pPr>
              <w:spacing w:after="0"/>
              <w:rPr>
                <w:sz w:val="2"/>
                <w:szCs w:val="2"/>
                <w:color w:val="auto"/>
              </w:rPr>
            </w:pPr>
          </w:p>
        </w:tc>
        <w:tc>
          <w:tcPr>
            <w:tcW w:w="2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4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Accrued liabilities</w:t>
            </w:r>
          </w:p>
        </w:tc>
        <w:tc>
          <w:tcPr>
            <w:tcW w:w="4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79,887</w:t>
            </w:r>
          </w:p>
        </w:tc>
        <w:tc>
          <w:tcPr>
            <w:tcW w:w="40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78,742</w:t>
            </w:r>
          </w:p>
        </w:tc>
        <w:tc>
          <w:tcPr>
            <w:tcW w:w="0" w:type="dxa"/>
            <w:vAlign w:val="bottom"/>
          </w:tcPr>
          <w:p>
            <w:pPr>
              <w:spacing w:after="0"/>
              <w:rPr>
                <w:sz w:val="1"/>
                <w:szCs w:val="1"/>
                <w:color w:val="auto"/>
              </w:rPr>
            </w:pPr>
          </w:p>
        </w:tc>
      </w:tr>
      <w:tr>
        <w:trPr>
          <w:trHeight w:val="243"/>
        </w:trPr>
        <w:tc>
          <w:tcPr>
            <w:tcW w:w="65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Accrued returns allowance</w:t>
            </w:r>
          </w:p>
        </w:tc>
        <w:tc>
          <w:tcPr>
            <w:tcW w:w="460" w:type="dxa"/>
            <w:vAlign w:val="bottom"/>
          </w:tcPr>
          <w:p>
            <w:pPr>
              <w:spacing w:after="0"/>
              <w:rPr>
                <w:sz w:val="21"/>
                <w:szCs w:val="21"/>
                <w:color w:val="auto"/>
              </w:rPr>
            </w:pPr>
          </w:p>
        </w:tc>
        <w:tc>
          <w:tcPr>
            <w:tcW w:w="17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49,084</w:t>
            </w:r>
          </w:p>
        </w:tc>
        <w:tc>
          <w:tcPr>
            <w:tcW w:w="400" w:type="dxa"/>
            <w:vAlign w:val="bottom"/>
          </w:tcPr>
          <w:p>
            <w:pPr>
              <w:spacing w:after="0"/>
              <w:rPr>
                <w:sz w:val="21"/>
                <w:szCs w:val="21"/>
                <w:color w:val="auto"/>
              </w:rPr>
            </w:pPr>
          </w:p>
        </w:tc>
        <w:tc>
          <w:tcPr>
            <w:tcW w:w="20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45,175</w:t>
            </w:r>
          </w:p>
        </w:tc>
        <w:tc>
          <w:tcPr>
            <w:tcW w:w="0" w:type="dxa"/>
            <w:vAlign w:val="bottom"/>
          </w:tcPr>
          <w:p>
            <w:pPr>
              <w:spacing w:after="0"/>
              <w:rPr>
                <w:sz w:val="1"/>
                <w:szCs w:val="1"/>
                <w:color w:val="auto"/>
              </w:rPr>
            </w:pPr>
          </w:p>
        </w:tc>
      </w:tr>
      <w:tr>
        <w:trPr>
          <w:trHeight w:val="27"/>
        </w:trPr>
        <w:tc>
          <w:tcPr>
            <w:tcW w:w="6540" w:type="dxa"/>
            <w:vAlign w:val="bottom"/>
          </w:tcPr>
          <w:p>
            <w:pPr>
              <w:spacing w:after="0"/>
              <w:rPr>
                <w:sz w:val="2"/>
                <w:szCs w:val="2"/>
                <w:color w:val="auto"/>
              </w:rPr>
            </w:pPr>
          </w:p>
        </w:tc>
        <w:tc>
          <w:tcPr>
            <w:tcW w:w="46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0" w:type="dxa"/>
            <w:vAlign w:val="bottom"/>
          </w:tcPr>
          <w:p>
            <w:pPr>
              <w:spacing w:after="0"/>
              <w:rPr>
                <w:sz w:val="2"/>
                <w:szCs w:val="2"/>
                <w:color w:val="auto"/>
              </w:rPr>
            </w:pPr>
          </w:p>
        </w:tc>
        <w:tc>
          <w:tcPr>
            <w:tcW w:w="2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4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Current portion of financing obligations</w:t>
            </w:r>
          </w:p>
        </w:tc>
        <w:tc>
          <w:tcPr>
            <w:tcW w:w="4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244</w:t>
            </w:r>
          </w:p>
        </w:tc>
        <w:tc>
          <w:tcPr>
            <w:tcW w:w="40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311</w:t>
            </w:r>
          </w:p>
        </w:tc>
        <w:tc>
          <w:tcPr>
            <w:tcW w:w="0" w:type="dxa"/>
            <w:vAlign w:val="bottom"/>
          </w:tcPr>
          <w:p>
            <w:pPr>
              <w:spacing w:after="0"/>
              <w:rPr>
                <w:sz w:val="1"/>
                <w:szCs w:val="1"/>
                <w:color w:val="auto"/>
              </w:rPr>
            </w:pPr>
          </w:p>
        </w:tc>
      </w:tr>
      <w:tr>
        <w:trPr>
          <w:trHeight w:val="243"/>
        </w:trPr>
        <w:tc>
          <w:tcPr>
            <w:tcW w:w="65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Taxes payable</w:t>
            </w:r>
          </w:p>
        </w:tc>
        <w:tc>
          <w:tcPr>
            <w:tcW w:w="460" w:type="dxa"/>
            <w:vAlign w:val="bottom"/>
          </w:tcPr>
          <w:p>
            <w:pPr>
              <w:spacing w:after="0"/>
              <w:rPr>
                <w:sz w:val="21"/>
                <w:szCs w:val="21"/>
                <w:color w:val="auto"/>
              </w:rPr>
            </w:pPr>
          </w:p>
        </w:tc>
        <w:tc>
          <w:tcPr>
            <w:tcW w:w="17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1,076</w:t>
            </w:r>
          </w:p>
        </w:tc>
        <w:tc>
          <w:tcPr>
            <w:tcW w:w="400" w:type="dxa"/>
            <w:vAlign w:val="bottom"/>
          </w:tcPr>
          <w:p>
            <w:pPr>
              <w:spacing w:after="0"/>
              <w:rPr>
                <w:sz w:val="21"/>
                <w:szCs w:val="21"/>
                <w:color w:val="auto"/>
              </w:rPr>
            </w:pPr>
          </w:p>
        </w:tc>
        <w:tc>
          <w:tcPr>
            <w:tcW w:w="20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849</w:t>
            </w:r>
          </w:p>
        </w:tc>
        <w:tc>
          <w:tcPr>
            <w:tcW w:w="0" w:type="dxa"/>
            <w:vAlign w:val="bottom"/>
          </w:tcPr>
          <w:p>
            <w:pPr>
              <w:spacing w:after="0"/>
              <w:rPr>
                <w:sz w:val="1"/>
                <w:szCs w:val="1"/>
                <w:color w:val="auto"/>
              </w:rPr>
            </w:pPr>
          </w:p>
        </w:tc>
      </w:tr>
      <w:tr>
        <w:trPr>
          <w:trHeight w:val="27"/>
        </w:trPr>
        <w:tc>
          <w:tcPr>
            <w:tcW w:w="6540" w:type="dxa"/>
            <w:vAlign w:val="bottom"/>
          </w:tcPr>
          <w:p>
            <w:pPr>
              <w:spacing w:after="0"/>
              <w:rPr>
                <w:sz w:val="2"/>
                <w:szCs w:val="2"/>
                <w:color w:val="auto"/>
              </w:rPr>
            </w:pPr>
          </w:p>
        </w:tc>
        <w:tc>
          <w:tcPr>
            <w:tcW w:w="46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0" w:type="dxa"/>
            <w:vAlign w:val="bottom"/>
          </w:tcPr>
          <w:p>
            <w:pPr>
              <w:spacing w:after="0"/>
              <w:rPr>
                <w:sz w:val="2"/>
                <w:szCs w:val="2"/>
                <w:color w:val="auto"/>
              </w:rPr>
            </w:pPr>
          </w:p>
        </w:tc>
        <w:tc>
          <w:tcPr>
            <w:tcW w:w="2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4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Revolving credit facility</w:t>
            </w:r>
          </w:p>
        </w:tc>
        <w:tc>
          <w:tcPr>
            <w:tcW w:w="4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75,000</w:t>
            </w:r>
          </w:p>
        </w:tc>
        <w:tc>
          <w:tcPr>
            <w:tcW w:w="40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75,000</w:t>
            </w:r>
          </w:p>
        </w:tc>
        <w:tc>
          <w:tcPr>
            <w:tcW w:w="0" w:type="dxa"/>
            <w:vAlign w:val="bottom"/>
          </w:tcPr>
          <w:p>
            <w:pPr>
              <w:spacing w:after="0"/>
              <w:rPr>
                <w:sz w:val="1"/>
                <w:szCs w:val="1"/>
                <w:color w:val="auto"/>
              </w:rPr>
            </w:pPr>
          </w:p>
        </w:tc>
      </w:tr>
      <w:tr>
        <w:trPr>
          <w:trHeight w:val="243"/>
        </w:trPr>
        <w:tc>
          <w:tcPr>
            <w:tcW w:w="65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Current portion of long-term debt</w:t>
            </w:r>
          </w:p>
        </w:tc>
        <w:tc>
          <w:tcPr>
            <w:tcW w:w="460" w:type="dxa"/>
            <w:vAlign w:val="bottom"/>
          </w:tcPr>
          <w:p>
            <w:pPr>
              <w:spacing w:after="0"/>
              <w:rPr>
                <w:sz w:val="21"/>
                <w:szCs w:val="21"/>
                <w:color w:val="auto"/>
              </w:rPr>
            </w:pPr>
          </w:p>
        </w:tc>
        <w:tc>
          <w:tcPr>
            <w:tcW w:w="17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14,171</w:t>
            </w:r>
          </w:p>
        </w:tc>
        <w:tc>
          <w:tcPr>
            <w:tcW w:w="400" w:type="dxa"/>
            <w:vAlign w:val="bottom"/>
          </w:tcPr>
          <w:p>
            <w:pPr>
              <w:spacing w:after="0"/>
              <w:rPr>
                <w:sz w:val="21"/>
                <w:szCs w:val="21"/>
                <w:color w:val="auto"/>
              </w:rPr>
            </w:pPr>
          </w:p>
        </w:tc>
        <w:tc>
          <w:tcPr>
            <w:tcW w:w="20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14,171</w:t>
            </w:r>
          </w:p>
        </w:tc>
        <w:tc>
          <w:tcPr>
            <w:tcW w:w="0" w:type="dxa"/>
            <w:vAlign w:val="bottom"/>
          </w:tcPr>
          <w:p>
            <w:pPr>
              <w:spacing w:after="0"/>
              <w:rPr>
                <w:sz w:val="1"/>
                <w:szCs w:val="1"/>
                <w:color w:val="auto"/>
              </w:rPr>
            </w:pPr>
          </w:p>
        </w:tc>
      </w:tr>
      <w:tr>
        <w:trPr>
          <w:trHeight w:val="27"/>
        </w:trPr>
        <w:tc>
          <w:tcPr>
            <w:tcW w:w="6540" w:type="dxa"/>
            <w:vAlign w:val="bottom"/>
          </w:tcPr>
          <w:p>
            <w:pPr>
              <w:spacing w:after="0"/>
              <w:rPr>
                <w:sz w:val="2"/>
                <w:szCs w:val="2"/>
                <w:color w:val="auto"/>
              </w:rPr>
            </w:pPr>
          </w:p>
        </w:tc>
        <w:tc>
          <w:tcPr>
            <w:tcW w:w="46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0" w:type="dxa"/>
            <w:vAlign w:val="bottom"/>
          </w:tcPr>
          <w:p>
            <w:pPr>
              <w:spacing w:after="0"/>
              <w:rPr>
                <w:sz w:val="2"/>
                <w:szCs w:val="2"/>
                <w:color w:val="auto"/>
              </w:rPr>
            </w:pPr>
          </w:p>
        </w:tc>
        <w:tc>
          <w:tcPr>
            <w:tcW w:w="2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54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Related-party payables</w:t>
            </w:r>
          </w:p>
        </w:tc>
        <w:tc>
          <w:tcPr>
            <w:tcW w:w="460" w:type="dxa"/>
            <w:vAlign w:val="bottom"/>
            <w:tcBorders>
              <w:bottom w:val="single" w:sz="8" w:color="CCEEFF"/>
            </w:tcBorders>
            <w:shd w:val="clear" w:color="auto" w:fill="CCEEFF"/>
          </w:tcPr>
          <w:p>
            <w:pPr>
              <w:spacing w:after="0"/>
              <w:rPr>
                <w:sz w:val="23"/>
                <w:szCs w:val="23"/>
                <w:color w:val="auto"/>
              </w:rPr>
            </w:pPr>
          </w:p>
        </w:tc>
        <w:tc>
          <w:tcPr>
            <w:tcW w:w="17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9,368</w:t>
            </w:r>
          </w:p>
        </w:tc>
        <w:tc>
          <w:tcPr>
            <w:tcW w:w="400" w:type="dxa"/>
            <w:vAlign w:val="bottom"/>
            <w:tcBorders>
              <w:bottom w:val="single" w:sz="8" w:color="CCEEFF"/>
            </w:tcBorders>
            <w:shd w:val="clear" w:color="auto" w:fill="CCEEFF"/>
          </w:tcPr>
          <w:p>
            <w:pPr>
              <w:spacing w:after="0"/>
              <w:rPr>
                <w:sz w:val="23"/>
                <w:szCs w:val="23"/>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12,622</w:t>
            </w:r>
          </w:p>
        </w:tc>
        <w:tc>
          <w:tcPr>
            <w:tcW w:w="0" w:type="dxa"/>
            <w:vAlign w:val="bottom"/>
          </w:tcPr>
          <w:p>
            <w:pPr>
              <w:spacing w:after="0"/>
              <w:rPr>
                <w:sz w:val="1"/>
                <w:szCs w:val="1"/>
                <w:color w:val="auto"/>
              </w:rPr>
            </w:pPr>
          </w:p>
        </w:tc>
      </w:tr>
      <w:tr>
        <w:trPr>
          <w:trHeight w:val="237"/>
        </w:trPr>
        <w:tc>
          <w:tcPr>
            <w:tcW w:w="65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Total current liabilities</w:t>
            </w:r>
          </w:p>
        </w:tc>
        <w:tc>
          <w:tcPr>
            <w:tcW w:w="460" w:type="dxa"/>
            <w:vAlign w:val="bottom"/>
            <w:tcBorders>
              <w:top w:val="single" w:sz="8" w:color="auto"/>
            </w:tcBorders>
          </w:tcPr>
          <w:p>
            <w:pPr>
              <w:spacing w:after="0"/>
              <w:rPr>
                <w:sz w:val="20"/>
                <w:szCs w:val="20"/>
                <w:color w:val="auto"/>
              </w:rPr>
            </w:pPr>
          </w:p>
        </w:tc>
        <w:tc>
          <w:tcPr>
            <w:tcW w:w="1760" w:type="dxa"/>
            <w:vAlign w:val="bottom"/>
            <w:tcBorders>
              <w:top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313,051</w:t>
            </w:r>
          </w:p>
        </w:tc>
        <w:tc>
          <w:tcPr>
            <w:tcW w:w="400" w:type="dxa"/>
            <w:vAlign w:val="bottom"/>
            <w:tcBorders>
              <w:top w:val="single" w:sz="8" w:color="auto"/>
            </w:tcBorders>
          </w:tcPr>
          <w:p>
            <w:pPr>
              <w:spacing w:after="0"/>
              <w:rPr>
                <w:sz w:val="20"/>
                <w:szCs w:val="20"/>
                <w:color w:val="auto"/>
              </w:rPr>
            </w:pPr>
          </w:p>
        </w:tc>
        <w:tc>
          <w:tcPr>
            <w:tcW w:w="20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296,883</w:t>
            </w:r>
          </w:p>
        </w:tc>
        <w:tc>
          <w:tcPr>
            <w:tcW w:w="0" w:type="dxa"/>
            <w:vAlign w:val="bottom"/>
          </w:tcPr>
          <w:p>
            <w:pPr>
              <w:spacing w:after="0"/>
              <w:rPr>
                <w:sz w:val="1"/>
                <w:szCs w:val="1"/>
                <w:color w:val="auto"/>
              </w:rPr>
            </w:pPr>
          </w:p>
        </w:tc>
      </w:tr>
      <w:tr>
        <w:trPr>
          <w:trHeight w:val="27"/>
        </w:trPr>
        <w:tc>
          <w:tcPr>
            <w:tcW w:w="654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54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Long-term debt, net</w:t>
            </w:r>
          </w:p>
        </w:tc>
        <w:tc>
          <w:tcPr>
            <w:tcW w:w="460" w:type="dxa"/>
            <w:vAlign w:val="bottom"/>
            <w:shd w:val="clear" w:color="auto" w:fill="CCEEFF"/>
          </w:tcPr>
          <w:p>
            <w:pPr>
              <w:spacing w:after="0"/>
              <w:rPr>
                <w:sz w:val="20"/>
                <w:szCs w:val="20"/>
                <w:color w:val="auto"/>
              </w:rPr>
            </w:pPr>
          </w:p>
        </w:tc>
        <w:tc>
          <w:tcPr>
            <w:tcW w:w="176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1,352,901</w:t>
            </w:r>
          </w:p>
        </w:tc>
        <w:tc>
          <w:tcPr>
            <w:tcW w:w="400" w:type="dxa"/>
            <w:vAlign w:val="bottom"/>
            <w:shd w:val="clear" w:color="auto" w:fill="CCEEFF"/>
          </w:tcPr>
          <w:p>
            <w:pPr>
              <w:spacing w:after="0"/>
              <w:rPr>
                <w:sz w:val="20"/>
                <w:szCs w:val="20"/>
                <w:color w:val="auto"/>
              </w:rPr>
            </w:pPr>
          </w:p>
        </w:tc>
        <w:tc>
          <w:tcPr>
            <w:tcW w:w="20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1,355,274</w:t>
            </w:r>
          </w:p>
        </w:tc>
        <w:tc>
          <w:tcPr>
            <w:tcW w:w="0" w:type="dxa"/>
            <w:vAlign w:val="bottom"/>
          </w:tcPr>
          <w:p>
            <w:pPr>
              <w:spacing w:after="0"/>
              <w:rPr>
                <w:sz w:val="1"/>
                <w:szCs w:val="1"/>
                <w:color w:val="auto"/>
              </w:rPr>
            </w:pPr>
          </w:p>
        </w:tc>
      </w:tr>
      <w:tr>
        <w:trPr>
          <w:trHeight w:val="27"/>
        </w:trPr>
        <w:tc>
          <w:tcPr>
            <w:tcW w:w="6540" w:type="dxa"/>
            <w:vAlign w:val="bottom"/>
            <w:shd w:val="clear" w:color="auto" w:fill="CCEEFF"/>
          </w:tcPr>
          <w:p>
            <w:pPr>
              <w:spacing w:after="0"/>
              <w:rPr>
                <w:sz w:val="2"/>
                <w:szCs w:val="2"/>
                <w:color w:val="auto"/>
              </w:rPr>
            </w:pPr>
          </w:p>
        </w:tc>
        <w:tc>
          <w:tcPr>
            <w:tcW w:w="460" w:type="dxa"/>
            <w:vAlign w:val="bottom"/>
            <w:shd w:val="clear" w:color="auto" w:fill="CCEEFF"/>
          </w:tcPr>
          <w:p>
            <w:pPr>
              <w:spacing w:after="0"/>
              <w:rPr>
                <w:sz w:val="2"/>
                <w:szCs w:val="2"/>
                <w:color w:val="auto"/>
              </w:rPr>
            </w:pPr>
          </w:p>
        </w:tc>
        <w:tc>
          <w:tcPr>
            <w:tcW w:w="176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20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9" w:lineRule="exact"/>
        <w:rPr>
          <w:sz w:val="20"/>
          <w:szCs w:val="20"/>
          <w:color w:val="auto"/>
        </w:rPr>
      </w:pPr>
    </w:p>
    <w:p>
      <w:pPr>
        <w:sectPr>
          <w:pgSz w:w="11900" w:h="16838" w:orient="portrait"/>
          <w:cols w:equalWidth="0" w:num="1">
            <w:col w:w="11160"/>
          </w:cols>
          <w:pgMar w:left="240" w:top="117" w:right="499" w:bottom="1440" w:gutter="0" w:footer="0" w:header="0"/>
        </w:sectPr>
      </w:pPr>
    </w:p>
    <w:p>
      <w:pPr>
        <w:ind w:left="40"/>
        <w:spacing w:after="0"/>
        <w:rPr>
          <w:sz w:val="20"/>
          <w:szCs w:val="20"/>
          <w:color w:val="auto"/>
        </w:rPr>
      </w:pPr>
      <w:r>
        <w:rPr>
          <w:rFonts w:ascii="Times New Roman" w:cs="Times New Roman" w:eastAsia="Times New Roman" w:hAnsi="Times New Roman"/>
          <w:sz w:val="18"/>
          <w:szCs w:val="18"/>
          <w:color w:val="auto"/>
        </w:rPr>
        <w:t>Long-term portion of financing obligations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083425" cy="1714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083425" cy="171450"/>
                    </a:xfrm>
                    <a:prstGeom prst="rect">
                      <a:avLst/>
                    </a:prstGeom>
                    <a:noFill/>
                  </pic:spPr>
                </pic:pic>
              </a:graphicData>
            </a:graphic>
          </wp:anchor>
        </w:drawing>
      </w:r>
    </w:p>
    <w:p>
      <w:pPr>
        <w:spacing w:after="0" w:line="4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Deferred income taxes</w:t>
      </w:r>
    </w:p>
    <w:p>
      <w:pPr>
        <w:spacing w:after="0" w:line="6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Other long-term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083425" cy="1714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083425" cy="171450"/>
                    </a:xfrm>
                    <a:prstGeom prst="rect">
                      <a:avLst/>
                    </a:prstGeom>
                    <a:noFill/>
                  </pic:spPr>
                </pic:pic>
              </a:graphicData>
            </a:graphic>
          </wp:anchor>
        </w:drawing>
      </w:r>
    </w:p>
    <w:p>
      <w:pPr>
        <w:spacing w:after="0" w:line="4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Related-party payable – long-term</w:t>
      </w:r>
    </w:p>
    <w:p>
      <w:pPr>
        <w:spacing w:after="0" w:line="6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Total long-term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43180</wp:posOffset>
            </wp:positionV>
            <wp:extent cx="7083425" cy="180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083425" cy="180340"/>
                    </a:xfrm>
                    <a:prstGeom prst="rect">
                      <a:avLst/>
                    </a:prstGeom>
                    <a:noFill/>
                  </pic:spPr>
                </pic:pic>
              </a:graphicData>
            </a:graphic>
          </wp:anchor>
        </w:drawing>
      </w:r>
    </w:p>
    <w:p>
      <w:pPr>
        <w:spacing w:after="0" w:line="55"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 xml:space="preserve">Commitments and contingencies </w:t>
      </w:r>
      <w:r>
        <w:rPr>
          <w:rFonts w:ascii="Times New Roman" w:cs="Times New Roman" w:eastAsia="Times New Roman" w:hAnsi="Times New Roman"/>
          <w:sz w:val="18"/>
          <w:szCs w:val="18"/>
          <w:i w:val="1"/>
          <w:iCs w:val="1"/>
          <w:color w:val="auto"/>
        </w:rPr>
        <w:t>(Note 12)</w:t>
      </w:r>
    </w:p>
    <w:p>
      <w:pPr>
        <w:spacing w:after="0" w:line="79" w:lineRule="exact"/>
        <w:rPr>
          <w:sz w:val="20"/>
          <w:szCs w:val="20"/>
          <w:color w:val="auto"/>
        </w:rPr>
      </w:pPr>
    </w:p>
    <w:p>
      <w:pPr>
        <w:ind w:left="40"/>
        <w:spacing w:after="0" w:line="281" w:lineRule="auto"/>
        <w:rPr>
          <w:sz w:val="20"/>
          <w:szCs w:val="20"/>
          <w:color w:val="auto"/>
        </w:rPr>
      </w:pPr>
      <w:r>
        <w:rPr>
          <w:rFonts w:ascii="Times New Roman" w:cs="Times New Roman" w:eastAsia="Times New Roman" w:hAnsi="Times New Roman"/>
          <w:sz w:val="18"/>
          <w:szCs w:val="18"/>
          <w:color w:val="auto"/>
        </w:rPr>
        <w:t>Members’ equity (189,000,000 units authorized, issued and outstanding at March 31, 2018 and December 31,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wp:posOffset>
            </wp:positionV>
            <wp:extent cx="7083425" cy="1714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83425" cy="171450"/>
                    </a:xfrm>
                    <a:prstGeom prst="rect">
                      <a:avLst/>
                    </a:prstGeom>
                    <a:noFill/>
                  </pic:spPr>
                </pic:pic>
              </a:graphicData>
            </a:graphic>
          </wp:anchor>
        </w:drawing>
      </w:r>
    </w:p>
    <w:p>
      <w:pPr>
        <w:ind w:left="40"/>
        <w:spacing w:after="0"/>
        <w:rPr>
          <w:sz w:val="20"/>
          <w:szCs w:val="20"/>
          <w:color w:val="auto"/>
        </w:rPr>
      </w:pPr>
      <w:r>
        <w:rPr>
          <w:rFonts w:ascii="Times New Roman" w:cs="Times New Roman" w:eastAsia="Times New Roman" w:hAnsi="Times New Roman"/>
          <w:sz w:val="18"/>
          <w:szCs w:val="18"/>
          <w:color w:val="auto"/>
        </w:rPr>
        <w:t>Additional paid-in capital</w:t>
      </w:r>
    </w:p>
    <w:p>
      <w:pPr>
        <w:spacing w:after="0" w:line="6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Accumulated other comprehensive loss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083425" cy="1714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083425" cy="171450"/>
                    </a:xfrm>
                    <a:prstGeom prst="rect">
                      <a:avLst/>
                    </a:prstGeom>
                    <a:noFill/>
                  </pic:spPr>
                </pic:pic>
              </a:graphicData>
            </a:graphic>
          </wp:anchor>
        </w:drawing>
      </w:r>
    </w:p>
    <w:p>
      <w:pPr>
        <w:spacing w:after="0" w:line="4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Accumulated deficit</w:t>
      </w:r>
    </w:p>
    <w:p>
      <w:pPr>
        <w:spacing w:after="0" w:line="6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Subtotal – members’ deficit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43180</wp:posOffset>
            </wp:positionV>
            <wp:extent cx="7083425" cy="1714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083425" cy="17145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Non-controlling interest</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4"/>
        </w:trPr>
        <w:tc>
          <w:tcPr>
            <w:tcW w:w="2940" w:type="dxa"/>
            <w:vAlign w:val="bottom"/>
          </w:tcPr>
          <w:p>
            <w:pPr>
              <w:jc w:val="right"/>
              <w:ind w:right="771"/>
              <w:spacing w:after="0"/>
              <w:rPr>
                <w:sz w:val="20"/>
                <w:szCs w:val="20"/>
                <w:color w:val="auto"/>
              </w:rPr>
            </w:pPr>
            <w:r>
              <w:rPr>
                <w:rFonts w:ascii="Times New Roman" w:cs="Times New Roman" w:eastAsia="Times New Roman" w:hAnsi="Times New Roman"/>
                <w:sz w:val="18"/>
                <w:szCs w:val="18"/>
                <w:color w:val="auto"/>
              </w:rPr>
              <w:t>39,286</w:t>
            </w:r>
          </w:p>
        </w:tc>
        <w:tc>
          <w:tcPr>
            <w:tcW w:w="16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39,987</w:t>
            </w:r>
          </w:p>
        </w:tc>
      </w:tr>
      <w:tr>
        <w:trPr>
          <w:trHeight w:val="270"/>
        </w:trPr>
        <w:tc>
          <w:tcPr>
            <w:tcW w:w="2940" w:type="dxa"/>
            <w:vAlign w:val="bottom"/>
          </w:tcPr>
          <w:p>
            <w:pPr>
              <w:jc w:val="right"/>
              <w:ind w:right="771"/>
              <w:spacing w:after="0"/>
              <w:rPr>
                <w:sz w:val="20"/>
                <w:szCs w:val="20"/>
                <w:color w:val="auto"/>
              </w:rPr>
            </w:pPr>
            <w:r>
              <w:rPr>
                <w:rFonts w:ascii="Times New Roman" w:cs="Times New Roman" w:eastAsia="Times New Roman" w:hAnsi="Times New Roman"/>
                <w:sz w:val="18"/>
                <w:szCs w:val="18"/>
                <w:color w:val="auto"/>
              </w:rPr>
              <w:t>2,091</w:t>
            </w:r>
          </w:p>
        </w:tc>
        <w:tc>
          <w:tcPr>
            <w:tcW w:w="16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2,491</w:t>
            </w:r>
          </w:p>
        </w:tc>
      </w:tr>
      <w:tr>
        <w:trPr>
          <w:trHeight w:val="270"/>
        </w:trPr>
        <w:tc>
          <w:tcPr>
            <w:tcW w:w="2940" w:type="dxa"/>
            <w:vAlign w:val="bottom"/>
          </w:tcPr>
          <w:p>
            <w:pPr>
              <w:jc w:val="right"/>
              <w:ind w:right="771"/>
              <w:spacing w:after="0"/>
              <w:rPr>
                <w:sz w:val="20"/>
                <w:szCs w:val="20"/>
                <w:color w:val="auto"/>
              </w:rPr>
            </w:pPr>
            <w:r>
              <w:rPr>
                <w:rFonts w:ascii="Times New Roman" w:cs="Times New Roman" w:eastAsia="Times New Roman" w:hAnsi="Times New Roman"/>
                <w:sz w:val="18"/>
                <w:szCs w:val="18"/>
                <w:color w:val="auto"/>
              </w:rPr>
              <w:t>4,726</w:t>
            </w:r>
          </w:p>
        </w:tc>
        <w:tc>
          <w:tcPr>
            <w:tcW w:w="16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7,793</w:t>
            </w:r>
          </w:p>
        </w:tc>
      </w:tr>
      <w:tr>
        <w:trPr>
          <w:trHeight w:val="270"/>
        </w:trPr>
        <w:tc>
          <w:tcPr>
            <w:tcW w:w="2940" w:type="dxa"/>
            <w:vAlign w:val="bottom"/>
          </w:tcPr>
          <w:p>
            <w:pPr>
              <w:jc w:val="right"/>
              <w:ind w:right="771"/>
              <w:spacing w:after="0"/>
              <w:rPr>
                <w:sz w:val="20"/>
                <w:szCs w:val="20"/>
                <w:color w:val="auto"/>
              </w:rPr>
            </w:pPr>
            <w:r>
              <w:rPr>
                <w:rFonts w:ascii="Times New Roman" w:cs="Times New Roman" w:eastAsia="Times New Roman" w:hAnsi="Times New Roman"/>
                <w:sz w:val="18"/>
                <w:szCs w:val="18"/>
                <w:color w:val="auto"/>
              </w:rPr>
              <w:t>15,552</w:t>
            </w:r>
          </w:p>
        </w:tc>
        <w:tc>
          <w:tcPr>
            <w:tcW w:w="16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15,043</w:t>
            </w:r>
          </w:p>
        </w:tc>
      </w:tr>
      <w:tr>
        <w:trPr>
          <w:trHeight w:val="27"/>
        </w:trPr>
        <w:tc>
          <w:tcPr>
            <w:tcW w:w="294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37"/>
        </w:trPr>
        <w:tc>
          <w:tcPr>
            <w:tcW w:w="2940" w:type="dxa"/>
            <w:vAlign w:val="bottom"/>
          </w:tcPr>
          <w:p>
            <w:pPr>
              <w:jc w:val="right"/>
              <w:ind w:right="771"/>
              <w:spacing w:after="0"/>
              <w:rPr>
                <w:sz w:val="20"/>
                <w:szCs w:val="20"/>
                <w:color w:val="auto"/>
              </w:rPr>
            </w:pPr>
            <w:r>
              <w:rPr>
                <w:rFonts w:ascii="Times New Roman" w:cs="Times New Roman" w:eastAsia="Times New Roman" w:hAnsi="Times New Roman"/>
                <w:sz w:val="18"/>
                <w:szCs w:val="18"/>
                <w:color w:val="auto"/>
              </w:rPr>
              <w:t>1,414,556</w:t>
            </w:r>
          </w:p>
        </w:tc>
        <w:tc>
          <w:tcPr>
            <w:tcW w:w="16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1,420,588</w:t>
            </w:r>
          </w:p>
        </w:tc>
      </w:tr>
      <w:tr>
        <w:trPr>
          <w:trHeight w:val="27"/>
        </w:trPr>
        <w:tc>
          <w:tcPr>
            <w:tcW w:w="294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723"/>
        </w:trPr>
        <w:tc>
          <w:tcPr>
            <w:tcW w:w="2940" w:type="dxa"/>
            <w:vAlign w:val="bottom"/>
          </w:tcPr>
          <w:p>
            <w:pPr>
              <w:jc w:val="right"/>
              <w:ind w:right="771"/>
              <w:spacing w:after="0"/>
              <w:rPr>
                <w:sz w:val="20"/>
                <w:szCs w:val="20"/>
                <w:color w:val="auto"/>
              </w:rPr>
            </w:pPr>
            <w:r>
              <w:rPr>
                <w:rFonts w:ascii="Times New Roman" w:cs="Times New Roman" w:eastAsia="Times New Roman" w:hAnsi="Times New Roman"/>
                <w:sz w:val="18"/>
                <w:szCs w:val="18"/>
                <w:color w:val="auto"/>
              </w:rPr>
              <w:t>2,716</w:t>
            </w:r>
          </w:p>
        </w:tc>
        <w:tc>
          <w:tcPr>
            <w:tcW w:w="16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2,716</w:t>
            </w:r>
          </w:p>
        </w:tc>
      </w:tr>
      <w:tr>
        <w:trPr>
          <w:trHeight w:val="270"/>
        </w:trPr>
        <w:tc>
          <w:tcPr>
            <w:tcW w:w="2940" w:type="dxa"/>
            <w:vAlign w:val="bottom"/>
          </w:tcPr>
          <w:p>
            <w:pPr>
              <w:jc w:val="right"/>
              <w:ind w:right="771"/>
              <w:spacing w:after="0"/>
              <w:rPr>
                <w:sz w:val="20"/>
                <w:szCs w:val="20"/>
                <w:color w:val="auto"/>
              </w:rPr>
            </w:pPr>
            <w:r>
              <w:rPr>
                <w:rFonts w:ascii="Times New Roman" w:cs="Times New Roman" w:eastAsia="Times New Roman" w:hAnsi="Times New Roman"/>
                <w:sz w:val="16"/>
                <w:szCs w:val="16"/>
                <w:color w:val="auto"/>
              </w:rPr>
              <w:t>—</w:t>
            </w:r>
          </w:p>
        </w:tc>
        <w:tc>
          <w:tcPr>
            <w:tcW w:w="16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8,562</w:t>
            </w:r>
          </w:p>
        </w:tc>
      </w:tr>
      <w:tr>
        <w:trPr>
          <w:trHeight w:val="270"/>
        </w:trPr>
        <w:tc>
          <w:tcPr>
            <w:tcW w:w="2940" w:type="dxa"/>
            <w:vAlign w:val="bottom"/>
          </w:tcPr>
          <w:p>
            <w:pPr>
              <w:jc w:val="right"/>
              <w:ind w:right="771"/>
              <w:spacing w:after="0"/>
              <w:rPr>
                <w:sz w:val="20"/>
                <w:szCs w:val="20"/>
                <w:color w:val="auto"/>
              </w:rPr>
            </w:pPr>
            <w:r>
              <w:rPr>
                <w:rFonts w:ascii="Times New Roman" w:cs="Times New Roman" w:eastAsia="Times New Roman" w:hAnsi="Times New Roman"/>
                <w:sz w:val="18"/>
                <w:szCs w:val="18"/>
                <w:color w:val="auto"/>
              </w:rPr>
              <w:t>(24,189)</w:t>
            </w:r>
          </w:p>
        </w:tc>
        <w:tc>
          <w:tcPr>
            <w:tcW w:w="16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(14,232)</w:t>
            </w:r>
          </w:p>
        </w:tc>
      </w:tr>
      <w:tr>
        <w:trPr>
          <w:trHeight w:val="270"/>
        </w:trPr>
        <w:tc>
          <w:tcPr>
            <w:tcW w:w="2940" w:type="dxa"/>
            <w:vAlign w:val="bottom"/>
          </w:tcPr>
          <w:p>
            <w:pPr>
              <w:jc w:val="right"/>
              <w:ind w:right="771"/>
              <w:spacing w:after="0"/>
              <w:rPr>
                <w:sz w:val="20"/>
                <w:szCs w:val="20"/>
                <w:color w:val="auto"/>
              </w:rPr>
            </w:pPr>
            <w:r>
              <w:rPr>
                <w:rFonts w:ascii="Times New Roman" w:cs="Times New Roman" w:eastAsia="Times New Roman" w:hAnsi="Times New Roman"/>
                <w:sz w:val="18"/>
                <w:szCs w:val="18"/>
                <w:color w:val="auto"/>
              </w:rPr>
              <w:t>(357,980)</w:t>
            </w:r>
          </w:p>
        </w:tc>
        <w:tc>
          <w:tcPr>
            <w:tcW w:w="16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(382,785)</w:t>
            </w:r>
          </w:p>
        </w:tc>
      </w:tr>
      <w:tr>
        <w:trPr>
          <w:trHeight w:val="27"/>
        </w:trPr>
        <w:tc>
          <w:tcPr>
            <w:tcW w:w="294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37"/>
        </w:trPr>
        <w:tc>
          <w:tcPr>
            <w:tcW w:w="2940" w:type="dxa"/>
            <w:vAlign w:val="bottom"/>
          </w:tcPr>
          <w:p>
            <w:pPr>
              <w:jc w:val="right"/>
              <w:ind w:right="771"/>
              <w:spacing w:after="0"/>
              <w:rPr>
                <w:sz w:val="20"/>
                <w:szCs w:val="20"/>
                <w:color w:val="auto"/>
              </w:rPr>
            </w:pPr>
            <w:r>
              <w:rPr>
                <w:rFonts w:ascii="Times New Roman" w:cs="Times New Roman" w:eastAsia="Times New Roman" w:hAnsi="Times New Roman"/>
                <w:sz w:val="18"/>
                <w:szCs w:val="18"/>
                <w:color w:val="auto"/>
              </w:rPr>
              <w:t>(379,453)</w:t>
            </w:r>
          </w:p>
        </w:tc>
        <w:tc>
          <w:tcPr>
            <w:tcW w:w="16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(385,739)</w:t>
            </w:r>
          </w:p>
        </w:tc>
      </w:tr>
      <w:tr>
        <w:trPr>
          <w:trHeight w:val="270"/>
        </w:trPr>
        <w:tc>
          <w:tcPr>
            <w:tcW w:w="2940" w:type="dxa"/>
            <w:vAlign w:val="bottom"/>
          </w:tcPr>
          <w:p>
            <w:pPr>
              <w:jc w:val="right"/>
              <w:ind w:right="771"/>
              <w:spacing w:after="0"/>
              <w:rPr>
                <w:sz w:val="20"/>
                <w:szCs w:val="20"/>
                <w:color w:val="auto"/>
              </w:rPr>
            </w:pPr>
            <w:r>
              <w:rPr>
                <w:rFonts w:ascii="Times New Roman" w:cs="Times New Roman" w:eastAsia="Times New Roman" w:hAnsi="Times New Roman"/>
                <w:sz w:val="18"/>
                <w:szCs w:val="18"/>
                <w:color w:val="auto"/>
              </w:rPr>
              <w:t>10,634</w:t>
            </w:r>
          </w:p>
        </w:tc>
        <w:tc>
          <w:tcPr>
            <w:tcW w:w="16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10,157</w:t>
            </w:r>
          </w:p>
        </w:tc>
      </w:tr>
    </w:tbl>
    <w:p>
      <w:pPr>
        <w:spacing w:after="0" w:line="7" w:lineRule="exact"/>
        <w:rPr>
          <w:sz w:val="20"/>
          <w:szCs w:val="20"/>
          <w:color w:val="auto"/>
        </w:rPr>
      </w:pPr>
    </w:p>
    <w:p>
      <w:pPr>
        <w:sectPr>
          <w:pgSz w:w="11900" w:h="16838" w:orient="portrait"/>
          <w:cols w:equalWidth="0" w:num="2">
            <w:col w:w="6160" w:space="380"/>
            <w:col w:w="4620"/>
          </w:cols>
          <w:pgMar w:left="240" w:top="117" w:right="499" w:bottom="1440" w:gutter="0" w:footer="0" w:header="0"/>
          <w:type w:val="continuous"/>
        </w:sectPr>
      </w:pPr>
    </w:p>
    <w:tbl>
      <w:tblPr>
        <w:tblLayout w:type="fixed"/>
        <w:tblInd w:w="0" w:type="dxa"/>
        <w:tblCellMar>
          <w:top w:w="0" w:type="dxa"/>
          <w:left w:w="0" w:type="dxa"/>
          <w:bottom w:w="0" w:type="dxa"/>
          <w:right w:w="0" w:type="dxa"/>
        </w:tblCellMar>
      </w:tblPr>
      <w:tr>
        <w:trPr>
          <w:trHeight w:val="257"/>
        </w:trPr>
        <w:tc>
          <w:tcPr>
            <w:tcW w:w="65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Total members’ deficit</w:t>
            </w:r>
          </w:p>
        </w:tc>
        <w:tc>
          <w:tcPr>
            <w:tcW w:w="900" w:type="dxa"/>
            <w:vAlign w:val="bottom"/>
            <w:tcBorders>
              <w:top w:val="single" w:sz="8" w:color="auto"/>
            </w:tcBorders>
          </w:tcPr>
          <w:p>
            <w:pPr>
              <w:spacing w:after="0"/>
              <w:rPr>
                <w:sz w:val="22"/>
                <w:szCs w:val="22"/>
                <w:color w:val="auto"/>
              </w:rPr>
            </w:pPr>
          </w:p>
        </w:tc>
        <w:tc>
          <w:tcPr>
            <w:tcW w:w="1360" w:type="dxa"/>
            <w:vAlign w:val="bottom"/>
            <w:tcBorders>
              <w:top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rPr>
              <w:t>(368,819)</w:t>
            </w:r>
          </w:p>
        </w:tc>
        <w:tc>
          <w:tcPr>
            <w:tcW w:w="900" w:type="dxa"/>
            <w:vAlign w:val="bottom"/>
            <w:tcBorders>
              <w:top w:val="single" w:sz="8" w:color="auto"/>
            </w:tcBorders>
          </w:tcPr>
          <w:p>
            <w:pPr>
              <w:spacing w:after="0"/>
              <w:rPr>
                <w:sz w:val="22"/>
                <w:szCs w:val="22"/>
                <w:color w:val="auto"/>
              </w:rPr>
            </w:pPr>
          </w:p>
        </w:tc>
        <w:tc>
          <w:tcPr>
            <w:tcW w:w="146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(375,582)</w:t>
            </w:r>
          </w:p>
        </w:tc>
      </w:tr>
      <w:tr>
        <w:trPr>
          <w:trHeight w:val="27"/>
        </w:trPr>
        <w:tc>
          <w:tcPr>
            <w:tcW w:w="654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269"/>
        </w:trPr>
        <w:tc>
          <w:tcPr>
            <w:tcW w:w="65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Total liabilities and members’ deficit</w:t>
            </w:r>
          </w:p>
        </w:tc>
        <w:tc>
          <w:tcPr>
            <w:tcW w:w="900" w:type="dxa"/>
            <w:vAlign w:val="bottom"/>
            <w:tcBorders>
              <w:bottom w:val="single" w:sz="8" w:color="CCEEFF"/>
            </w:tcBorders>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1,358,788</w:t>
            </w:r>
          </w:p>
        </w:tc>
        <w:tc>
          <w:tcPr>
            <w:tcW w:w="900" w:type="dxa"/>
            <w:vAlign w:val="bottom"/>
            <w:tcBorders>
              <w:bottom w:val="single" w:sz="8" w:color="CCEEFF"/>
            </w:tcBorders>
            <w:shd w:val="clear" w:color="auto" w:fill="CCEEFF"/>
          </w:tcPr>
          <w:p>
            <w:pPr>
              <w:jc w:val="right"/>
              <w:ind w:right="53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1,341,889</w:t>
            </w:r>
          </w:p>
        </w:tc>
      </w:tr>
      <w:tr>
        <w:trPr>
          <w:trHeight w:val="20"/>
        </w:trPr>
        <w:tc>
          <w:tcPr>
            <w:tcW w:w="654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16"/>
          <w:szCs w:val="16"/>
          <w:color w:val="auto"/>
        </w:rPr>
        <w:t>T</w:t>
      </w:r>
      <w:r>
        <w:rPr>
          <w:rFonts w:ascii="Times New Roman" w:cs="Times New Roman" w:eastAsia="Times New Roman" w:hAnsi="Times New Roman"/>
          <w:sz w:val="18"/>
          <w:szCs w:val="18"/>
          <w:color w:val="auto"/>
        </w:rPr>
        <w:t>he accompanying notes are an integral part of these consolidated financial statements.</w:t>
      </w:r>
    </w:p>
    <w:p>
      <w:pPr>
        <w:sectPr>
          <w:pgSz w:w="11900" w:h="16838" w:orient="portrait"/>
          <w:cols w:equalWidth="0" w:num="1">
            <w:col w:w="11160"/>
          </w:cols>
          <w:pgMar w:left="240" w:top="117" w:right="499" w:bottom="1440" w:gutter="0" w:footer="0" w:header="0"/>
          <w:type w:val="continuous"/>
        </w:sectPr>
      </w:pPr>
    </w:p>
    <w:p>
      <w:pPr>
        <w:spacing w:after="0" w:line="200" w:lineRule="exact"/>
        <w:rPr>
          <w:sz w:val="20"/>
          <w:szCs w:val="20"/>
          <w:color w:val="auto"/>
        </w:rPr>
      </w:pPr>
    </w:p>
    <w:p>
      <w:pPr>
        <w:spacing w:after="0" w:line="201"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1160"/>
          </w:cols>
          <w:pgMar w:left="240" w:top="117" w:right="499" w:bottom="1440" w:gutter="0" w:footer="0" w:header="0"/>
          <w:type w:val="continuous"/>
        </w:sectPr>
      </w:pPr>
    </w:p>
    <w:bookmarkStart w:id="7" w:name="page8"/>
    <w:bookmarkEnd w:id="7"/>
    <w:p>
      <w:pPr>
        <w:jc w:val="center"/>
        <w:ind w:right="-319"/>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ind w:right="-319"/>
        <w:spacing w:after="0"/>
        <w:rPr>
          <w:sz w:val="20"/>
          <w:szCs w:val="20"/>
          <w:color w:val="auto"/>
        </w:rPr>
      </w:pPr>
      <w:r>
        <w:rPr>
          <w:rFonts w:ascii="Times New Roman" w:cs="Times New Roman" w:eastAsia="Times New Roman" w:hAnsi="Times New Roman"/>
          <w:sz w:val="18"/>
          <w:szCs w:val="18"/>
          <w:b w:val="1"/>
          <w:bCs w:val="1"/>
          <w:color w:val="auto"/>
        </w:rPr>
        <w:t>Consolidated Statements of Income</w:t>
      </w:r>
    </w:p>
    <w:p>
      <w:pPr>
        <w:spacing w:after="0" w:line="9" w:lineRule="exact"/>
        <w:rPr>
          <w:sz w:val="20"/>
          <w:szCs w:val="20"/>
          <w:color w:val="auto"/>
        </w:rPr>
      </w:pPr>
    </w:p>
    <w:p>
      <w:pPr>
        <w:jc w:val="center"/>
        <w:ind w:right="-319"/>
        <w:spacing w:after="0"/>
        <w:rPr>
          <w:sz w:val="20"/>
          <w:szCs w:val="20"/>
          <w:color w:val="auto"/>
        </w:rPr>
      </w:pPr>
      <w:r>
        <w:rPr>
          <w:rFonts w:ascii="Times New Roman" w:cs="Times New Roman" w:eastAsia="Times New Roman" w:hAnsi="Times New Roman"/>
          <w:sz w:val="18"/>
          <w:szCs w:val="18"/>
          <w:b w:val="1"/>
          <w:bCs w:val="1"/>
          <w:color w:val="auto"/>
        </w:rPr>
        <w:t>(Unaudited; in thousands)</w:t>
      </w: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6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3420" w:type="dxa"/>
            <w:vAlign w:val="bottom"/>
            <w:gridSpan w:val="3"/>
          </w:tcPr>
          <w:p>
            <w:pPr>
              <w:jc w:val="right"/>
              <w:ind w:right="1330"/>
              <w:spacing w:after="0"/>
              <w:rPr>
                <w:sz w:val="20"/>
                <w:szCs w:val="20"/>
                <w:color w:val="auto"/>
              </w:rPr>
            </w:pPr>
            <w:r>
              <w:rPr>
                <w:rFonts w:ascii="Times New Roman" w:cs="Times New Roman" w:eastAsia="Times New Roman" w:hAnsi="Times New Roman"/>
                <w:sz w:val="18"/>
                <w:szCs w:val="18"/>
                <w:b w:val="1"/>
                <w:bCs w:val="1"/>
                <w:color w:val="auto"/>
              </w:rPr>
              <w:t>Three months ended</w:t>
            </w:r>
          </w:p>
        </w:tc>
      </w:tr>
      <w:tr>
        <w:trPr>
          <w:trHeight w:val="27"/>
        </w:trPr>
        <w:tc>
          <w:tcPr>
            <w:tcW w:w="6680" w:type="dxa"/>
            <w:vAlign w:val="bottom"/>
          </w:tcPr>
          <w:p>
            <w:pPr>
              <w:spacing w:after="0"/>
              <w:rPr>
                <w:sz w:val="2"/>
                <w:szCs w:val="2"/>
                <w:color w:val="auto"/>
              </w:rPr>
            </w:pPr>
          </w:p>
        </w:tc>
        <w:tc>
          <w:tcPr>
            <w:tcW w:w="2220" w:type="dxa"/>
            <w:vAlign w:val="bottom"/>
            <w:tcBorders>
              <w:bottom w:val="single" w:sz="8" w:color="auto"/>
            </w:tcBorders>
            <w:gridSpan w:val="2"/>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37"/>
        </w:trPr>
        <w:tc>
          <w:tcPr>
            <w:tcW w:w="6680" w:type="dxa"/>
            <w:vAlign w:val="bottom"/>
          </w:tcPr>
          <w:p>
            <w:pPr>
              <w:spacing w:after="0"/>
              <w:rPr>
                <w:sz w:val="20"/>
                <w:szCs w:val="20"/>
                <w:color w:val="auto"/>
              </w:rPr>
            </w:pPr>
          </w:p>
        </w:tc>
        <w:tc>
          <w:tcPr>
            <w:tcW w:w="2220" w:type="dxa"/>
            <w:vAlign w:val="bottom"/>
            <w:gridSpan w:val="2"/>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March 31, 2018</w:t>
            </w:r>
          </w:p>
        </w:tc>
        <w:tc>
          <w:tcPr>
            <w:tcW w:w="520" w:type="dxa"/>
            <w:vAlign w:val="bottom"/>
          </w:tcPr>
          <w:p>
            <w:pPr>
              <w:spacing w:after="0"/>
              <w:rPr>
                <w:sz w:val="20"/>
                <w:szCs w:val="20"/>
                <w:color w:val="auto"/>
              </w:rPr>
            </w:pPr>
          </w:p>
        </w:tc>
        <w:tc>
          <w:tcPr>
            <w:tcW w:w="1680" w:type="dxa"/>
            <w:vAlign w:val="bottom"/>
          </w:tcPr>
          <w:p>
            <w:pPr>
              <w:jc w:val="right"/>
              <w:ind w:right="390"/>
              <w:spacing w:after="0"/>
              <w:rPr>
                <w:sz w:val="20"/>
                <w:szCs w:val="20"/>
                <w:color w:val="auto"/>
              </w:rPr>
            </w:pPr>
            <w:r>
              <w:rPr>
                <w:rFonts w:ascii="Times New Roman" w:cs="Times New Roman" w:eastAsia="Times New Roman" w:hAnsi="Times New Roman"/>
                <w:sz w:val="18"/>
                <w:szCs w:val="18"/>
                <w:b w:val="1"/>
                <w:bCs w:val="1"/>
                <w:color w:val="auto"/>
                <w:w w:val="98"/>
              </w:rPr>
              <w:t>March 31, 2017</w:t>
            </w:r>
          </w:p>
        </w:tc>
      </w:tr>
      <w:tr>
        <w:trPr>
          <w:trHeight w:val="27"/>
        </w:trPr>
        <w:tc>
          <w:tcPr>
            <w:tcW w:w="668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4"/>
        </w:trPr>
        <w:tc>
          <w:tcPr>
            <w:tcW w:w="66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revenue</w:t>
            </w:r>
          </w:p>
        </w:tc>
        <w:tc>
          <w:tcPr>
            <w:tcW w:w="1000" w:type="dxa"/>
            <w:vAlign w:val="bottom"/>
            <w:tcBorders>
              <w:bottom w:val="single" w:sz="8" w:color="CCEEFF"/>
            </w:tcBorders>
            <w:shd w:val="clear" w:color="auto" w:fill="CCEEFF"/>
          </w:tcPr>
          <w:p>
            <w:pPr>
              <w:jc w:val="right"/>
              <w:ind w:right="41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275,189</w:t>
            </w:r>
          </w:p>
        </w:tc>
        <w:tc>
          <w:tcPr>
            <w:tcW w:w="520" w:type="dxa"/>
            <w:vAlign w:val="bottom"/>
            <w:tcBorders>
              <w:bottom w:val="single" w:sz="8" w:color="CCEEFF"/>
            </w:tcBorders>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225,681</w:t>
            </w:r>
          </w:p>
        </w:tc>
      </w:tr>
      <w:tr>
        <w:trPr>
          <w:trHeight w:val="243"/>
        </w:trPr>
        <w:tc>
          <w:tcPr>
            <w:tcW w:w="66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Cost of goods sold</w:t>
            </w:r>
          </w:p>
        </w:tc>
        <w:tc>
          <w:tcPr>
            <w:tcW w:w="100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121,371</w:t>
            </w:r>
          </w:p>
        </w:tc>
        <w:tc>
          <w:tcPr>
            <w:tcW w:w="520" w:type="dxa"/>
            <w:vAlign w:val="bottom"/>
          </w:tcPr>
          <w:p>
            <w:pPr>
              <w:spacing w:after="0"/>
              <w:rPr>
                <w:sz w:val="21"/>
                <w:szCs w:val="21"/>
                <w:color w:val="auto"/>
              </w:rPr>
            </w:pPr>
          </w:p>
        </w:tc>
        <w:tc>
          <w:tcPr>
            <w:tcW w:w="16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104,435</w:t>
            </w:r>
          </w:p>
        </w:tc>
      </w:tr>
      <w:tr>
        <w:trPr>
          <w:trHeight w:val="27"/>
        </w:trPr>
        <w:tc>
          <w:tcPr>
            <w:tcW w:w="66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70"/>
        </w:trPr>
        <w:tc>
          <w:tcPr>
            <w:tcW w:w="66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100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9,223</w:t>
            </w:r>
          </w:p>
        </w:tc>
        <w:tc>
          <w:tcPr>
            <w:tcW w:w="520" w:type="dxa"/>
            <w:vAlign w:val="bottom"/>
            <w:tcBorders>
              <w:bottom w:val="single" w:sz="8" w:color="CCEEFF"/>
            </w:tcBorders>
            <w:shd w:val="clear" w:color="auto" w:fill="CCEEFF"/>
          </w:tcPr>
          <w:p>
            <w:pPr>
              <w:spacing w:after="0"/>
              <w:rPr>
                <w:sz w:val="23"/>
                <w:szCs w:val="23"/>
                <w:color w:val="auto"/>
              </w:rPr>
            </w:pPr>
          </w:p>
        </w:tc>
        <w:tc>
          <w:tcPr>
            <w:tcW w:w="16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5,230</w:t>
            </w:r>
          </w:p>
        </w:tc>
      </w:tr>
      <w:tr>
        <w:trPr>
          <w:trHeight w:val="237"/>
        </w:trPr>
        <w:tc>
          <w:tcPr>
            <w:tcW w:w="66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Gross profit</w:t>
            </w:r>
          </w:p>
        </w:tc>
        <w:tc>
          <w:tcPr>
            <w:tcW w:w="100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144,595</w:t>
            </w:r>
          </w:p>
        </w:tc>
        <w:tc>
          <w:tcPr>
            <w:tcW w:w="520" w:type="dxa"/>
            <w:vAlign w:val="bottom"/>
            <w:tcBorders>
              <w:top w:val="single" w:sz="8" w:color="auto"/>
            </w:tcBorders>
          </w:tcPr>
          <w:p>
            <w:pPr>
              <w:spacing w:after="0"/>
              <w:rPr>
                <w:sz w:val="20"/>
                <w:szCs w:val="20"/>
                <w:color w:val="auto"/>
              </w:rPr>
            </w:pPr>
          </w:p>
        </w:tc>
        <w:tc>
          <w:tcPr>
            <w:tcW w:w="168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116,016</w:t>
            </w:r>
          </w:p>
        </w:tc>
      </w:tr>
      <w:tr>
        <w:trPr>
          <w:trHeight w:val="27"/>
        </w:trPr>
        <w:tc>
          <w:tcPr>
            <w:tcW w:w="668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4"/>
        </w:trPr>
        <w:tc>
          <w:tcPr>
            <w:tcW w:w="66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Selling, general, and administrative</w:t>
            </w:r>
          </w:p>
        </w:tc>
        <w:tc>
          <w:tcPr>
            <w:tcW w:w="10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23,739</w:t>
            </w:r>
          </w:p>
        </w:tc>
        <w:tc>
          <w:tcPr>
            <w:tcW w:w="52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26,360</w:t>
            </w:r>
          </w:p>
        </w:tc>
      </w:tr>
      <w:tr>
        <w:trPr>
          <w:trHeight w:val="243"/>
        </w:trPr>
        <w:tc>
          <w:tcPr>
            <w:tcW w:w="66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Research and development</w:t>
            </w:r>
          </w:p>
        </w:tc>
        <w:tc>
          <w:tcPr>
            <w:tcW w:w="100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40,063</w:t>
            </w:r>
          </w:p>
        </w:tc>
        <w:tc>
          <w:tcPr>
            <w:tcW w:w="520" w:type="dxa"/>
            <w:vAlign w:val="bottom"/>
          </w:tcPr>
          <w:p>
            <w:pPr>
              <w:spacing w:after="0"/>
              <w:rPr>
                <w:sz w:val="21"/>
                <w:szCs w:val="21"/>
                <w:color w:val="auto"/>
              </w:rPr>
            </w:pPr>
          </w:p>
        </w:tc>
        <w:tc>
          <w:tcPr>
            <w:tcW w:w="16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35,391</w:t>
            </w:r>
          </w:p>
        </w:tc>
      </w:tr>
      <w:tr>
        <w:trPr>
          <w:trHeight w:val="27"/>
        </w:trPr>
        <w:tc>
          <w:tcPr>
            <w:tcW w:w="66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50"/>
        </w:trPr>
        <w:tc>
          <w:tcPr>
            <w:tcW w:w="66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Intellectual property legal development expenses</w:t>
            </w:r>
          </w:p>
        </w:tc>
        <w:tc>
          <w:tcPr>
            <w:tcW w:w="10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4,576</w:t>
            </w:r>
          </w:p>
        </w:tc>
        <w:tc>
          <w:tcPr>
            <w:tcW w:w="52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6,167</w:t>
            </w:r>
          </w:p>
        </w:tc>
      </w:tr>
      <w:tr>
        <w:trPr>
          <w:trHeight w:val="243"/>
        </w:trPr>
        <w:tc>
          <w:tcPr>
            <w:tcW w:w="66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Depreciation</w:t>
            </w:r>
          </w:p>
        </w:tc>
        <w:tc>
          <w:tcPr>
            <w:tcW w:w="100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5,528</w:t>
            </w:r>
          </w:p>
        </w:tc>
        <w:tc>
          <w:tcPr>
            <w:tcW w:w="520" w:type="dxa"/>
            <w:vAlign w:val="bottom"/>
          </w:tcPr>
          <w:p>
            <w:pPr>
              <w:spacing w:after="0"/>
              <w:rPr>
                <w:sz w:val="21"/>
                <w:szCs w:val="21"/>
                <w:color w:val="auto"/>
              </w:rPr>
            </w:pPr>
          </w:p>
        </w:tc>
        <w:tc>
          <w:tcPr>
            <w:tcW w:w="16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5,370</w:t>
            </w:r>
          </w:p>
        </w:tc>
      </w:tr>
      <w:tr>
        <w:trPr>
          <w:trHeight w:val="27"/>
        </w:trPr>
        <w:tc>
          <w:tcPr>
            <w:tcW w:w="66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70"/>
        </w:trPr>
        <w:tc>
          <w:tcPr>
            <w:tcW w:w="66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Acquisition and transaction-related expenses</w:t>
            </w:r>
          </w:p>
        </w:tc>
        <w:tc>
          <w:tcPr>
            <w:tcW w:w="100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7,135</w:t>
            </w:r>
          </w:p>
        </w:tc>
        <w:tc>
          <w:tcPr>
            <w:tcW w:w="520" w:type="dxa"/>
            <w:vAlign w:val="bottom"/>
            <w:tcBorders>
              <w:bottom w:val="single" w:sz="8" w:color="CCEEFF"/>
            </w:tcBorders>
            <w:shd w:val="clear" w:color="auto" w:fill="CCEEFF"/>
          </w:tcPr>
          <w:p>
            <w:pPr>
              <w:spacing w:after="0"/>
              <w:rPr>
                <w:sz w:val="23"/>
                <w:szCs w:val="23"/>
                <w:color w:val="auto"/>
              </w:rPr>
            </w:pPr>
          </w:p>
        </w:tc>
        <w:tc>
          <w:tcPr>
            <w:tcW w:w="16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6"/>
                <w:szCs w:val="16"/>
                <w:color w:val="auto"/>
              </w:rPr>
              <w:t>—</w:t>
            </w:r>
          </w:p>
        </w:tc>
      </w:tr>
      <w:tr>
        <w:trPr>
          <w:trHeight w:val="237"/>
        </w:trPr>
        <w:tc>
          <w:tcPr>
            <w:tcW w:w="66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Operating profit</w:t>
            </w:r>
          </w:p>
        </w:tc>
        <w:tc>
          <w:tcPr>
            <w:tcW w:w="100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63,554</w:t>
            </w:r>
          </w:p>
        </w:tc>
        <w:tc>
          <w:tcPr>
            <w:tcW w:w="520" w:type="dxa"/>
            <w:vAlign w:val="bottom"/>
            <w:tcBorders>
              <w:top w:val="single" w:sz="8" w:color="auto"/>
            </w:tcBorders>
          </w:tcPr>
          <w:p>
            <w:pPr>
              <w:spacing w:after="0"/>
              <w:rPr>
                <w:sz w:val="20"/>
                <w:szCs w:val="20"/>
                <w:color w:val="auto"/>
              </w:rPr>
            </w:pPr>
          </w:p>
        </w:tc>
        <w:tc>
          <w:tcPr>
            <w:tcW w:w="168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42,728</w:t>
            </w:r>
          </w:p>
        </w:tc>
      </w:tr>
      <w:tr>
        <w:trPr>
          <w:trHeight w:val="27"/>
        </w:trPr>
        <w:tc>
          <w:tcPr>
            <w:tcW w:w="668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4"/>
        </w:trPr>
        <w:tc>
          <w:tcPr>
            <w:tcW w:w="66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Interest expense</w:t>
            </w:r>
          </w:p>
        </w:tc>
        <w:tc>
          <w:tcPr>
            <w:tcW w:w="10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(21,051)</w:t>
            </w:r>
          </w:p>
        </w:tc>
        <w:tc>
          <w:tcPr>
            <w:tcW w:w="52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(14,161)</w:t>
            </w:r>
          </w:p>
        </w:tc>
      </w:tr>
      <w:tr>
        <w:trPr>
          <w:trHeight w:val="243"/>
        </w:trPr>
        <w:tc>
          <w:tcPr>
            <w:tcW w:w="66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Foreign exchange gain</w:t>
            </w:r>
          </w:p>
        </w:tc>
        <w:tc>
          <w:tcPr>
            <w:tcW w:w="100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8,565</w:t>
            </w:r>
          </w:p>
        </w:tc>
        <w:tc>
          <w:tcPr>
            <w:tcW w:w="520" w:type="dxa"/>
            <w:vAlign w:val="bottom"/>
          </w:tcPr>
          <w:p>
            <w:pPr>
              <w:spacing w:after="0"/>
              <w:rPr>
                <w:sz w:val="21"/>
                <w:szCs w:val="21"/>
                <w:color w:val="auto"/>
              </w:rPr>
            </w:pPr>
          </w:p>
        </w:tc>
        <w:tc>
          <w:tcPr>
            <w:tcW w:w="16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14,597</w:t>
            </w:r>
          </w:p>
        </w:tc>
      </w:tr>
      <w:tr>
        <w:trPr>
          <w:trHeight w:val="27"/>
        </w:trPr>
        <w:tc>
          <w:tcPr>
            <w:tcW w:w="66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70"/>
        </w:trPr>
        <w:tc>
          <w:tcPr>
            <w:tcW w:w="66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Other income</w:t>
            </w:r>
          </w:p>
        </w:tc>
        <w:tc>
          <w:tcPr>
            <w:tcW w:w="100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948</w:t>
            </w:r>
          </w:p>
        </w:tc>
        <w:tc>
          <w:tcPr>
            <w:tcW w:w="520" w:type="dxa"/>
            <w:vAlign w:val="bottom"/>
            <w:tcBorders>
              <w:bottom w:val="single" w:sz="8" w:color="CCEEFF"/>
            </w:tcBorders>
            <w:shd w:val="clear" w:color="auto" w:fill="CCEEFF"/>
          </w:tcPr>
          <w:p>
            <w:pPr>
              <w:spacing w:after="0"/>
              <w:rPr>
                <w:sz w:val="23"/>
                <w:szCs w:val="23"/>
                <w:color w:val="auto"/>
              </w:rPr>
            </w:pPr>
          </w:p>
        </w:tc>
        <w:tc>
          <w:tcPr>
            <w:tcW w:w="16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100</w:t>
            </w:r>
          </w:p>
        </w:tc>
      </w:tr>
      <w:tr>
        <w:trPr>
          <w:trHeight w:val="237"/>
        </w:trPr>
        <w:tc>
          <w:tcPr>
            <w:tcW w:w="66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Total other (expense) income, net</w:t>
            </w:r>
          </w:p>
        </w:tc>
        <w:tc>
          <w:tcPr>
            <w:tcW w:w="100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(11,538)</w:t>
            </w:r>
          </w:p>
        </w:tc>
        <w:tc>
          <w:tcPr>
            <w:tcW w:w="520" w:type="dxa"/>
            <w:vAlign w:val="bottom"/>
            <w:tcBorders>
              <w:top w:val="single" w:sz="8" w:color="auto"/>
            </w:tcBorders>
          </w:tcPr>
          <w:p>
            <w:pPr>
              <w:spacing w:after="0"/>
              <w:rPr>
                <w:sz w:val="20"/>
                <w:szCs w:val="20"/>
                <w:color w:val="auto"/>
              </w:rPr>
            </w:pPr>
          </w:p>
        </w:tc>
        <w:tc>
          <w:tcPr>
            <w:tcW w:w="168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536</w:t>
            </w:r>
          </w:p>
        </w:tc>
      </w:tr>
      <w:tr>
        <w:trPr>
          <w:trHeight w:val="27"/>
        </w:trPr>
        <w:tc>
          <w:tcPr>
            <w:tcW w:w="668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4"/>
        </w:trPr>
        <w:tc>
          <w:tcPr>
            <w:tcW w:w="66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Income before tax</w:t>
            </w:r>
          </w:p>
        </w:tc>
        <w:tc>
          <w:tcPr>
            <w:tcW w:w="10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52,016</w:t>
            </w:r>
          </w:p>
        </w:tc>
        <w:tc>
          <w:tcPr>
            <w:tcW w:w="52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43,264</w:t>
            </w:r>
          </w:p>
        </w:tc>
      </w:tr>
      <w:tr>
        <w:trPr>
          <w:trHeight w:val="243"/>
        </w:trPr>
        <w:tc>
          <w:tcPr>
            <w:tcW w:w="66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Income tax provision</w:t>
            </w:r>
          </w:p>
        </w:tc>
        <w:tc>
          <w:tcPr>
            <w:tcW w:w="100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364</w:t>
            </w:r>
          </w:p>
        </w:tc>
        <w:tc>
          <w:tcPr>
            <w:tcW w:w="520" w:type="dxa"/>
            <w:vAlign w:val="bottom"/>
          </w:tcPr>
          <w:p>
            <w:pPr>
              <w:spacing w:after="0"/>
              <w:rPr>
                <w:sz w:val="21"/>
                <w:szCs w:val="21"/>
                <w:color w:val="auto"/>
              </w:rPr>
            </w:pPr>
          </w:p>
        </w:tc>
        <w:tc>
          <w:tcPr>
            <w:tcW w:w="16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1,003</w:t>
            </w:r>
          </w:p>
        </w:tc>
      </w:tr>
      <w:tr>
        <w:trPr>
          <w:trHeight w:val="27"/>
        </w:trPr>
        <w:tc>
          <w:tcPr>
            <w:tcW w:w="668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4"/>
        </w:trPr>
        <w:tc>
          <w:tcPr>
            <w:tcW w:w="66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income</w:t>
            </w:r>
          </w:p>
        </w:tc>
        <w:tc>
          <w:tcPr>
            <w:tcW w:w="10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51,652</w:t>
            </w:r>
          </w:p>
        </w:tc>
        <w:tc>
          <w:tcPr>
            <w:tcW w:w="52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42,261</w:t>
            </w:r>
          </w:p>
        </w:tc>
      </w:tr>
      <w:tr>
        <w:trPr>
          <w:trHeight w:val="243"/>
        </w:trPr>
        <w:tc>
          <w:tcPr>
            <w:tcW w:w="66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Less net income attributable to non-controlling interest</w:t>
            </w:r>
          </w:p>
        </w:tc>
        <w:tc>
          <w:tcPr>
            <w:tcW w:w="100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w:t>
            </w:r>
          </w:p>
        </w:tc>
        <w:tc>
          <w:tcPr>
            <w:tcW w:w="520" w:type="dxa"/>
            <w:vAlign w:val="bottom"/>
          </w:tcPr>
          <w:p>
            <w:pPr>
              <w:spacing w:after="0"/>
              <w:rPr>
                <w:sz w:val="21"/>
                <w:szCs w:val="21"/>
                <w:color w:val="auto"/>
              </w:rPr>
            </w:pPr>
          </w:p>
        </w:tc>
        <w:tc>
          <w:tcPr>
            <w:tcW w:w="16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(408)</w:t>
            </w:r>
          </w:p>
        </w:tc>
      </w:tr>
      <w:tr>
        <w:trPr>
          <w:trHeight w:val="27"/>
        </w:trPr>
        <w:tc>
          <w:tcPr>
            <w:tcW w:w="668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69"/>
        </w:trPr>
        <w:tc>
          <w:tcPr>
            <w:tcW w:w="66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income attributable to Amneal Pharmaceuticals LLC and Subsidiaries</w:t>
            </w:r>
          </w:p>
        </w:tc>
        <w:tc>
          <w:tcPr>
            <w:tcW w:w="1000" w:type="dxa"/>
            <w:vAlign w:val="bottom"/>
            <w:tcBorders>
              <w:bottom w:val="single" w:sz="8" w:color="CCEEFF"/>
            </w:tcBorders>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51,535</w:t>
            </w:r>
          </w:p>
        </w:tc>
        <w:tc>
          <w:tcPr>
            <w:tcW w:w="5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41,853</w:t>
            </w:r>
          </w:p>
        </w:tc>
      </w:tr>
      <w:tr>
        <w:trPr>
          <w:trHeight w:val="20"/>
        </w:trPr>
        <w:tc>
          <w:tcPr>
            <w:tcW w:w="668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80" w:type="dxa"/>
            <w:vAlign w:val="bottom"/>
            <w:tcBorders>
              <w:top w:val="single" w:sz="8" w:color="auto"/>
              <w:bottom w:val="single" w:sz="8" w:color="auto"/>
            </w:tcBorders>
          </w:tcPr>
          <w:p>
            <w:pPr>
              <w:spacing w:after="0" w:line="20" w:lineRule="exact"/>
              <w:rPr>
                <w:sz w:val="1"/>
                <w:szCs w:val="1"/>
                <w:color w:val="auto"/>
              </w:rPr>
            </w:pPr>
          </w:p>
        </w:tc>
      </w:tr>
    </w:tbl>
    <w:p>
      <w:pPr>
        <w:spacing w:after="0" w:line="265" w:lineRule="exact"/>
        <w:rPr>
          <w:sz w:val="20"/>
          <w:szCs w:val="20"/>
          <w:color w:val="auto"/>
        </w:rPr>
      </w:pPr>
    </w:p>
    <w:p>
      <w:pPr>
        <w:ind w:left="2580"/>
        <w:spacing w:after="0"/>
        <w:rPr>
          <w:sz w:val="20"/>
          <w:szCs w:val="20"/>
          <w:color w:val="auto"/>
        </w:rPr>
      </w:pPr>
      <w:r>
        <w:rPr>
          <w:rFonts w:ascii="Times New Roman" w:cs="Times New Roman" w:eastAsia="Times New Roman" w:hAnsi="Times New Roman"/>
          <w:sz w:val="16"/>
          <w:szCs w:val="16"/>
          <w:color w:val="auto"/>
        </w:rPr>
        <w:t>T</w:t>
      </w:r>
      <w:r>
        <w:rPr>
          <w:rFonts w:ascii="Times New Roman" w:cs="Times New Roman" w:eastAsia="Times New Roman" w:hAnsi="Times New Roman"/>
          <w:sz w:val="18"/>
          <w:szCs w:val="18"/>
          <w:color w:val="auto"/>
        </w:rPr>
        <w: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319"/>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1100"/>
          </w:cols>
          <w:pgMar w:left="240" w:top="576" w:right="559" w:bottom="1440" w:gutter="0" w:footer="0" w:header="0"/>
        </w:sectPr>
      </w:pPr>
    </w:p>
    <w:bookmarkStart w:id="8" w:name="page9"/>
    <w:bookmarkEnd w:id="8"/>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Consolidated Statements of Comprehensive Income</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 in thousands)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77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200" w:type="dxa"/>
            <w:vAlign w:val="bottom"/>
            <w:gridSpan w:val="3"/>
          </w:tcPr>
          <w:p>
            <w:pPr>
              <w:jc w:val="right"/>
              <w:ind w:right="810"/>
              <w:spacing w:after="0"/>
              <w:rPr>
                <w:sz w:val="20"/>
                <w:szCs w:val="20"/>
                <w:color w:val="auto"/>
              </w:rPr>
            </w:pPr>
            <w:r>
              <w:rPr>
                <w:rFonts w:ascii="Times New Roman" w:cs="Times New Roman" w:eastAsia="Times New Roman" w:hAnsi="Times New Roman"/>
                <w:sz w:val="18"/>
                <w:szCs w:val="18"/>
                <w:b w:val="1"/>
                <w:bCs w:val="1"/>
                <w:color w:val="auto"/>
              </w:rPr>
              <w:t>Three months ended</w:t>
            </w:r>
          </w:p>
        </w:tc>
      </w:tr>
      <w:tr>
        <w:trPr>
          <w:trHeight w:val="27"/>
        </w:trPr>
        <w:tc>
          <w:tcPr>
            <w:tcW w:w="77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37"/>
        </w:trPr>
        <w:tc>
          <w:tcPr>
            <w:tcW w:w="77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60" w:type="dxa"/>
            <w:vAlign w:val="bottom"/>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March 31, 2018</w:t>
            </w:r>
          </w:p>
        </w:tc>
        <w:tc>
          <w:tcPr>
            <w:tcW w:w="240" w:type="dxa"/>
            <w:vAlign w:val="bottom"/>
          </w:tcPr>
          <w:p>
            <w:pPr>
              <w:spacing w:after="0"/>
              <w:rPr>
                <w:sz w:val="20"/>
                <w:szCs w:val="20"/>
                <w:color w:val="auto"/>
              </w:rPr>
            </w:pPr>
          </w:p>
        </w:tc>
        <w:tc>
          <w:tcPr>
            <w:tcW w:w="1500" w:type="dxa"/>
            <w:vAlign w:val="bottom"/>
          </w:tcPr>
          <w:p>
            <w:pPr>
              <w:jc w:val="right"/>
              <w:ind w:right="170"/>
              <w:spacing w:after="0"/>
              <w:rPr>
                <w:sz w:val="20"/>
                <w:szCs w:val="20"/>
                <w:color w:val="auto"/>
              </w:rPr>
            </w:pPr>
            <w:r>
              <w:rPr>
                <w:rFonts w:ascii="Times New Roman" w:cs="Times New Roman" w:eastAsia="Times New Roman" w:hAnsi="Times New Roman"/>
                <w:sz w:val="18"/>
                <w:szCs w:val="18"/>
                <w:b w:val="1"/>
                <w:bCs w:val="1"/>
                <w:color w:val="auto"/>
              </w:rPr>
              <w:t>March 31, 2017</w:t>
            </w:r>
          </w:p>
        </w:tc>
      </w:tr>
      <w:tr>
        <w:trPr>
          <w:trHeight w:val="270"/>
        </w:trPr>
        <w:tc>
          <w:tcPr>
            <w:tcW w:w="77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income</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51,652</w:t>
            </w:r>
          </w:p>
        </w:tc>
        <w:tc>
          <w:tcPr>
            <w:tcW w:w="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5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42,261</w:t>
            </w:r>
          </w:p>
        </w:tc>
      </w:tr>
      <w:tr>
        <w:trPr>
          <w:trHeight w:val="270"/>
        </w:trPr>
        <w:tc>
          <w:tcPr>
            <w:tcW w:w="77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comprehensive income (loss):</w:t>
            </w:r>
          </w:p>
        </w:tc>
        <w:tc>
          <w:tcPr>
            <w:tcW w:w="1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500" w:type="dxa"/>
            <w:vAlign w:val="bottom"/>
          </w:tcPr>
          <w:p>
            <w:pPr>
              <w:spacing w:after="0"/>
              <w:rPr>
                <w:sz w:val="23"/>
                <w:szCs w:val="23"/>
                <w:color w:val="auto"/>
              </w:rPr>
            </w:pPr>
          </w:p>
        </w:tc>
      </w:tr>
      <w:tr>
        <w:trPr>
          <w:trHeight w:val="27"/>
        </w:trPr>
        <w:tc>
          <w:tcPr>
            <w:tcW w:w="77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70"/>
        </w:trPr>
        <w:tc>
          <w:tcPr>
            <w:tcW w:w="772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Foreign currency translation adjustment</w:t>
            </w:r>
          </w:p>
        </w:tc>
        <w:tc>
          <w:tcPr>
            <w:tcW w:w="180" w:type="dxa"/>
            <w:vAlign w:val="bottom"/>
            <w:tcBorders>
              <w:bottom w:val="single" w:sz="8" w:color="CCEEFF"/>
            </w:tcBorders>
            <w:shd w:val="clear" w:color="auto" w:fill="CCEEFF"/>
          </w:tcPr>
          <w:p>
            <w:pPr>
              <w:spacing w:after="0"/>
              <w:rPr>
                <w:sz w:val="23"/>
                <w:szCs w:val="23"/>
                <w:color w:val="auto"/>
              </w:rPr>
            </w:pPr>
          </w:p>
        </w:tc>
        <w:tc>
          <w:tcPr>
            <w:tcW w:w="14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(9,957)</w:t>
            </w:r>
          </w:p>
        </w:tc>
        <w:tc>
          <w:tcPr>
            <w:tcW w:w="24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805</w:t>
            </w:r>
          </w:p>
        </w:tc>
      </w:tr>
      <w:tr>
        <w:trPr>
          <w:trHeight w:val="237"/>
        </w:trPr>
        <w:tc>
          <w:tcPr>
            <w:tcW w:w="77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Comprehensive income</w:t>
            </w:r>
          </w:p>
        </w:tc>
        <w:tc>
          <w:tcPr>
            <w:tcW w:w="180" w:type="dxa"/>
            <w:vAlign w:val="bottom"/>
            <w:tcBorders>
              <w:top w:val="single" w:sz="8" w:color="auto"/>
            </w:tcBorders>
          </w:tcPr>
          <w:p>
            <w:pPr>
              <w:spacing w:after="0"/>
              <w:rPr>
                <w:sz w:val="20"/>
                <w:szCs w:val="20"/>
                <w:color w:val="auto"/>
              </w:rPr>
            </w:pP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41,695</w:t>
            </w:r>
          </w:p>
        </w:tc>
        <w:tc>
          <w:tcPr>
            <w:tcW w:w="240" w:type="dxa"/>
            <w:vAlign w:val="bottom"/>
            <w:tcBorders>
              <w:top w:val="single" w:sz="8" w:color="auto"/>
            </w:tcBorders>
          </w:tcPr>
          <w:p>
            <w:pPr>
              <w:spacing w:after="0"/>
              <w:rPr>
                <w:sz w:val="20"/>
                <w:szCs w:val="20"/>
                <w:color w:val="auto"/>
              </w:rPr>
            </w:pPr>
          </w:p>
        </w:tc>
        <w:tc>
          <w:tcPr>
            <w:tcW w:w="150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43,066</w:t>
            </w:r>
          </w:p>
        </w:tc>
      </w:tr>
      <w:tr>
        <w:trPr>
          <w:trHeight w:val="27"/>
        </w:trPr>
        <w:tc>
          <w:tcPr>
            <w:tcW w:w="77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70"/>
        </w:trPr>
        <w:tc>
          <w:tcPr>
            <w:tcW w:w="772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Less comprehensive income attributable to non-controlling interest</w:t>
            </w:r>
          </w:p>
        </w:tc>
        <w:tc>
          <w:tcPr>
            <w:tcW w:w="180" w:type="dxa"/>
            <w:vAlign w:val="bottom"/>
            <w:tcBorders>
              <w:bottom w:val="single" w:sz="8" w:color="CCEEFF"/>
            </w:tcBorders>
            <w:shd w:val="clear" w:color="auto" w:fill="CCEEFF"/>
          </w:tcPr>
          <w:p>
            <w:pPr>
              <w:spacing w:after="0"/>
              <w:rPr>
                <w:sz w:val="23"/>
                <w:szCs w:val="23"/>
                <w:color w:val="auto"/>
              </w:rPr>
            </w:pPr>
          </w:p>
        </w:tc>
        <w:tc>
          <w:tcPr>
            <w:tcW w:w="14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(117)</w:t>
            </w:r>
          </w:p>
        </w:tc>
        <w:tc>
          <w:tcPr>
            <w:tcW w:w="24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(408)</w:t>
            </w:r>
          </w:p>
        </w:tc>
      </w:tr>
      <w:tr>
        <w:trPr>
          <w:trHeight w:val="237"/>
        </w:trPr>
        <w:tc>
          <w:tcPr>
            <w:tcW w:w="77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Comprehensive income attributable to Amneal Pharmaceuticals LLC and Subsidiaries</w:t>
            </w:r>
          </w:p>
        </w:tc>
        <w:tc>
          <w:tcPr>
            <w:tcW w:w="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41,578</w:t>
            </w:r>
          </w:p>
        </w:tc>
        <w:tc>
          <w:tcPr>
            <w:tcW w:w="2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50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42,658</w:t>
            </w:r>
          </w:p>
        </w:tc>
      </w:tr>
      <w:tr>
        <w:trPr>
          <w:trHeight w:val="27"/>
        </w:trPr>
        <w:tc>
          <w:tcPr>
            <w:tcW w:w="77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0"/>
        </w:trPr>
        <w:tc>
          <w:tcPr>
            <w:tcW w:w="77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r>
    </w:tbl>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6"/>
          <w:szCs w:val="16"/>
          <w:color w:val="auto"/>
        </w:rPr>
        <w:t>T</w:t>
      </w:r>
      <w:r>
        <w:rPr>
          <w:rFonts w:ascii="Times New Roman" w:cs="Times New Roman" w:eastAsia="Times New Roman" w:hAnsi="Times New Roman"/>
          <w:sz w:val="18"/>
          <w:szCs w:val="18"/>
          <w:color w:val="auto"/>
        </w:rPr>
        <w: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1100"/>
          </w:cols>
          <w:pgMar w:left="420" w:top="117" w:right="379" w:bottom="1440" w:gutter="0" w:footer="0" w:header="0"/>
        </w:sectPr>
      </w:pPr>
    </w:p>
    <w:bookmarkStart w:id="9" w:name="page10"/>
    <w:bookmarkEnd w:id="9"/>
    <w:p>
      <w:pPr>
        <w:jc w:val="center"/>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Changes in Members’ Deficit</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 in thousands)</w:t>
      </w:r>
    </w:p>
    <w:p>
      <w:pPr>
        <w:spacing w:after="0" w:line="200" w:lineRule="exact"/>
        <w:rPr>
          <w:sz w:val="20"/>
          <w:szCs w:val="20"/>
          <w:color w:val="auto"/>
        </w:rPr>
      </w:pP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32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440" w:type="dxa"/>
            <w:vAlign w:val="bottom"/>
            <w:gridSpan w:val="2"/>
          </w:tcPr>
          <w:p>
            <w:pPr>
              <w:ind w:left="40"/>
              <w:spacing w:after="0"/>
              <w:rPr>
                <w:sz w:val="20"/>
                <w:szCs w:val="20"/>
                <w:color w:val="auto"/>
              </w:rPr>
            </w:pPr>
            <w:r>
              <w:rPr>
                <w:rFonts w:ascii="Times New Roman" w:cs="Times New Roman" w:eastAsia="Times New Roman" w:hAnsi="Times New Roman"/>
                <w:sz w:val="16"/>
                <w:szCs w:val="16"/>
                <w:b w:val="1"/>
                <w:bCs w:val="1"/>
                <w:color w:val="auto"/>
              </w:rPr>
              <w:t>Accumulated Other</w:t>
            </w:r>
          </w:p>
        </w:tc>
        <w:tc>
          <w:tcPr>
            <w:tcW w:w="160" w:type="dxa"/>
            <w:vAlign w:val="bottom"/>
          </w:tcPr>
          <w:p>
            <w:pPr>
              <w:spacing w:after="0"/>
              <w:rPr>
                <w:sz w:val="17"/>
                <w:szCs w:val="17"/>
                <w:color w:val="auto"/>
              </w:rPr>
            </w:pPr>
          </w:p>
        </w:tc>
        <w:tc>
          <w:tcPr>
            <w:tcW w:w="1180" w:type="dxa"/>
            <w:vAlign w:val="bottom"/>
          </w:tcPr>
          <w:p>
            <w:pPr>
              <w:jc w:val="center"/>
              <w:ind w:right="59"/>
              <w:spacing w:after="0"/>
              <w:rPr>
                <w:sz w:val="20"/>
                <w:szCs w:val="20"/>
                <w:color w:val="auto"/>
              </w:rPr>
            </w:pPr>
            <w:r>
              <w:rPr>
                <w:rFonts w:ascii="Times New Roman" w:cs="Times New Roman" w:eastAsia="Times New Roman" w:hAnsi="Times New Roman"/>
                <w:sz w:val="16"/>
                <w:szCs w:val="16"/>
                <w:b w:val="1"/>
                <w:bCs w:val="1"/>
                <w:color w:val="auto"/>
                <w:w w:val="99"/>
              </w:rPr>
              <w:t>(Accumulated</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2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280" w:type="dxa"/>
            <w:vAlign w:val="bottom"/>
            <w:gridSpan w:val="2"/>
          </w:tcPr>
          <w:p>
            <w:pPr>
              <w:ind w:left="80"/>
              <w:spacing w:after="0"/>
              <w:rPr>
                <w:sz w:val="20"/>
                <w:szCs w:val="20"/>
                <w:color w:val="auto"/>
              </w:rPr>
            </w:pPr>
            <w:r>
              <w:rPr>
                <w:rFonts w:ascii="Times New Roman" w:cs="Times New Roman" w:eastAsia="Times New Roman" w:hAnsi="Times New Roman"/>
                <w:sz w:val="16"/>
                <w:szCs w:val="16"/>
                <w:b w:val="1"/>
                <w:bCs w:val="1"/>
                <w:color w:val="auto"/>
              </w:rPr>
              <w:t>Additional Paid-</w:t>
            </w:r>
          </w:p>
        </w:tc>
        <w:tc>
          <w:tcPr>
            <w:tcW w:w="140" w:type="dxa"/>
            <w:vAlign w:val="bottom"/>
          </w:tcPr>
          <w:p>
            <w:pPr>
              <w:spacing w:after="0"/>
              <w:rPr>
                <w:sz w:val="17"/>
                <w:szCs w:val="17"/>
                <w:color w:val="auto"/>
              </w:rPr>
            </w:pPr>
          </w:p>
        </w:tc>
        <w:tc>
          <w:tcPr>
            <w:tcW w:w="1300" w:type="dxa"/>
            <w:vAlign w:val="bottom"/>
          </w:tcPr>
          <w:p>
            <w:pPr>
              <w:jc w:val="right"/>
              <w:ind w:right="99"/>
              <w:spacing w:after="0"/>
              <w:rPr>
                <w:sz w:val="20"/>
                <w:szCs w:val="20"/>
                <w:color w:val="auto"/>
              </w:rPr>
            </w:pPr>
            <w:r>
              <w:rPr>
                <w:rFonts w:ascii="Times New Roman" w:cs="Times New Roman" w:eastAsia="Times New Roman" w:hAnsi="Times New Roman"/>
                <w:sz w:val="16"/>
                <w:szCs w:val="16"/>
                <w:b w:val="1"/>
                <w:bCs w:val="1"/>
                <w:color w:val="auto"/>
              </w:rPr>
              <w:t>Comprehensive</w:t>
            </w:r>
          </w:p>
        </w:tc>
        <w:tc>
          <w:tcPr>
            <w:tcW w:w="134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Deficit) Retained</w:t>
            </w:r>
          </w:p>
        </w:tc>
        <w:tc>
          <w:tcPr>
            <w:tcW w:w="140" w:type="dxa"/>
            <w:vAlign w:val="bottom"/>
          </w:tcPr>
          <w:p>
            <w:pPr>
              <w:spacing w:after="0"/>
              <w:rPr>
                <w:sz w:val="17"/>
                <w:szCs w:val="17"/>
                <w:color w:val="auto"/>
              </w:rPr>
            </w:pPr>
          </w:p>
        </w:tc>
        <w:tc>
          <w:tcPr>
            <w:tcW w:w="1280" w:type="dxa"/>
            <w:vAlign w:val="bottom"/>
            <w:gridSpan w:val="2"/>
          </w:tcPr>
          <w:p>
            <w:pPr>
              <w:ind w:left="20"/>
              <w:spacing w:after="0"/>
              <w:rPr>
                <w:sz w:val="20"/>
                <w:szCs w:val="20"/>
                <w:color w:val="auto"/>
              </w:rPr>
            </w:pPr>
            <w:r>
              <w:rPr>
                <w:rFonts w:ascii="Times New Roman" w:cs="Times New Roman" w:eastAsia="Times New Roman" w:hAnsi="Times New Roman"/>
                <w:sz w:val="16"/>
                <w:szCs w:val="16"/>
                <w:b w:val="1"/>
                <w:bCs w:val="1"/>
                <w:color w:val="auto"/>
              </w:rPr>
              <w:t>Non-Controlling</w:t>
            </w:r>
          </w:p>
        </w:tc>
        <w:tc>
          <w:tcPr>
            <w:tcW w:w="2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3280" w:type="dxa"/>
            <w:vAlign w:val="bottom"/>
          </w:tcPr>
          <w:p>
            <w:pPr>
              <w:spacing w:after="0"/>
              <w:rPr>
                <w:sz w:val="18"/>
                <w:szCs w:val="18"/>
                <w:color w:val="auto"/>
              </w:rPr>
            </w:pPr>
          </w:p>
        </w:tc>
        <w:tc>
          <w:tcPr>
            <w:tcW w:w="1500" w:type="dxa"/>
            <w:vAlign w:val="bottom"/>
            <w:gridSpan w:val="2"/>
          </w:tcPr>
          <w:p>
            <w:pPr>
              <w:jc w:val="right"/>
              <w:ind w:right="39"/>
              <w:spacing w:after="0"/>
              <w:rPr>
                <w:sz w:val="20"/>
                <w:szCs w:val="20"/>
                <w:color w:val="auto"/>
              </w:rPr>
            </w:pPr>
            <w:r>
              <w:rPr>
                <w:rFonts w:ascii="Times New Roman" w:cs="Times New Roman" w:eastAsia="Times New Roman" w:hAnsi="Times New Roman"/>
                <w:sz w:val="16"/>
                <w:szCs w:val="16"/>
                <w:b w:val="1"/>
                <w:bCs w:val="1"/>
                <w:color w:val="auto"/>
              </w:rPr>
              <w:t>Members' Equity</w:t>
            </w:r>
          </w:p>
        </w:tc>
        <w:tc>
          <w:tcPr>
            <w:tcW w:w="280" w:type="dxa"/>
            <w:vAlign w:val="bottom"/>
          </w:tcPr>
          <w:p>
            <w:pPr>
              <w:spacing w:after="0"/>
              <w:rPr>
                <w:sz w:val="18"/>
                <w:szCs w:val="18"/>
                <w:color w:val="auto"/>
              </w:rPr>
            </w:pPr>
          </w:p>
        </w:tc>
        <w:tc>
          <w:tcPr>
            <w:tcW w:w="1000" w:type="dxa"/>
            <w:vAlign w:val="bottom"/>
          </w:tcPr>
          <w:p>
            <w:pPr>
              <w:jc w:val="right"/>
              <w:ind w:right="179"/>
              <w:spacing w:after="0"/>
              <w:rPr>
                <w:sz w:val="20"/>
                <w:szCs w:val="20"/>
                <w:color w:val="auto"/>
              </w:rPr>
            </w:pPr>
            <w:r>
              <w:rPr>
                <w:rFonts w:ascii="Times New Roman" w:cs="Times New Roman" w:eastAsia="Times New Roman" w:hAnsi="Times New Roman"/>
                <w:sz w:val="16"/>
                <w:szCs w:val="16"/>
                <w:b w:val="1"/>
                <w:bCs w:val="1"/>
                <w:color w:val="auto"/>
              </w:rPr>
              <w:t>In Capital</w:t>
            </w:r>
          </w:p>
        </w:tc>
        <w:tc>
          <w:tcPr>
            <w:tcW w:w="140" w:type="dxa"/>
            <w:vAlign w:val="bottom"/>
          </w:tcPr>
          <w:p>
            <w:pPr>
              <w:spacing w:after="0"/>
              <w:rPr>
                <w:sz w:val="18"/>
                <w:szCs w:val="18"/>
                <w:color w:val="auto"/>
              </w:rPr>
            </w:pPr>
          </w:p>
        </w:tc>
        <w:tc>
          <w:tcPr>
            <w:tcW w:w="1300" w:type="dxa"/>
            <w:vAlign w:val="bottom"/>
          </w:tcPr>
          <w:p>
            <w:pPr>
              <w:jc w:val="right"/>
              <w:ind w:right="159"/>
              <w:spacing w:after="0"/>
              <w:rPr>
                <w:sz w:val="20"/>
                <w:szCs w:val="20"/>
                <w:color w:val="auto"/>
              </w:rPr>
            </w:pPr>
            <w:r>
              <w:rPr>
                <w:rFonts w:ascii="Times New Roman" w:cs="Times New Roman" w:eastAsia="Times New Roman" w:hAnsi="Times New Roman"/>
                <w:sz w:val="16"/>
                <w:szCs w:val="16"/>
                <w:b w:val="1"/>
                <w:bCs w:val="1"/>
                <w:color w:val="auto"/>
              </w:rPr>
              <w:t>Income (Loss)</w:t>
            </w:r>
          </w:p>
        </w:tc>
        <w:tc>
          <w:tcPr>
            <w:tcW w:w="160" w:type="dxa"/>
            <w:vAlign w:val="bottom"/>
          </w:tcPr>
          <w:p>
            <w:pPr>
              <w:spacing w:after="0"/>
              <w:rPr>
                <w:sz w:val="18"/>
                <w:szCs w:val="18"/>
                <w:color w:val="auto"/>
              </w:rPr>
            </w:pPr>
          </w:p>
        </w:tc>
        <w:tc>
          <w:tcPr>
            <w:tcW w:w="1180" w:type="dxa"/>
            <w:vAlign w:val="bottom"/>
          </w:tcPr>
          <w:p>
            <w:pPr>
              <w:jc w:val="center"/>
              <w:ind w:right="59"/>
              <w:spacing w:after="0"/>
              <w:rPr>
                <w:sz w:val="20"/>
                <w:szCs w:val="20"/>
                <w:color w:val="auto"/>
              </w:rPr>
            </w:pPr>
            <w:r>
              <w:rPr>
                <w:rFonts w:ascii="Times New Roman" w:cs="Times New Roman" w:eastAsia="Times New Roman" w:hAnsi="Times New Roman"/>
                <w:sz w:val="16"/>
                <w:szCs w:val="16"/>
                <w:b w:val="1"/>
                <w:bCs w:val="1"/>
                <w:color w:val="auto"/>
              </w:rPr>
              <w:t>Earnings</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80" w:type="dxa"/>
            <w:vAlign w:val="bottom"/>
          </w:tcPr>
          <w:p>
            <w:pPr>
              <w:jc w:val="right"/>
              <w:ind w:right="339"/>
              <w:spacing w:after="0"/>
              <w:rPr>
                <w:sz w:val="20"/>
                <w:szCs w:val="20"/>
                <w:color w:val="auto"/>
              </w:rPr>
            </w:pPr>
            <w:r>
              <w:rPr>
                <w:rFonts w:ascii="Times New Roman" w:cs="Times New Roman" w:eastAsia="Times New Roman" w:hAnsi="Times New Roman"/>
                <w:sz w:val="16"/>
                <w:szCs w:val="16"/>
                <w:b w:val="1"/>
                <w:bCs w:val="1"/>
                <w:color w:val="auto"/>
              </w:rPr>
              <w:t>Interest</w:t>
            </w:r>
          </w:p>
        </w:tc>
        <w:tc>
          <w:tcPr>
            <w:tcW w:w="280" w:type="dxa"/>
            <w:vAlign w:val="bottom"/>
          </w:tcPr>
          <w:p>
            <w:pPr>
              <w:spacing w:after="0"/>
              <w:rPr>
                <w:sz w:val="18"/>
                <w:szCs w:val="18"/>
                <w:color w:val="auto"/>
              </w:rPr>
            </w:pPr>
          </w:p>
        </w:tc>
        <w:tc>
          <w:tcPr>
            <w:tcW w:w="880" w:type="dxa"/>
            <w:vAlign w:val="bottom"/>
          </w:tcPr>
          <w:p>
            <w:pPr>
              <w:jc w:val="right"/>
              <w:ind w:right="299"/>
              <w:spacing w:after="0"/>
              <w:rPr>
                <w:sz w:val="20"/>
                <w:szCs w:val="20"/>
                <w:color w:val="auto"/>
              </w:rPr>
            </w:pPr>
            <w:r>
              <w:rPr>
                <w:rFonts w:ascii="Times New Roman" w:cs="Times New Roman" w:eastAsia="Times New Roman" w:hAnsi="Times New Roman"/>
                <w:sz w:val="16"/>
                <w:szCs w:val="16"/>
                <w:b w:val="1"/>
                <w:bCs w:val="1"/>
                <w:color w:val="auto"/>
              </w:rPr>
              <w:t>Total</w:t>
            </w:r>
          </w:p>
        </w:tc>
        <w:tc>
          <w:tcPr>
            <w:tcW w:w="0" w:type="dxa"/>
            <w:vAlign w:val="bottom"/>
          </w:tcPr>
          <w:p>
            <w:pPr>
              <w:spacing w:after="0"/>
              <w:rPr>
                <w:sz w:val="1"/>
                <w:szCs w:val="1"/>
                <w:color w:val="auto"/>
              </w:rPr>
            </w:pPr>
          </w:p>
        </w:tc>
      </w:tr>
      <w:tr>
        <w:trPr>
          <w:trHeight w:val="33"/>
        </w:trPr>
        <w:tc>
          <w:tcPr>
            <w:tcW w:w="328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Balance – January 1, 2017</w:t>
            </w:r>
          </w:p>
        </w:tc>
        <w:tc>
          <w:tcPr>
            <w:tcW w:w="6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280" w:type="dxa"/>
            <w:vAlign w:val="bottom"/>
            <w:vMerge w:val="continue"/>
          </w:tcPr>
          <w:p>
            <w:pPr>
              <w:spacing w:after="0"/>
              <w:rPr>
                <w:sz w:val="18"/>
                <w:szCs w:val="18"/>
                <w:color w:val="auto"/>
              </w:rPr>
            </w:pPr>
          </w:p>
        </w:tc>
        <w:tc>
          <w:tcPr>
            <w:tcW w:w="660" w:type="dxa"/>
            <w:vAlign w:val="bottom"/>
          </w:tcPr>
          <w:p>
            <w:pPr>
              <w:jc w:val="right"/>
              <w:ind w:right="359"/>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2,675</w:t>
            </w:r>
          </w:p>
        </w:tc>
        <w:tc>
          <w:tcPr>
            <w:tcW w:w="2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w:t>
            </w:r>
          </w:p>
        </w:tc>
        <w:tc>
          <w:tcPr>
            <w:tcW w:w="13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(12,797)</w:t>
            </w:r>
          </w:p>
        </w:tc>
        <w:tc>
          <w:tcPr>
            <w:tcW w:w="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(175,168)</w:t>
            </w:r>
          </w:p>
        </w:tc>
        <w:tc>
          <w:tcPr>
            <w:tcW w:w="140" w:type="dxa"/>
            <w:vAlign w:val="bottom"/>
          </w:tcPr>
          <w:p>
            <w:pPr>
              <w:spacing w:after="0"/>
              <w:rPr>
                <w:sz w:val="18"/>
                <w:szCs w:val="18"/>
                <w:color w:val="auto"/>
              </w:rPr>
            </w:pPr>
          </w:p>
        </w:tc>
        <w:tc>
          <w:tcPr>
            <w:tcW w:w="200" w:type="dxa"/>
            <w:vAlign w:val="bottom"/>
          </w:tcPr>
          <w:p>
            <w:pPr>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9,345</w:t>
            </w:r>
          </w:p>
        </w:tc>
        <w:tc>
          <w:tcPr>
            <w:tcW w:w="280" w:type="dxa"/>
            <w:vAlign w:val="bottom"/>
          </w:tcPr>
          <w:p>
            <w:pPr>
              <w:jc w:val="right"/>
              <w:ind w:right="59"/>
              <w:spacing w:after="0"/>
              <w:rPr>
                <w:sz w:val="20"/>
                <w:szCs w:val="20"/>
                <w:color w:val="auto"/>
              </w:rPr>
            </w:pPr>
            <w:r>
              <w:rPr>
                <w:rFonts w:ascii="Times New Roman" w:cs="Times New Roman" w:eastAsia="Times New Roman" w:hAnsi="Times New Roman"/>
                <w:sz w:val="16"/>
                <w:szCs w:val="16"/>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(175,945)</w:t>
            </w:r>
          </w:p>
        </w:tc>
        <w:tc>
          <w:tcPr>
            <w:tcW w:w="0" w:type="dxa"/>
            <w:vAlign w:val="bottom"/>
          </w:tcPr>
          <w:p>
            <w:pPr>
              <w:spacing w:after="0"/>
              <w:rPr>
                <w:sz w:val="1"/>
                <w:szCs w:val="1"/>
                <w:color w:val="auto"/>
              </w:rPr>
            </w:pPr>
          </w:p>
        </w:tc>
      </w:tr>
      <w:tr>
        <w:trPr>
          <w:trHeight w:val="33"/>
        </w:trPr>
        <w:tc>
          <w:tcPr>
            <w:tcW w:w="3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8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328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Net income</w:t>
            </w:r>
          </w:p>
        </w:tc>
        <w:tc>
          <w:tcPr>
            <w:tcW w:w="66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41,853</w:t>
            </w:r>
          </w:p>
        </w:tc>
        <w:tc>
          <w:tcPr>
            <w:tcW w:w="14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408</w:t>
            </w:r>
          </w:p>
        </w:tc>
        <w:tc>
          <w:tcPr>
            <w:tcW w:w="28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42,261</w:t>
            </w:r>
          </w:p>
        </w:tc>
        <w:tc>
          <w:tcPr>
            <w:tcW w:w="0" w:type="dxa"/>
            <w:vAlign w:val="bottom"/>
          </w:tcPr>
          <w:p>
            <w:pPr>
              <w:spacing w:after="0"/>
              <w:rPr>
                <w:sz w:val="1"/>
                <w:szCs w:val="1"/>
                <w:color w:val="auto"/>
              </w:rPr>
            </w:pPr>
          </w:p>
        </w:tc>
      </w:tr>
      <w:tr>
        <w:trPr>
          <w:trHeight w:val="224"/>
        </w:trPr>
        <w:tc>
          <w:tcPr>
            <w:tcW w:w="32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Dividend to non-controlling interest</w:t>
            </w:r>
          </w:p>
        </w:tc>
        <w:tc>
          <w:tcPr>
            <w:tcW w:w="66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Pr>
          <w:p>
            <w:pPr>
              <w:spacing w:after="0"/>
              <w:rPr>
                <w:sz w:val="19"/>
                <w:szCs w:val="19"/>
                <w:color w:val="auto"/>
              </w:rPr>
            </w:pPr>
          </w:p>
        </w:tc>
        <w:tc>
          <w:tcPr>
            <w:tcW w:w="10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9"/>
                <w:szCs w:val="19"/>
                <w:color w:val="auto"/>
              </w:rPr>
            </w:pPr>
          </w:p>
        </w:tc>
        <w:tc>
          <w:tcPr>
            <w:tcW w:w="13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60" w:type="dxa"/>
            <w:vAlign w:val="bottom"/>
          </w:tcPr>
          <w:p>
            <w:pPr>
              <w:spacing w:after="0"/>
              <w:rPr>
                <w:sz w:val="19"/>
                <w:szCs w:val="19"/>
                <w:color w:val="auto"/>
              </w:rPr>
            </w:pPr>
          </w:p>
        </w:tc>
        <w:tc>
          <w:tcPr>
            <w:tcW w:w="11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Pr>
          <w:p>
            <w:pPr>
              <w:spacing w:after="0"/>
              <w:rPr>
                <w:sz w:val="19"/>
                <w:szCs w:val="19"/>
                <w:color w:val="auto"/>
              </w:rPr>
            </w:pPr>
          </w:p>
        </w:tc>
        <w:tc>
          <w:tcPr>
            <w:tcW w:w="8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33"/>
        </w:trPr>
        <w:tc>
          <w:tcPr>
            <w:tcW w:w="3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8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328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Capital Contribution</w:t>
            </w:r>
          </w:p>
        </w:tc>
        <w:tc>
          <w:tcPr>
            <w:tcW w:w="66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40</w:t>
            </w:r>
          </w:p>
        </w:tc>
        <w:tc>
          <w:tcPr>
            <w:tcW w:w="28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40</w:t>
            </w:r>
          </w:p>
        </w:tc>
        <w:tc>
          <w:tcPr>
            <w:tcW w:w="0" w:type="dxa"/>
            <w:vAlign w:val="bottom"/>
          </w:tcPr>
          <w:p>
            <w:pPr>
              <w:spacing w:after="0"/>
              <w:rPr>
                <w:sz w:val="1"/>
                <w:szCs w:val="1"/>
                <w:color w:val="auto"/>
              </w:rPr>
            </w:pPr>
          </w:p>
        </w:tc>
      </w:tr>
      <w:tr>
        <w:trPr>
          <w:trHeight w:val="224"/>
        </w:trPr>
        <w:tc>
          <w:tcPr>
            <w:tcW w:w="32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Distributions to members</w:t>
            </w:r>
          </w:p>
        </w:tc>
        <w:tc>
          <w:tcPr>
            <w:tcW w:w="66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Pr>
          <w:p>
            <w:pPr>
              <w:spacing w:after="0"/>
              <w:rPr>
                <w:sz w:val="19"/>
                <w:szCs w:val="19"/>
                <w:color w:val="auto"/>
              </w:rPr>
            </w:pPr>
          </w:p>
        </w:tc>
        <w:tc>
          <w:tcPr>
            <w:tcW w:w="10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9"/>
                <w:szCs w:val="19"/>
                <w:color w:val="auto"/>
              </w:rPr>
            </w:pPr>
          </w:p>
        </w:tc>
        <w:tc>
          <w:tcPr>
            <w:tcW w:w="13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60" w:type="dxa"/>
            <w:vAlign w:val="bottom"/>
          </w:tcPr>
          <w:p>
            <w:pPr>
              <w:spacing w:after="0"/>
              <w:rPr>
                <w:sz w:val="19"/>
                <w:szCs w:val="19"/>
                <w:color w:val="auto"/>
              </w:rPr>
            </w:pPr>
          </w:p>
        </w:tc>
        <w:tc>
          <w:tcPr>
            <w:tcW w:w="11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Pr>
          <w:p>
            <w:pPr>
              <w:spacing w:after="0"/>
              <w:rPr>
                <w:sz w:val="19"/>
                <w:szCs w:val="19"/>
                <w:color w:val="auto"/>
              </w:rPr>
            </w:pPr>
          </w:p>
        </w:tc>
        <w:tc>
          <w:tcPr>
            <w:tcW w:w="8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33"/>
        </w:trPr>
        <w:tc>
          <w:tcPr>
            <w:tcW w:w="3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8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328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Foreign currency translation</w:t>
            </w:r>
          </w:p>
        </w:tc>
        <w:tc>
          <w:tcPr>
            <w:tcW w:w="660" w:type="dxa"/>
            <w:vAlign w:val="bottom"/>
            <w:tcBorders>
              <w:bottom w:val="single" w:sz="8" w:color="CCEEFF"/>
            </w:tcBorders>
            <w:shd w:val="clear" w:color="auto" w:fill="CCEEFF"/>
          </w:tcPr>
          <w:p>
            <w:pPr>
              <w:spacing w:after="0"/>
              <w:rPr>
                <w:sz w:val="22"/>
                <w:szCs w:val="22"/>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805</w:t>
            </w:r>
          </w:p>
        </w:tc>
        <w:tc>
          <w:tcPr>
            <w:tcW w:w="16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805</w:t>
            </w:r>
          </w:p>
        </w:tc>
        <w:tc>
          <w:tcPr>
            <w:tcW w:w="0" w:type="dxa"/>
            <w:vAlign w:val="bottom"/>
          </w:tcPr>
          <w:p>
            <w:pPr>
              <w:spacing w:after="0"/>
              <w:rPr>
                <w:sz w:val="1"/>
                <w:szCs w:val="1"/>
                <w:color w:val="auto"/>
              </w:rPr>
            </w:pPr>
          </w:p>
        </w:tc>
      </w:tr>
      <w:tr>
        <w:trPr>
          <w:trHeight w:val="217"/>
        </w:trPr>
        <w:tc>
          <w:tcPr>
            <w:tcW w:w="32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Balance – March 31, 2017</w:t>
            </w:r>
          </w:p>
        </w:tc>
        <w:tc>
          <w:tcPr>
            <w:tcW w:w="660" w:type="dxa"/>
            <w:vAlign w:val="bottom"/>
            <w:tcBorders>
              <w:top w:val="single" w:sz="8" w:color="auto"/>
            </w:tcBorders>
          </w:tcPr>
          <w:p>
            <w:pPr>
              <w:jc w:val="right"/>
              <w:ind w:right="439"/>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2,715</w:t>
            </w:r>
          </w:p>
        </w:tc>
        <w:tc>
          <w:tcPr>
            <w:tcW w:w="280" w:type="dxa"/>
            <w:vAlign w:val="bottom"/>
            <w:tcBorders>
              <w:top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w:t>
            </w:r>
          </w:p>
        </w:tc>
        <w:tc>
          <w:tcPr>
            <w:tcW w:w="100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w:t>
            </w:r>
          </w:p>
        </w:tc>
        <w:tc>
          <w:tcPr>
            <w:tcW w:w="13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(11,992)</w:t>
            </w:r>
          </w:p>
        </w:tc>
        <w:tc>
          <w:tcPr>
            <w:tcW w:w="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(133,315)</w:t>
            </w:r>
          </w:p>
        </w:tc>
        <w:tc>
          <w:tcPr>
            <w:tcW w:w="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9,753</w:t>
            </w:r>
          </w:p>
        </w:tc>
        <w:tc>
          <w:tcPr>
            <w:tcW w:w="280" w:type="dxa"/>
            <w:vAlign w:val="bottom"/>
            <w:tcBorders>
              <w:top w:val="single" w:sz="8" w:color="auto"/>
            </w:tcBorders>
          </w:tcPr>
          <w:p>
            <w:pPr>
              <w:jc w:val="right"/>
              <w:ind w:right="59"/>
              <w:spacing w:after="0"/>
              <w:rPr>
                <w:sz w:val="20"/>
                <w:szCs w:val="20"/>
                <w:color w:val="auto"/>
              </w:rPr>
            </w:pPr>
            <w:r>
              <w:rPr>
                <w:rFonts w:ascii="Times New Roman" w:cs="Times New Roman" w:eastAsia="Times New Roman" w:hAnsi="Times New Roman"/>
                <w:sz w:val="16"/>
                <w:szCs w:val="16"/>
                <w:color w:val="auto"/>
              </w:rPr>
              <w:t>$</w:t>
            </w:r>
          </w:p>
        </w:tc>
        <w:tc>
          <w:tcPr>
            <w:tcW w:w="8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(132,839)</w:t>
            </w:r>
          </w:p>
        </w:tc>
        <w:tc>
          <w:tcPr>
            <w:tcW w:w="0" w:type="dxa"/>
            <w:vAlign w:val="bottom"/>
          </w:tcPr>
          <w:p>
            <w:pPr>
              <w:spacing w:after="0"/>
              <w:rPr>
                <w:sz w:val="1"/>
                <w:szCs w:val="1"/>
                <w:color w:val="auto"/>
              </w:rPr>
            </w:pPr>
          </w:p>
        </w:tc>
      </w:tr>
      <w:tr>
        <w:trPr>
          <w:trHeight w:val="73"/>
        </w:trPr>
        <w:tc>
          <w:tcPr>
            <w:tcW w:w="3280" w:type="dxa"/>
            <w:vAlign w:val="bottom"/>
            <w:tcBorders>
              <w:bottom w:val="single" w:sz="8" w:color="CCEEFF"/>
            </w:tcBorders>
          </w:tcPr>
          <w:p>
            <w:pPr>
              <w:spacing w:after="0"/>
              <w:rPr>
                <w:sz w:val="6"/>
                <w:szCs w:val="6"/>
                <w:color w:val="auto"/>
              </w:rPr>
            </w:pPr>
          </w:p>
        </w:tc>
        <w:tc>
          <w:tcPr>
            <w:tcW w:w="660" w:type="dxa"/>
            <w:vAlign w:val="bottom"/>
            <w:tcBorders>
              <w:bottom w:val="single" w:sz="8" w:color="auto"/>
            </w:tcBorders>
          </w:tcPr>
          <w:p>
            <w:pPr>
              <w:spacing w:after="0"/>
              <w:rPr>
                <w:sz w:val="6"/>
                <w:szCs w:val="6"/>
                <w:color w:val="auto"/>
              </w:rPr>
            </w:pPr>
          </w:p>
        </w:tc>
        <w:tc>
          <w:tcPr>
            <w:tcW w:w="84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30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18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108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88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8"/>
        </w:trPr>
        <w:tc>
          <w:tcPr>
            <w:tcW w:w="328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32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Balance – January 1, 2018</w:t>
            </w:r>
          </w:p>
        </w:tc>
        <w:tc>
          <w:tcPr>
            <w:tcW w:w="660" w:type="dxa"/>
            <w:vAlign w:val="bottom"/>
          </w:tcPr>
          <w:p>
            <w:pPr>
              <w:jc w:val="right"/>
              <w:ind w:right="359"/>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2,716</w:t>
            </w:r>
          </w:p>
        </w:tc>
        <w:tc>
          <w:tcPr>
            <w:tcW w:w="2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8,562</w:t>
            </w:r>
          </w:p>
        </w:tc>
        <w:tc>
          <w:tcPr>
            <w:tcW w:w="14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w:t>
            </w:r>
          </w:p>
        </w:tc>
        <w:tc>
          <w:tcPr>
            <w:tcW w:w="13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(14,232)</w:t>
            </w:r>
          </w:p>
        </w:tc>
        <w:tc>
          <w:tcPr>
            <w:tcW w:w="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(382,785)</w:t>
            </w:r>
          </w:p>
        </w:tc>
        <w:tc>
          <w:tcPr>
            <w:tcW w:w="140" w:type="dxa"/>
            <w:vAlign w:val="bottom"/>
          </w:tcPr>
          <w:p>
            <w:pPr>
              <w:spacing w:after="0"/>
              <w:rPr>
                <w:sz w:val="19"/>
                <w:szCs w:val="19"/>
                <w:color w:val="auto"/>
              </w:rPr>
            </w:pPr>
          </w:p>
        </w:tc>
        <w:tc>
          <w:tcPr>
            <w:tcW w:w="200" w:type="dxa"/>
            <w:vAlign w:val="bottom"/>
          </w:tcPr>
          <w:p>
            <w:pPr>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10,157</w:t>
            </w:r>
          </w:p>
        </w:tc>
        <w:tc>
          <w:tcPr>
            <w:tcW w:w="280" w:type="dxa"/>
            <w:vAlign w:val="bottom"/>
          </w:tcPr>
          <w:p>
            <w:pPr>
              <w:jc w:val="right"/>
              <w:ind w:right="59"/>
              <w:spacing w:after="0"/>
              <w:rPr>
                <w:sz w:val="20"/>
                <w:szCs w:val="20"/>
                <w:color w:val="auto"/>
              </w:rPr>
            </w:pPr>
            <w:r>
              <w:rPr>
                <w:rFonts w:ascii="Times New Roman" w:cs="Times New Roman" w:eastAsia="Times New Roman" w:hAnsi="Times New Roman"/>
                <w:sz w:val="16"/>
                <w:szCs w:val="16"/>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(375,582)</w:t>
            </w:r>
          </w:p>
        </w:tc>
        <w:tc>
          <w:tcPr>
            <w:tcW w:w="0" w:type="dxa"/>
            <w:vAlign w:val="bottom"/>
          </w:tcPr>
          <w:p>
            <w:pPr>
              <w:spacing w:after="0"/>
              <w:rPr>
                <w:sz w:val="1"/>
                <w:szCs w:val="1"/>
                <w:color w:val="auto"/>
              </w:rPr>
            </w:pPr>
          </w:p>
        </w:tc>
      </w:tr>
      <w:tr>
        <w:trPr>
          <w:trHeight w:val="33"/>
        </w:trPr>
        <w:tc>
          <w:tcPr>
            <w:tcW w:w="3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8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328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Net income</w:t>
            </w:r>
          </w:p>
        </w:tc>
        <w:tc>
          <w:tcPr>
            <w:tcW w:w="66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51,535</w:t>
            </w:r>
          </w:p>
        </w:tc>
        <w:tc>
          <w:tcPr>
            <w:tcW w:w="14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117</w:t>
            </w:r>
          </w:p>
        </w:tc>
        <w:tc>
          <w:tcPr>
            <w:tcW w:w="28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51,652</w:t>
            </w:r>
          </w:p>
        </w:tc>
        <w:tc>
          <w:tcPr>
            <w:tcW w:w="0" w:type="dxa"/>
            <w:vAlign w:val="bottom"/>
          </w:tcPr>
          <w:p>
            <w:pPr>
              <w:spacing w:after="0"/>
              <w:rPr>
                <w:sz w:val="1"/>
                <w:szCs w:val="1"/>
                <w:color w:val="auto"/>
              </w:rPr>
            </w:pPr>
          </w:p>
        </w:tc>
      </w:tr>
      <w:tr>
        <w:trPr>
          <w:trHeight w:val="216"/>
        </w:trPr>
        <w:tc>
          <w:tcPr>
            <w:tcW w:w="32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Cumulative-effect adjustment from adoption</w:t>
            </w:r>
          </w:p>
        </w:tc>
        <w:tc>
          <w:tcPr>
            <w:tcW w:w="6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2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of ASU 2014-09 (Topic 606)</w:t>
            </w:r>
          </w:p>
        </w:tc>
        <w:tc>
          <w:tcPr>
            <w:tcW w:w="6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Pr>
          <w:p>
            <w:pPr>
              <w:spacing w:after="0"/>
              <w:rPr>
                <w:sz w:val="18"/>
                <w:szCs w:val="18"/>
                <w:color w:val="auto"/>
              </w:rPr>
            </w:pPr>
          </w:p>
        </w:tc>
        <w:tc>
          <w:tcPr>
            <w:tcW w:w="10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18"/>
                <w:szCs w:val="18"/>
                <w:color w:val="auto"/>
              </w:rPr>
            </w:pPr>
          </w:p>
        </w:tc>
        <w:tc>
          <w:tcPr>
            <w:tcW w:w="13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60" w:type="dxa"/>
            <w:vAlign w:val="bottom"/>
          </w:tcPr>
          <w:p>
            <w:pPr>
              <w:spacing w:after="0"/>
              <w:rPr>
                <w:sz w:val="18"/>
                <w:szCs w:val="18"/>
                <w:color w:val="auto"/>
              </w:rPr>
            </w:pPr>
          </w:p>
        </w:tc>
        <w:tc>
          <w:tcPr>
            <w:tcW w:w="11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3,270</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Pr>
          <w:p>
            <w:pPr>
              <w:spacing w:after="0"/>
              <w:rPr>
                <w:sz w:val="18"/>
                <w:szCs w:val="18"/>
                <w:color w:val="auto"/>
              </w:rPr>
            </w:pPr>
          </w:p>
        </w:tc>
        <w:tc>
          <w:tcPr>
            <w:tcW w:w="8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3,270</w:t>
            </w:r>
          </w:p>
        </w:tc>
        <w:tc>
          <w:tcPr>
            <w:tcW w:w="0" w:type="dxa"/>
            <w:vAlign w:val="bottom"/>
          </w:tcPr>
          <w:p>
            <w:pPr>
              <w:spacing w:after="0"/>
              <w:rPr>
                <w:sz w:val="1"/>
                <w:szCs w:val="1"/>
                <w:color w:val="auto"/>
              </w:rPr>
            </w:pPr>
          </w:p>
        </w:tc>
      </w:tr>
      <w:tr>
        <w:trPr>
          <w:trHeight w:val="33"/>
        </w:trPr>
        <w:tc>
          <w:tcPr>
            <w:tcW w:w="3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8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328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Dividend to non-controlling interest</w:t>
            </w:r>
          </w:p>
        </w:tc>
        <w:tc>
          <w:tcPr>
            <w:tcW w:w="66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360</w:t>
            </w:r>
          </w:p>
        </w:tc>
        <w:tc>
          <w:tcPr>
            <w:tcW w:w="28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360</w:t>
            </w:r>
          </w:p>
        </w:tc>
        <w:tc>
          <w:tcPr>
            <w:tcW w:w="0" w:type="dxa"/>
            <w:vAlign w:val="bottom"/>
          </w:tcPr>
          <w:p>
            <w:pPr>
              <w:spacing w:after="0"/>
              <w:rPr>
                <w:sz w:val="1"/>
                <w:szCs w:val="1"/>
                <w:color w:val="auto"/>
              </w:rPr>
            </w:pPr>
          </w:p>
        </w:tc>
      </w:tr>
      <w:tr>
        <w:trPr>
          <w:trHeight w:val="224"/>
        </w:trPr>
        <w:tc>
          <w:tcPr>
            <w:tcW w:w="32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Distributions to members</w:t>
            </w:r>
          </w:p>
        </w:tc>
        <w:tc>
          <w:tcPr>
            <w:tcW w:w="66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(8,562)</w:t>
            </w:r>
          </w:p>
        </w:tc>
        <w:tc>
          <w:tcPr>
            <w:tcW w:w="140" w:type="dxa"/>
            <w:vAlign w:val="bottom"/>
          </w:tcPr>
          <w:p>
            <w:pPr>
              <w:spacing w:after="0"/>
              <w:rPr>
                <w:sz w:val="19"/>
                <w:szCs w:val="19"/>
                <w:color w:val="auto"/>
              </w:rPr>
            </w:pPr>
          </w:p>
        </w:tc>
        <w:tc>
          <w:tcPr>
            <w:tcW w:w="13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(30,000)</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(38,562)</w:t>
            </w:r>
          </w:p>
        </w:tc>
        <w:tc>
          <w:tcPr>
            <w:tcW w:w="0" w:type="dxa"/>
            <w:vAlign w:val="bottom"/>
          </w:tcPr>
          <w:p>
            <w:pPr>
              <w:spacing w:after="0"/>
              <w:rPr>
                <w:sz w:val="1"/>
                <w:szCs w:val="1"/>
                <w:color w:val="auto"/>
              </w:rPr>
            </w:pPr>
          </w:p>
        </w:tc>
      </w:tr>
      <w:tr>
        <w:trPr>
          <w:trHeight w:val="33"/>
        </w:trPr>
        <w:tc>
          <w:tcPr>
            <w:tcW w:w="3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8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328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Foreign currency translation</w:t>
            </w:r>
          </w:p>
        </w:tc>
        <w:tc>
          <w:tcPr>
            <w:tcW w:w="660" w:type="dxa"/>
            <w:vAlign w:val="bottom"/>
            <w:tcBorders>
              <w:bottom w:val="single" w:sz="8" w:color="CCEEFF"/>
            </w:tcBorders>
            <w:shd w:val="clear" w:color="auto" w:fill="CCEEFF"/>
          </w:tcPr>
          <w:p>
            <w:pPr>
              <w:spacing w:after="0"/>
              <w:rPr>
                <w:sz w:val="22"/>
                <w:szCs w:val="22"/>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(9,957)</w:t>
            </w:r>
          </w:p>
        </w:tc>
        <w:tc>
          <w:tcPr>
            <w:tcW w:w="16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(9,957)</w:t>
            </w:r>
          </w:p>
        </w:tc>
        <w:tc>
          <w:tcPr>
            <w:tcW w:w="0" w:type="dxa"/>
            <w:vAlign w:val="bottom"/>
          </w:tcPr>
          <w:p>
            <w:pPr>
              <w:spacing w:after="0"/>
              <w:rPr>
                <w:sz w:val="1"/>
                <w:szCs w:val="1"/>
                <w:color w:val="auto"/>
              </w:rPr>
            </w:pPr>
          </w:p>
        </w:tc>
      </w:tr>
      <w:tr>
        <w:trPr>
          <w:trHeight w:val="217"/>
        </w:trPr>
        <w:tc>
          <w:tcPr>
            <w:tcW w:w="32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Balance – March 31, 2018</w:t>
            </w:r>
          </w:p>
        </w:tc>
        <w:tc>
          <w:tcPr>
            <w:tcW w:w="660" w:type="dxa"/>
            <w:vAlign w:val="bottom"/>
            <w:tcBorders>
              <w:top w:val="single" w:sz="8" w:color="auto"/>
            </w:tcBorders>
          </w:tcPr>
          <w:p>
            <w:pPr>
              <w:jc w:val="right"/>
              <w:ind w:right="439"/>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2,716</w:t>
            </w:r>
          </w:p>
        </w:tc>
        <w:tc>
          <w:tcPr>
            <w:tcW w:w="280" w:type="dxa"/>
            <w:vAlign w:val="bottom"/>
            <w:tcBorders>
              <w:top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w:t>
            </w:r>
          </w:p>
        </w:tc>
        <w:tc>
          <w:tcPr>
            <w:tcW w:w="100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w:t>
            </w:r>
          </w:p>
        </w:tc>
        <w:tc>
          <w:tcPr>
            <w:tcW w:w="13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(24,189)</w:t>
            </w:r>
          </w:p>
        </w:tc>
        <w:tc>
          <w:tcPr>
            <w:tcW w:w="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(357,980)</w:t>
            </w:r>
          </w:p>
        </w:tc>
        <w:tc>
          <w:tcPr>
            <w:tcW w:w="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10,634</w:t>
            </w:r>
          </w:p>
        </w:tc>
        <w:tc>
          <w:tcPr>
            <w:tcW w:w="280" w:type="dxa"/>
            <w:vAlign w:val="bottom"/>
            <w:tcBorders>
              <w:top w:val="single" w:sz="8" w:color="auto"/>
            </w:tcBorders>
          </w:tcPr>
          <w:p>
            <w:pPr>
              <w:jc w:val="right"/>
              <w:ind w:right="59"/>
              <w:spacing w:after="0"/>
              <w:rPr>
                <w:sz w:val="20"/>
                <w:szCs w:val="20"/>
                <w:color w:val="auto"/>
              </w:rPr>
            </w:pPr>
            <w:r>
              <w:rPr>
                <w:rFonts w:ascii="Times New Roman" w:cs="Times New Roman" w:eastAsia="Times New Roman" w:hAnsi="Times New Roman"/>
                <w:sz w:val="16"/>
                <w:szCs w:val="16"/>
                <w:color w:val="auto"/>
              </w:rPr>
              <w:t>$</w:t>
            </w:r>
          </w:p>
        </w:tc>
        <w:tc>
          <w:tcPr>
            <w:tcW w:w="8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(368,819)</w:t>
            </w:r>
          </w:p>
        </w:tc>
        <w:tc>
          <w:tcPr>
            <w:tcW w:w="0" w:type="dxa"/>
            <w:vAlign w:val="bottom"/>
          </w:tcPr>
          <w:p>
            <w:pPr>
              <w:spacing w:after="0"/>
              <w:rPr>
                <w:sz w:val="1"/>
                <w:szCs w:val="1"/>
                <w:color w:val="auto"/>
              </w:rPr>
            </w:pPr>
          </w:p>
        </w:tc>
      </w:tr>
      <w:tr>
        <w:trPr>
          <w:trHeight w:val="33"/>
        </w:trPr>
        <w:tc>
          <w:tcPr>
            <w:tcW w:w="3280" w:type="dxa"/>
            <w:vAlign w:val="bottom"/>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28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11420"/>
          </w:cols>
          <w:pgMar w:left="240" w:top="576" w:right="239" w:bottom="1440" w:gutter="0" w:footer="0" w:header="0"/>
        </w:sectPr>
      </w:pPr>
    </w:p>
    <w:bookmarkStart w:id="10" w:name="page11"/>
    <w:bookmarkEnd w:id="10"/>
    <w:p>
      <w:pPr>
        <w:jc w:val="center"/>
        <w:ind w:right="-499"/>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ind w:right="-499"/>
        <w:spacing w:after="0"/>
        <w:rPr>
          <w:sz w:val="20"/>
          <w:szCs w:val="20"/>
          <w:color w:val="auto"/>
        </w:rPr>
      </w:pPr>
      <w:r>
        <w:rPr>
          <w:rFonts w:ascii="Times New Roman" w:cs="Times New Roman" w:eastAsia="Times New Roman" w:hAnsi="Times New Roman"/>
          <w:sz w:val="18"/>
          <w:szCs w:val="18"/>
          <w:b w:val="1"/>
          <w:bCs w:val="1"/>
          <w:color w:val="auto"/>
        </w:rPr>
        <w:t>Consolidated Statements of Cash Flows</w:t>
      </w:r>
    </w:p>
    <w:p>
      <w:pPr>
        <w:spacing w:after="0" w:line="9" w:lineRule="exact"/>
        <w:rPr>
          <w:sz w:val="20"/>
          <w:szCs w:val="20"/>
          <w:color w:val="auto"/>
        </w:rPr>
      </w:pPr>
    </w:p>
    <w:p>
      <w:pPr>
        <w:jc w:val="center"/>
        <w:ind w:right="-499"/>
        <w:spacing w:after="0"/>
        <w:rPr>
          <w:sz w:val="20"/>
          <w:szCs w:val="20"/>
          <w:color w:val="auto"/>
        </w:rPr>
      </w:pPr>
      <w:r>
        <w:rPr>
          <w:rFonts w:ascii="Times New Roman" w:cs="Times New Roman" w:eastAsia="Times New Roman" w:hAnsi="Times New Roman"/>
          <w:sz w:val="18"/>
          <w:szCs w:val="18"/>
          <w:b w:val="1"/>
          <w:bCs w:val="1"/>
          <w:color w:val="auto"/>
        </w:rPr>
        <w:t>(Unaudited; in thousands)</w:t>
      </w:r>
    </w:p>
    <w:p>
      <w:pPr>
        <w:spacing w:after="0" w:line="398"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7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40" w:type="dxa"/>
            <w:vAlign w:val="bottom"/>
            <w:gridSpan w:val="3"/>
          </w:tcPr>
          <w:p>
            <w:pPr>
              <w:jc w:val="right"/>
              <w:ind w:right="1019"/>
              <w:spacing w:after="0"/>
              <w:rPr>
                <w:sz w:val="20"/>
                <w:szCs w:val="20"/>
                <w:color w:val="auto"/>
              </w:rPr>
            </w:pPr>
            <w:r>
              <w:rPr>
                <w:rFonts w:ascii="Times New Roman" w:cs="Times New Roman" w:eastAsia="Times New Roman" w:hAnsi="Times New Roman"/>
                <w:sz w:val="16"/>
                <w:szCs w:val="16"/>
                <w:b w:val="1"/>
                <w:bCs w:val="1"/>
                <w:color w:val="auto"/>
              </w:rPr>
              <w:t>Three months ended</w:t>
            </w:r>
          </w:p>
        </w:tc>
        <w:tc>
          <w:tcPr>
            <w:tcW w:w="0" w:type="dxa"/>
            <w:vAlign w:val="bottom"/>
          </w:tcPr>
          <w:p>
            <w:pPr>
              <w:spacing w:after="0"/>
              <w:rPr>
                <w:sz w:val="1"/>
                <w:szCs w:val="1"/>
                <w:color w:val="auto"/>
              </w:rPr>
            </w:pPr>
          </w:p>
        </w:tc>
      </w:tr>
      <w:tr>
        <w:trPr>
          <w:trHeight w:val="47"/>
        </w:trPr>
        <w:tc>
          <w:tcPr>
            <w:tcW w:w="7280" w:type="dxa"/>
            <w:vAlign w:val="bottom"/>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68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17"/>
        </w:trPr>
        <w:tc>
          <w:tcPr>
            <w:tcW w:w="7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20" w:type="dxa"/>
            <w:vAlign w:val="bottom"/>
          </w:tcPr>
          <w:p>
            <w:pPr>
              <w:jc w:val="right"/>
              <w:ind w:right="179"/>
              <w:spacing w:after="0"/>
              <w:rPr>
                <w:sz w:val="20"/>
                <w:szCs w:val="20"/>
                <w:color w:val="auto"/>
              </w:rPr>
            </w:pPr>
            <w:r>
              <w:rPr>
                <w:rFonts w:ascii="Times New Roman" w:cs="Times New Roman" w:eastAsia="Times New Roman" w:hAnsi="Times New Roman"/>
                <w:sz w:val="16"/>
                <w:szCs w:val="16"/>
                <w:b w:val="1"/>
                <w:bCs w:val="1"/>
                <w:color w:val="auto"/>
              </w:rPr>
              <w:t>March 31, 2018</w:t>
            </w:r>
          </w:p>
        </w:tc>
        <w:tc>
          <w:tcPr>
            <w:tcW w:w="340" w:type="dxa"/>
            <w:vAlign w:val="bottom"/>
          </w:tcPr>
          <w:p>
            <w:pPr>
              <w:spacing w:after="0"/>
              <w:rPr>
                <w:sz w:val="18"/>
                <w:szCs w:val="18"/>
                <w:color w:val="auto"/>
              </w:rPr>
            </w:pPr>
          </w:p>
        </w:tc>
        <w:tc>
          <w:tcPr>
            <w:tcW w:w="1680" w:type="dxa"/>
            <w:vAlign w:val="bottom"/>
          </w:tcPr>
          <w:p>
            <w:pPr>
              <w:jc w:val="right"/>
              <w:ind w:right="379"/>
              <w:spacing w:after="0"/>
              <w:rPr>
                <w:sz w:val="20"/>
                <w:szCs w:val="20"/>
                <w:color w:val="auto"/>
              </w:rPr>
            </w:pPr>
            <w:r>
              <w:rPr>
                <w:rFonts w:ascii="Times New Roman" w:cs="Times New Roman" w:eastAsia="Times New Roman" w:hAnsi="Times New Roman"/>
                <w:sz w:val="16"/>
                <w:szCs w:val="16"/>
                <w:b w:val="1"/>
                <w:bCs w:val="1"/>
                <w:color w:val="auto"/>
              </w:rPr>
              <w:t>March 31, 2017</w:t>
            </w:r>
          </w:p>
        </w:tc>
        <w:tc>
          <w:tcPr>
            <w:tcW w:w="0" w:type="dxa"/>
            <w:vAlign w:val="bottom"/>
          </w:tcPr>
          <w:p>
            <w:pPr>
              <w:spacing w:after="0"/>
              <w:rPr>
                <w:sz w:val="1"/>
                <w:szCs w:val="1"/>
                <w:color w:val="auto"/>
              </w:rPr>
            </w:pPr>
          </w:p>
        </w:tc>
      </w:tr>
      <w:tr>
        <w:trPr>
          <w:trHeight w:val="33"/>
        </w:trPr>
        <w:tc>
          <w:tcPr>
            <w:tcW w:w="7280" w:type="dxa"/>
            <w:vAlign w:val="bottom"/>
            <w:vMerge w:val="restart"/>
          </w:tcPr>
          <w:p>
            <w:pPr>
              <w:ind w:left="40"/>
              <w:spacing w:after="0"/>
              <w:rPr>
                <w:sz w:val="20"/>
                <w:szCs w:val="20"/>
                <w:color w:val="auto"/>
              </w:rPr>
            </w:pPr>
            <w:r>
              <w:rPr>
                <w:rFonts w:ascii="Times New Roman" w:cs="Times New Roman" w:eastAsia="Times New Roman" w:hAnsi="Times New Roman"/>
                <w:sz w:val="16"/>
                <w:szCs w:val="16"/>
                <w:b w:val="1"/>
                <w:bCs w:val="1"/>
                <w:color w:val="auto"/>
              </w:rPr>
              <w:t>Operating activities:</w:t>
            </w:r>
          </w:p>
        </w:tc>
        <w:tc>
          <w:tcPr>
            <w:tcW w:w="2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728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84"/>
        </w:trPr>
        <w:tc>
          <w:tcPr>
            <w:tcW w:w="72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Net income</w:t>
            </w:r>
          </w:p>
        </w:tc>
        <w:tc>
          <w:tcPr>
            <w:tcW w:w="2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51,652</w:t>
            </w:r>
          </w:p>
        </w:tc>
        <w:tc>
          <w:tcPr>
            <w:tcW w:w="340" w:type="dxa"/>
            <w:vAlign w:val="bottom"/>
          </w:tcPr>
          <w:p>
            <w:pPr>
              <w:jc w:val="right"/>
              <w:ind w:right="79"/>
              <w:spacing w:after="0"/>
              <w:rPr>
                <w:sz w:val="20"/>
                <w:szCs w:val="20"/>
                <w:color w:val="auto"/>
              </w:rPr>
            </w:pPr>
            <w:r>
              <w:rPr>
                <w:rFonts w:ascii="Times New Roman" w:cs="Times New Roman" w:eastAsia="Times New Roman" w:hAnsi="Times New Roman"/>
                <w:sz w:val="16"/>
                <w:szCs w:val="16"/>
                <w:color w:val="auto"/>
              </w:rPr>
              <w:t>$</w:t>
            </w:r>
          </w:p>
        </w:tc>
        <w:tc>
          <w:tcPr>
            <w:tcW w:w="16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42,261</w:t>
            </w:r>
          </w:p>
        </w:tc>
        <w:tc>
          <w:tcPr>
            <w:tcW w:w="0" w:type="dxa"/>
            <w:vAlign w:val="bottom"/>
          </w:tcPr>
          <w:p>
            <w:pPr>
              <w:spacing w:after="0"/>
              <w:rPr>
                <w:sz w:val="1"/>
                <w:szCs w:val="1"/>
                <w:color w:val="auto"/>
              </w:rPr>
            </w:pPr>
          </w:p>
        </w:tc>
      </w:tr>
      <w:tr>
        <w:trPr>
          <w:trHeight w:val="33"/>
        </w:trPr>
        <w:tc>
          <w:tcPr>
            <w:tcW w:w="7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Adjustments to reconcile net income to net cash provided by operating activities:</w:t>
            </w:r>
          </w:p>
        </w:tc>
        <w:tc>
          <w:tcPr>
            <w:tcW w:w="20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72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Depreciation and amortization</w:t>
            </w:r>
          </w:p>
        </w:tc>
        <w:tc>
          <w:tcPr>
            <w:tcW w:w="20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14,751</w:t>
            </w:r>
          </w:p>
        </w:tc>
        <w:tc>
          <w:tcPr>
            <w:tcW w:w="340" w:type="dxa"/>
            <w:vAlign w:val="bottom"/>
          </w:tcPr>
          <w:p>
            <w:pPr>
              <w:spacing w:after="0"/>
              <w:rPr>
                <w:sz w:val="19"/>
                <w:szCs w:val="19"/>
                <w:color w:val="auto"/>
              </w:rPr>
            </w:pPr>
          </w:p>
        </w:tc>
        <w:tc>
          <w:tcPr>
            <w:tcW w:w="16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10,600</w:t>
            </w:r>
          </w:p>
        </w:tc>
        <w:tc>
          <w:tcPr>
            <w:tcW w:w="0" w:type="dxa"/>
            <w:vAlign w:val="bottom"/>
          </w:tcPr>
          <w:p>
            <w:pPr>
              <w:spacing w:after="0"/>
              <w:rPr>
                <w:sz w:val="1"/>
                <w:szCs w:val="1"/>
                <w:color w:val="auto"/>
              </w:rPr>
            </w:pPr>
          </w:p>
        </w:tc>
      </w:tr>
      <w:tr>
        <w:trPr>
          <w:trHeight w:val="33"/>
        </w:trPr>
        <w:tc>
          <w:tcPr>
            <w:tcW w:w="7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28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Unrealized foreign currency gain</w:t>
            </w:r>
          </w:p>
        </w:tc>
        <w:tc>
          <w:tcPr>
            <w:tcW w:w="20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(8,327)</w:t>
            </w:r>
          </w:p>
        </w:tc>
        <w:tc>
          <w:tcPr>
            <w:tcW w:w="340" w:type="dxa"/>
            <w:vAlign w:val="bottom"/>
            <w:tcBorders>
              <w:bottom w:val="single" w:sz="8" w:color="CCEEFF"/>
            </w:tcBorders>
            <w:shd w:val="clear" w:color="auto" w:fill="CCEEFF"/>
          </w:tcPr>
          <w:p>
            <w:pPr>
              <w:spacing w:after="0"/>
              <w:rPr>
                <w:sz w:val="20"/>
                <w:szCs w:val="20"/>
                <w:color w:val="auto"/>
              </w:rPr>
            </w:pP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(14,245)</w:t>
            </w:r>
          </w:p>
        </w:tc>
        <w:tc>
          <w:tcPr>
            <w:tcW w:w="0" w:type="dxa"/>
            <w:vAlign w:val="bottom"/>
          </w:tcPr>
          <w:p>
            <w:pPr>
              <w:spacing w:after="0"/>
              <w:rPr>
                <w:sz w:val="1"/>
                <w:szCs w:val="1"/>
                <w:color w:val="auto"/>
              </w:rPr>
            </w:pPr>
          </w:p>
        </w:tc>
      </w:tr>
      <w:tr>
        <w:trPr>
          <w:trHeight w:val="224"/>
        </w:trPr>
        <w:tc>
          <w:tcPr>
            <w:tcW w:w="72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Amortization of debt issuance costs</w:t>
            </w:r>
          </w:p>
        </w:tc>
        <w:tc>
          <w:tcPr>
            <w:tcW w:w="20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1,170</w:t>
            </w:r>
          </w:p>
        </w:tc>
        <w:tc>
          <w:tcPr>
            <w:tcW w:w="340" w:type="dxa"/>
            <w:vAlign w:val="bottom"/>
          </w:tcPr>
          <w:p>
            <w:pPr>
              <w:spacing w:after="0"/>
              <w:rPr>
                <w:sz w:val="19"/>
                <w:szCs w:val="19"/>
                <w:color w:val="auto"/>
              </w:rPr>
            </w:pPr>
          </w:p>
        </w:tc>
        <w:tc>
          <w:tcPr>
            <w:tcW w:w="16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942</w:t>
            </w:r>
          </w:p>
        </w:tc>
        <w:tc>
          <w:tcPr>
            <w:tcW w:w="0" w:type="dxa"/>
            <w:vAlign w:val="bottom"/>
          </w:tcPr>
          <w:p>
            <w:pPr>
              <w:spacing w:after="0"/>
              <w:rPr>
                <w:sz w:val="1"/>
                <w:szCs w:val="1"/>
                <w:color w:val="auto"/>
              </w:rPr>
            </w:pPr>
          </w:p>
        </w:tc>
      </w:tr>
      <w:tr>
        <w:trPr>
          <w:trHeight w:val="33"/>
        </w:trPr>
        <w:tc>
          <w:tcPr>
            <w:tcW w:w="7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28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Gain on termination of lease</w:t>
            </w:r>
          </w:p>
        </w:tc>
        <w:tc>
          <w:tcPr>
            <w:tcW w:w="20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(3,524)</w:t>
            </w:r>
          </w:p>
        </w:tc>
        <w:tc>
          <w:tcPr>
            <w:tcW w:w="340" w:type="dxa"/>
            <w:vAlign w:val="bottom"/>
            <w:tcBorders>
              <w:bottom w:val="single" w:sz="8" w:color="CCEEFF"/>
            </w:tcBorders>
            <w:shd w:val="clear" w:color="auto" w:fill="CCEEFF"/>
          </w:tcPr>
          <w:p>
            <w:pPr>
              <w:spacing w:after="0"/>
              <w:rPr>
                <w:sz w:val="20"/>
                <w:szCs w:val="20"/>
                <w:color w:val="auto"/>
              </w:rPr>
            </w:pP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24"/>
        </w:trPr>
        <w:tc>
          <w:tcPr>
            <w:tcW w:w="72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Deferred tax provision</w:t>
            </w:r>
          </w:p>
        </w:tc>
        <w:tc>
          <w:tcPr>
            <w:tcW w:w="20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(512)</w:t>
            </w:r>
          </w:p>
        </w:tc>
        <w:tc>
          <w:tcPr>
            <w:tcW w:w="340" w:type="dxa"/>
            <w:vAlign w:val="bottom"/>
          </w:tcPr>
          <w:p>
            <w:pPr>
              <w:spacing w:after="0"/>
              <w:rPr>
                <w:sz w:val="19"/>
                <w:szCs w:val="19"/>
                <w:color w:val="auto"/>
              </w:rPr>
            </w:pPr>
          </w:p>
        </w:tc>
        <w:tc>
          <w:tcPr>
            <w:tcW w:w="16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(577)</w:t>
            </w:r>
          </w:p>
        </w:tc>
        <w:tc>
          <w:tcPr>
            <w:tcW w:w="0" w:type="dxa"/>
            <w:vAlign w:val="bottom"/>
          </w:tcPr>
          <w:p>
            <w:pPr>
              <w:spacing w:after="0"/>
              <w:rPr>
                <w:sz w:val="1"/>
                <w:szCs w:val="1"/>
                <w:color w:val="auto"/>
              </w:rPr>
            </w:pPr>
          </w:p>
        </w:tc>
      </w:tr>
      <w:tr>
        <w:trPr>
          <w:trHeight w:val="33"/>
        </w:trPr>
        <w:tc>
          <w:tcPr>
            <w:tcW w:w="7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28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Inventory provision</w:t>
            </w:r>
          </w:p>
        </w:tc>
        <w:tc>
          <w:tcPr>
            <w:tcW w:w="20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2,845</w:t>
            </w:r>
          </w:p>
        </w:tc>
        <w:tc>
          <w:tcPr>
            <w:tcW w:w="340" w:type="dxa"/>
            <w:vAlign w:val="bottom"/>
            <w:tcBorders>
              <w:bottom w:val="single" w:sz="8" w:color="CCEEFF"/>
            </w:tcBorders>
            <w:shd w:val="clear" w:color="auto" w:fill="CCEEFF"/>
          </w:tcPr>
          <w:p>
            <w:pPr>
              <w:spacing w:after="0"/>
              <w:rPr>
                <w:sz w:val="20"/>
                <w:szCs w:val="20"/>
                <w:color w:val="auto"/>
              </w:rPr>
            </w:pP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1,137</w:t>
            </w:r>
          </w:p>
        </w:tc>
        <w:tc>
          <w:tcPr>
            <w:tcW w:w="0" w:type="dxa"/>
            <w:vAlign w:val="bottom"/>
          </w:tcPr>
          <w:p>
            <w:pPr>
              <w:spacing w:after="0"/>
              <w:rPr>
                <w:sz w:val="1"/>
                <w:szCs w:val="1"/>
                <w:color w:val="auto"/>
              </w:rPr>
            </w:pPr>
          </w:p>
        </w:tc>
      </w:tr>
      <w:tr>
        <w:trPr>
          <w:trHeight w:val="224"/>
        </w:trPr>
        <w:tc>
          <w:tcPr>
            <w:tcW w:w="72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Allowance for doubtful accounts provision</w:t>
            </w:r>
          </w:p>
        </w:tc>
        <w:tc>
          <w:tcPr>
            <w:tcW w:w="20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93</w:t>
            </w:r>
          </w:p>
        </w:tc>
        <w:tc>
          <w:tcPr>
            <w:tcW w:w="340" w:type="dxa"/>
            <w:vAlign w:val="bottom"/>
          </w:tcPr>
          <w:p>
            <w:pPr>
              <w:spacing w:after="0"/>
              <w:rPr>
                <w:sz w:val="19"/>
                <w:szCs w:val="19"/>
                <w:color w:val="auto"/>
              </w:rPr>
            </w:pPr>
          </w:p>
        </w:tc>
        <w:tc>
          <w:tcPr>
            <w:tcW w:w="16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(120)</w:t>
            </w:r>
          </w:p>
        </w:tc>
        <w:tc>
          <w:tcPr>
            <w:tcW w:w="0" w:type="dxa"/>
            <w:vAlign w:val="bottom"/>
          </w:tcPr>
          <w:p>
            <w:pPr>
              <w:spacing w:after="0"/>
              <w:rPr>
                <w:sz w:val="1"/>
                <w:szCs w:val="1"/>
                <w:color w:val="auto"/>
              </w:rPr>
            </w:pPr>
          </w:p>
        </w:tc>
      </w:tr>
      <w:tr>
        <w:trPr>
          <w:trHeight w:val="33"/>
        </w:trPr>
        <w:tc>
          <w:tcPr>
            <w:tcW w:w="7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Changes in assets and liabilities:</w:t>
            </w:r>
          </w:p>
        </w:tc>
        <w:tc>
          <w:tcPr>
            <w:tcW w:w="20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72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Trade accounts receivable – net</w:t>
            </w:r>
          </w:p>
        </w:tc>
        <w:tc>
          <w:tcPr>
            <w:tcW w:w="20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4,981</w:t>
            </w:r>
          </w:p>
        </w:tc>
        <w:tc>
          <w:tcPr>
            <w:tcW w:w="340" w:type="dxa"/>
            <w:vAlign w:val="bottom"/>
          </w:tcPr>
          <w:p>
            <w:pPr>
              <w:spacing w:after="0"/>
              <w:rPr>
                <w:sz w:val="19"/>
                <w:szCs w:val="19"/>
                <w:color w:val="auto"/>
              </w:rPr>
            </w:pPr>
          </w:p>
        </w:tc>
        <w:tc>
          <w:tcPr>
            <w:tcW w:w="16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41,064</w:t>
            </w:r>
          </w:p>
        </w:tc>
        <w:tc>
          <w:tcPr>
            <w:tcW w:w="0" w:type="dxa"/>
            <w:vAlign w:val="bottom"/>
          </w:tcPr>
          <w:p>
            <w:pPr>
              <w:spacing w:after="0"/>
              <w:rPr>
                <w:sz w:val="1"/>
                <w:szCs w:val="1"/>
                <w:color w:val="auto"/>
              </w:rPr>
            </w:pPr>
          </w:p>
        </w:tc>
      </w:tr>
      <w:tr>
        <w:trPr>
          <w:trHeight w:val="33"/>
        </w:trPr>
        <w:tc>
          <w:tcPr>
            <w:tcW w:w="7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28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Inventories</w:t>
            </w:r>
          </w:p>
        </w:tc>
        <w:tc>
          <w:tcPr>
            <w:tcW w:w="20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(47,589)</w:t>
            </w:r>
          </w:p>
        </w:tc>
        <w:tc>
          <w:tcPr>
            <w:tcW w:w="340" w:type="dxa"/>
            <w:vAlign w:val="bottom"/>
            <w:tcBorders>
              <w:bottom w:val="single" w:sz="8" w:color="CCEEFF"/>
            </w:tcBorders>
            <w:shd w:val="clear" w:color="auto" w:fill="CCEEFF"/>
          </w:tcPr>
          <w:p>
            <w:pPr>
              <w:spacing w:after="0"/>
              <w:rPr>
                <w:sz w:val="20"/>
                <w:szCs w:val="20"/>
                <w:color w:val="auto"/>
              </w:rPr>
            </w:pP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(18,120)</w:t>
            </w:r>
          </w:p>
        </w:tc>
        <w:tc>
          <w:tcPr>
            <w:tcW w:w="0" w:type="dxa"/>
            <w:vAlign w:val="bottom"/>
          </w:tcPr>
          <w:p>
            <w:pPr>
              <w:spacing w:after="0"/>
              <w:rPr>
                <w:sz w:val="1"/>
                <w:szCs w:val="1"/>
                <w:color w:val="auto"/>
              </w:rPr>
            </w:pPr>
          </w:p>
        </w:tc>
      </w:tr>
      <w:tr>
        <w:trPr>
          <w:trHeight w:val="224"/>
        </w:trPr>
        <w:tc>
          <w:tcPr>
            <w:tcW w:w="72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Prepaid expenses and other current assets</w:t>
            </w:r>
          </w:p>
        </w:tc>
        <w:tc>
          <w:tcPr>
            <w:tcW w:w="20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8,185</w:t>
            </w:r>
          </w:p>
        </w:tc>
        <w:tc>
          <w:tcPr>
            <w:tcW w:w="340" w:type="dxa"/>
            <w:vAlign w:val="bottom"/>
          </w:tcPr>
          <w:p>
            <w:pPr>
              <w:spacing w:after="0"/>
              <w:rPr>
                <w:sz w:val="19"/>
                <w:szCs w:val="19"/>
                <w:color w:val="auto"/>
              </w:rPr>
            </w:pPr>
          </w:p>
        </w:tc>
        <w:tc>
          <w:tcPr>
            <w:tcW w:w="16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(45)</w:t>
            </w:r>
          </w:p>
        </w:tc>
        <w:tc>
          <w:tcPr>
            <w:tcW w:w="0" w:type="dxa"/>
            <w:vAlign w:val="bottom"/>
          </w:tcPr>
          <w:p>
            <w:pPr>
              <w:spacing w:after="0"/>
              <w:rPr>
                <w:sz w:val="1"/>
                <w:szCs w:val="1"/>
                <w:color w:val="auto"/>
              </w:rPr>
            </w:pPr>
          </w:p>
        </w:tc>
      </w:tr>
      <w:tr>
        <w:trPr>
          <w:trHeight w:val="33"/>
        </w:trPr>
        <w:tc>
          <w:tcPr>
            <w:tcW w:w="7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28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Related-party receivables</w:t>
            </w:r>
          </w:p>
        </w:tc>
        <w:tc>
          <w:tcPr>
            <w:tcW w:w="20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5,215</w:t>
            </w:r>
          </w:p>
        </w:tc>
        <w:tc>
          <w:tcPr>
            <w:tcW w:w="340" w:type="dxa"/>
            <w:vAlign w:val="bottom"/>
            <w:tcBorders>
              <w:bottom w:val="single" w:sz="8" w:color="CCEEFF"/>
            </w:tcBorders>
            <w:shd w:val="clear" w:color="auto" w:fill="CCEEFF"/>
          </w:tcPr>
          <w:p>
            <w:pPr>
              <w:spacing w:after="0"/>
              <w:rPr>
                <w:sz w:val="20"/>
                <w:szCs w:val="20"/>
                <w:color w:val="auto"/>
              </w:rPr>
            </w:pP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4,280</w:t>
            </w:r>
          </w:p>
        </w:tc>
        <w:tc>
          <w:tcPr>
            <w:tcW w:w="0" w:type="dxa"/>
            <w:vAlign w:val="bottom"/>
          </w:tcPr>
          <w:p>
            <w:pPr>
              <w:spacing w:after="0"/>
              <w:rPr>
                <w:sz w:val="1"/>
                <w:szCs w:val="1"/>
                <w:color w:val="auto"/>
              </w:rPr>
            </w:pPr>
          </w:p>
        </w:tc>
      </w:tr>
      <w:tr>
        <w:trPr>
          <w:trHeight w:val="224"/>
        </w:trPr>
        <w:tc>
          <w:tcPr>
            <w:tcW w:w="72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Other assets</w:t>
            </w:r>
          </w:p>
        </w:tc>
        <w:tc>
          <w:tcPr>
            <w:tcW w:w="20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(6,694)</w:t>
            </w:r>
          </w:p>
        </w:tc>
        <w:tc>
          <w:tcPr>
            <w:tcW w:w="340" w:type="dxa"/>
            <w:vAlign w:val="bottom"/>
          </w:tcPr>
          <w:p>
            <w:pPr>
              <w:spacing w:after="0"/>
              <w:rPr>
                <w:sz w:val="19"/>
                <w:szCs w:val="19"/>
                <w:color w:val="auto"/>
              </w:rPr>
            </w:pPr>
          </w:p>
        </w:tc>
        <w:tc>
          <w:tcPr>
            <w:tcW w:w="16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(200)</w:t>
            </w:r>
          </w:p>
        </w:tc>
        <w:tc>
          <w:tcPr>
            <w:tcW w:w="0" w:type="dxa"/>
            <w:vAlign w:val="bottom"/>
          </w:tcPr>
          <w:p>
            <w:pPr>
              <w:spacing w:after="0"/>
              <w:rPr>
                <w:sz w:val="1"/>
                <w:szCs w:val="1"/>
                <w:color w:val="auto"/>
              </w:rPr>
            </w:pPr>
          </w:p>
        </w:tc>
      </w:tr>
      <w:tr>
        <w:trPr>
          <w:trHeight w:val="33"/>
        </w:trPr>
        <w:tc>
          <w:tcPr>
            <w:tcW w:w="7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28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Accounts payable</w:t>
            </w:r>
          </w:p>
        </w:tc>
        <w:tc>
          <w:tcPr>
            <w:tcW w:w="20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14,318</w:t>
            </w:r>
          </w:p>
        </w:tc>
        <w:tc>
          <w:tcPr>
            <w:tcW w:w="340" w:type="dxa"/>
            <w:vAlign w:val="bottom"/>
            <w:tcBorders>
              <w:bottom w:val="single" w:sz="8" w:color="CCEEFF"/>
            </w:tcBorders>
            <w:shd w:val="clear" w:color="auto" w:fill="CCEEFF"/>
          </w:tcPr>
          <w:p>
            <w:pPr>
              <w:spacing w:after="0"/>
              <w:rPr>
                <w:sz w:val="20"/>
                <w:szCs w:val="20"/>
                <w:color w:val="auto"/>
              </w:rPr>
            </w:pP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(382)</w:t>
            </w:r>
          </w:p>
        </w:tc>
        <w:tc>
          <w:tcPr>
            <w:tcW w:w="0" w:type="dxa"/>
            <w:vAlign w:val="bottom"/>
          </w:tcPr>
          <w:p>
            <w:pPr>
              <w:spacing w:after="0"/>
              <w:rPr>
                <w:sz w:val="1"/>
                <w:szCs w:val="1"/>
                <w:color w:val="auto"/>
              </w:rPr>
            </w:pPr>
          </w:p>
        </w:tc>
      </w:tr>
      <w:tr>
        <w:trPr>
          <w:trHeight w:val="224"/>
        </w:trPr>
        <w:tc>
          <w:tcPr>
            <w:tcW w:w="72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Accrued returns allowance</w:t>
            </w:r>
          </w:p>
        </w:tc>
        <w:tc>
          <w:tcPr>
            <w:tcW w:w="20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3,804</w:t>
            </w:r>
          </w:p>
        </w:tc>
        <w:tc>
          <w:tcPr>
            <w:tcW w:w="340" w:type="dxa"/>
            <w:vAlign w:val="bottom"/>
          </w:tcPr>
          <w:p>
            <w:pPr>
              <w:spacing w:after="0"/>
              <w:rPr>
                <w:sz w:val="19"/>
                <w:szCs w:val="19"/>
                <w:color w:val="auto"/>
              </w:rPr>
            </w:pPr>
          </w:p>
        </w:tc>
        <w:tc>
          <w:tcPr>
            <w:tcW w:w="16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2,166</w:t>
            </w:r>
          </w:p>
        </w:tc>
        <w:tc>
          <w:tcPr>
            <w:tcW w:w="0" w:type="dxa"/>
            <w:vAlign w:val="bottom"/>
          </w:tcPr>
          <w:p>
            <w:pPr>
              <w:spacing w:after="0"/>
              <w:rPr>
                <w:sz w:val="1"/>
                <w:szCs w:val="1"/>
                <w:color w:val="auto"/>
              </w:rPr>
            </w:pPr>
          </w:p>
        </w:tc>
      </w:tr>
      <w:tr>
        <w:trPr>
          <w:trHeight w:val="33"/>
        </w:trPr>
        <w:tc>
          <w:tcPr>
            <w:tcW w:w="7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28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Taxes payable</w:t>
            </w:r>
          </w:p>
        </w:tc>
        <w:tc>
          <w:tcPr>
            <w:tcW w:w="20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189</w:t>
            </w:r>
          </w:p>
        </w:tc>
        <w:tc>
          <w:tcPr>
            <w:tcW w:w="340" w:type="dxa"/>
            <w:vAlign w:val="bottom"/>
            <w:tcBorders>
              <w:bottom w:val="single" w:sz="8" w:color="CCEEFF"/>
            </w:tcBorders>
            <w:shd w:val="clear" w:color="auto" w:fill="CCEEFF"/>
          </w:tcPr>
          <w:p>
            <w:pPr>
              <w:spacing w:after="0"/>
              <w:rPr>
                <w:sz w:val="20"/>
                <w:szCs w:val="20"/>
                <w:color w:val="auto"/>
              </w:rPr>
            </w:pP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653</w:t>
            </w:r>
          </w:p>
        </w:tc>
        <w:tc>
          <w:tcPr>
            <w:tcW w:w="0" w:type="dxa"/>
            <w:vAlign w:val="bottom"/>
          </w:tcPr>
          <w:p>
            <w:pPr>
              <w:spacing w:after="0"/>
              <w:rPr>
                <w:sz w:val="1"/>
                <w:szCs w:val="1"/>
                <w:color w:val="auto"/>
              </w:rPr>
            </w:pPr>
          </w:p>
        </w:tc>
      </w:tr>
      <w:tr>
        <w:trPr>
          <w:trHeight w:val="224"/>
        </w:trPr>
        <w:tc>
          <w:tcPr>
            <w:tcW w:w="72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Accrued expenses and other current liabilities</w:t>
            </w:r>
          </w:p>
        </w:tc>
        <w:tc>
          <w:tcPr>
            <w:tcW w:w="20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(3,846)</w:t>
            </w:r>
          </w:p>
        </w:tc>
        <w:tc>
          <w:tcPr>
            <w:tcW w:w="340" w:type="dxa"/>
            <w:vAlign w:val="bottom"/>
          </w:tcPr>
          <w:p>
            <w:pPr>
              <w:spacing w:after="0"/>
              <w:rPr>
                <w:sz w:val="19"/>
                <w:szCs w:val="19"/>
                <w:color w:val="auto"/>
              </w:rPr>
            </w:pPr>
          </w:p>
        </w:tc>
        <w:tc>
          <w:tcPr>
            <w:tcW w:w="16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1,485</w:t>
            </w:r>
          </w:p>
        </w:tc>
        <w:tc>
          <w:tcPr>
            <w:tcW w:w="0" w:type="dxa"/>
            <w:vAlign w:val="bottom"/>
          </w:tcPr>
          <w:p>
            <w:pPr>
              <w:spacing w:after="0"/>
              <w:rPr>
                <w:sz w:val="1"/>
                <w:szCs w:val="1"/>
                <w:color w:val="auto"/>
              </w:rPr>
            </w:pPr>
          </w:p>
        </w:tc>
      </w:tr>
      <w:tr>
        <w:trPr>
          <w:trHeight w:val="33"/>
        </w:trPr>
        <w:tc>
          <w:tcPr>
            <w:tcW w:w="7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28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Other liabilities</w:t>
            </w:r>
          </w:p>
        </w:tc>
        <w:tc>
          <w:tcPr>
            <w:tcW w:w="20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860</w:t>
            </w:r>
          </w:p>
        </w:tc>
        <w:tc>
          <w:tcPr>
            <w:tcW w:w="340" w:type="dxa"/>
            <w:vAlign w:val="bottom"/>
            <w:tcBorders>
              <w:bottom w:val="single" w:sz="8" w:color="CCEEFF"/>
            </w:tcBorders>
            <w:shd w:val="clear" w:color="auto" w:fill="CCEEFF"/>
          </w:tcPr>
          <w:p>
            <w:pPr>
              <w:spacing w:after="0"/>
              <w:rPr>
                <w:sz w:val="20"/>
                <w:szCs w:val="20"/>
                <w:color w:val="auto"/>
              </w:rPr>
            </w:pP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(1,224)</w:t>
            </w:r>
          </w:p>
        </w:tc>
        <w:tc>
          <w:tcPr>
            <w:tcW w:w="0" w:type="dxa"/>
            <w:vAlign w:val="bottom"/>
          </w:tcPr>
          <w:p>
            <w:pPr>
              <w:spacing w:after="0"/>
              <w:rPr>
                <w:sz w:val="1"/>
                <w:szCs w:val="1"/>
                <w:color w:val="auto"/>
              </w:rPr>
            </w:pPr>
          </w:p>
        </w:tc>
      </w:tr>
      <w:tr>
        <w:trPr>
          <w:trHeight w:val="224"/>
        </w:trPr>
        <w:tc>
          <w:tcPr>
            <w:tcW w:w="728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Related-party payables</w:t>
            </w:r>
          </w:p>
        </w:tc>
        <w:tc>
          <w:tcPr>
            <w:tcW w:w="20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(10,542)</w:t>
            </w:r>
          </w:p>
        </w:tc>
        <w:tc>
          <w:tcPr>
            <w:tcW w:w="340" w:type="dxa"/>
            <w:vAlign w:val="bottom"/>
          </w:tcPr>
          <w:p>
            <w:pPr>
              <w:spacing w:after="0"/>
              <w:rPr>
                <w:sz w:val="19"/>
                <w:szCs w:val="19"/>
                <w:color w:val="auto"/>
              </w:rPr>
            </w:pPr>
          </w:p>
        </w:tc>
        <w:tc>
          <w:tcPr>
            <w:tcW w:w="16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(267)</w:t>
            </w:r>
          </w:p>
        </w:tc>
        <w:tc>
          <w:tcPr>
            <w:tcW w:w="0" w:type="dxa"/>
            <w:vAlign w:val="bottom"/>
          </w:tcPr>
          <w:p>
            <w:pPr>
              <w:spacing w:after="0"/>
              <w:rPr>
                <w:sz w:val="1"/>
                <w:szCs w:val="1"/>
                <w:color w:val="auto"/>
              </w:rPr>
            </w:pPr>
          </w:p>
        </w:tc>
      </w:tr>
      <w:tr>
        <w:trPr>
          <w:trHeight w:val="33"/>
        </w:trPr>
        <w:tc>
          <w:tcPr>
            <w:tcW w:w="728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72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Net cash provided by operating activities</w:t>
            </w:r>
          </w:p>
        </w:tc>
        <w:tc>
          <w:tcPr>
            <w:tcW w:w="20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27,029</w:t>
            </w:r>
          </w:p>
        </w:tc>
        <w:tc>
          <w:tcPr>
            <w:tcW w:w="34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69,408</w:t>
            </w:r>
          </w:p>
        </w:tc>
        <w:tc>
          <w:tcPr>
            <w:tcW w:w="0" w:type="dxa"/>
            <w:vAlign w:val="bottom"/>
          </w:tcPr>
          <w:p>
            <w:pPr>
              <w:spacing w:after="0"/>
              <w:rPr>
                <w:sz w:val="1"/>
                <w:szCs w:val="1"/>
                <w:color w:val="auto"/>
              </w:rPr>
            </w:pPr>
          </w:p>
        </w:tc>
      </w:tr>
      <w:tr>
        <w:trPr>
          <w:trHeight w:val="204"/>
        </w:trPr>
        <w:tc>
          <w:tcPr>
            <w:tcW w:w="7280" w:type="dxa"/>
            <w:vAlign w:val="bottom"/>
          </w:tcPr>
          <w:p>
            <w:pPr>
              <w:ind w:left="40"/>
              <w:spacing w:after="0"/>
              <w:rPr>
                <w:sz w:val="20"/>
                <w:szCs w:val="20"/>
                <w:color w:val="auto"/>
              </w:rPr>
            </w:pPr>
            <w:r>
              <w:rPr>
                <w:rFonts w:ascii="Times New Roman" w:cs="Times New Roman" w:eastAsia="Times New Roman" w:hAnsi="Times New Roman"/>
                <w:sz w:val="16"/>
                <w:szCs w:val="16"/>
                <w:b w:val="1"/>
                <w:bCs w:val="1"/>
                <w:color w:val="auto"/>
              </w:rPr>
              <w:t>Investing activities:</w:t>
            </w:r>
          </w:p>
        </w:tc>
        <w:tc>
          <w:tcPr>
            <w:tcW w:w="200" w:type="dxa"/>
            <w:vAlign w:val="bottom"/>
            <w:tcBorders>
              <w:top w:val="single" w:sz="8" w:color="auto"/>
            </w:tcBorders>
          </w:tcPr>
          <w:p>
            <w:pPr>
              <w:spacing w:after="0"/>
              <w:rPr>
                <w:sz w:val="17"/>
                <w:szCs w:val="17"/>
                <w:color w:val="auto"/>
              </w:rPr>
            </w:pPr>
          </w:p>
        </w:tc>
        <w:tc>
          <w:tcPr>
            <w:tcW w:w="1420" w:type="dxa"/>
            <w:vAlign w:val="bottom"/>
            <w:tcBorders>
              <w:top w:val="single" w:sz="8" w:color="auto"/>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68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60"/>
        </w:trPr>
        <w:tc>
          <w:tcPr>
            <w:tcW w:w="72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420" w:type="dxa"/>
            <w:vAlign w:val="bottom"/>
          </w:tcPr>
          <w:p>
            <w:pPr>
              <w:spacing w:after="0"/>
              <w:rPr>
                <w:sz w:val="5"/>
                <w:szCs w:val="5"/>
                <w:color w:val="auto"/>
              </w:rPr>
            </w:pPr>
          </w:p>
        </w:tc>
        <w:tc>
          <w:tcPr>
            <w:tcW w:w="340" w:type="dxa"/>
            <w:vAlign w:val="bottom"/>
          </w:tcPr>
          <w:p>
            <w:pPr>
              <w:spacing w:after="0"/>
              <w:rPr>
                <w:sz w:val="5"/>
                <w:szCs w:val="5"/>
                <w:color w:val="auto"/>
              </w:rPr>
            </w:pPr>
          </w:p>
        </w:tc>
        <w:tc>
          <w:tcPr>
            <w:tcW w:w="16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7"/>
        </w:trPr>
        <w:tc>
          <w:tcPr>
            <w:tcW w:w="72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Purchases of property, plant, and equipment</w:t>
            </w:r>
          </w:p>
        </w:tc>
        <w:tc>
          <w:tcPr>
            <w:tcW w:w="20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(19,499)</w:t>
            </w:r>
          </w:p>
        </w:tc>
        <w:tc>
          <w:tcPr>
            <w:tcW w:w="340" w:type="dxa"/>
            <w:vAlign w:val="bottom"/>
            <w:tcBorders>
              <w:bottom w:val="single" w:sz="8" w:color="CCEEFF"/>
            </w:tcBorders>
            <w:shd w:val="clear" w:color="auto" w:fill="CCEEFF"/>
          </w:tcPr>
          <w:p>
            <w:pPr>
              <w:spacing w:after="0"/>
              <w:rPr>
                <w:sz w:val="22"/>
                <w:szCs w:val="22"/>
                <w:color w:val="auto"/>
              </w:rPr>
            </w:pP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(24,757)</w:t>
            </w:r>
          </w:p>
        </w:tc>
        <w:tc>
          <w:tcPr>
            <w:tcW w:w="0" w:type="dxa"/>
            <w:vAlign w:val="bottom"/>
          </w:tcPr>
          <w:p>
            <w:pPr>
              <w:spacing w:after="0"/>
              <w:rPr>
                <w:sz w:val="1"/>
                <w:szCs w:val="1"/>
                <w:color w:val="auto"/>
              </w:rPr>
            </w:pPr>
          </w:p>
        </w:tc>
      </w:tr>
      <w:tr>
        <w:trPr>
          <w:trHeight w:val="217"/>
        </w:trPr>
        <w:tc>
          <w:tcPr>
            <w:tcW w:w="72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Net cash used in investing activities</w:t>
            </w:r>
          </w:p>
        </w:tc>
        <w:tc>
          <w:tcPr>
            <w:tcW w:w="20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(19,499)</w:t>
            </w:r>
          </w:p>
        </w:tc>
        <w:tc>
          <w:tcPr>
            <w:tcW w:w="340" w:type="dxa"/>
            <w:vAlign w:val="bottom"/>
            <w:tcBorders>
              <w:top w:val="single" w:sz="8" w:color="auto"/>
            </w:tcBorders>
          </w:tcPr>
          <w:p>
            <w:pPr>
              <w:spacing w:after="0"/>
              <w:rPr>
                <w:sz w:val="18"/>
                <w:szCs w:val="18"/>
                <w:color w:val="auto"/>
              </w:rPr>
            </w:pPr>
          </w:p>
        </w:tc>
        <w:tc>
          <w:tcPr>
            <w:tcW w:w="168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(24,757)</w:t>
            </w:r>
          </w:p>
        </w:tc>
        <w:tc>
          <w:tcPr>
            <w:tcW w:w="0" w:type="dxa"/>
            <w:vAlign w:val="bottom"/>
          </w:tcPr>
          <w:p>
            <w:pPr>
              <w:spacing w:after="0"/>
              <w:rPr>
                <w:sz w:val="1"/>
                <w:szCs w:val="1"/>
                <w:color w:val="auto"/>
              </w:rPr>
            </w:pPr>
          </w:p>
        </w:tc>
      </w:tr>
      <w:tr>
        <w:trPr>
          <w:trHeight w:val="33"/>
        </w:trPr>
        <w:tc>
          <w:tcPr>
            <w:tcW w:w="728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72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6"/>
                <w:szCs w:val="16"/>
                <w:b w:val="1"/>
                <w:bCs w:val="1"/>
                <w:color w:val="auto"/>
              </w:rPr>
              <w:t>Financing activities:</w:t>
            </w:r>
          </w:p>
        </w:tc>
        <w:tc>
          <w:tcPr>
            <w:tcW w:w="20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6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60"/>
        </w:trPr>
        <w:tc>
          <w:tcPr>
            <w:tcW w:w="7280" w:type="dxa"/>
            <w:vAlign w:val="bottom"/>
            <w:shd w:val="clear" w:color="auto" w:fill="CCEEFF"/>
          </w:tcPr>
          <w:p>
            <w:pPr>
              <w:spacing w:after="0"/>
              <w:rPr>
                <w:sz w:val="5"/>
                <w:szCs w:val="5"/>
                <w:color w:val="auto"/>
              </w:rPr>
            </w:pPr>
          </w:p>
        </w:tc>
        <w:tc>
          <w:tcPr>
            <w:tcW w:w="200" w:type="dxa"/>
            <w:vAlign w:val="bottom"/>
            <w:shd w:val="clear" w:color="auto" w:fill="CCEEFF"/>
          </w:tcPr>
          <w:p>
            <w:pPr>
              <w:spacing w:after="0"/>
              <w:rPr>
                <w:sz w:val="5"/>
                <w:szCs w:val="5"/>
                <w:color w:val="auto"/>
              </w:rPr>
            </w:pPr>
          </w:p>
        </w:tc>
        <w:tc>
          <w:tcPr>
            <w:tcW w:w="1420" w:type="dxa"/>
            <w:vAlign w:val="bottom"/>
            <w:shd w:val="clear" w:color="auto" w:fill="CCEEFF"/>
          </w:tcPr>
          <w:p>
            <w:pPr>
              <w:spacing w:after="0"/>
              <w:rPr>
                <w:sz w:val="5"/>
                <w:szCs w:val="5"/>
                <w:color w:val="auto"/>
              </w:rPr>
            </w:pPr>
          </w:p>
        </w:tc>
        <w:tc>
          <w:tcPr>
            <w:tcW w:w="340" w:type="dxa"/>
            <w:vAlign w:val="bottom"/>
            <w:shd w:val="clear" w:color="auto" w:fill="CCEEFF"/>
          </w:tcPr>
          <w:p>
            <w:pPr>
              <w:spacing w:after="0"/>
              <w:rPr>
                <w:sz w:val="5"/>
                <w:szCs w:val="5"/>
                <w:color w:val="auto"/>
              </w:rPr>
            </w:pPr>
          </w:p>
        </w:tc>
        <w:tc>
          <w:tcPr>
            <w:tcW w:w="168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24"/>
        </w:trPr>
        <w:tc>
          <w:tcPr>
            <w:tcW w:w="72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Payments on capital leases</w:t>
            </w:r>
          </w:p>
        </w:tc>
        <w:tc>
          <w:tcPr>
            <w:tcW w:w="20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340" w:type="dxa"/>
            <w:vAlign w:val="bottom"/>
          </w:tcPr>
          <w:p>
            <w:pPr>
              <w:spacing w:after="0"/>
              <w:rPr>
                <w:sz w:val="19"/>
                <w:szCs w:val="19"/>
                <w:color w:val="auto"/>
              </w:rPr>
            </w:pPr>
          </w:p>
        </w:tc>
        <w:tc>
          <w:tcPr>
            <w:tcW w:w="16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(22)</w:t>
            </w:r>
          </w:p>
        </w:tc>
        <w:tc>
          <w:tcPr>
            <w:tcW w:w="0" w:type="dxa"/>
            <w:vAlign w:val="bottom"/>
          </w:tcPr>
          <w:p>
            <w:pPr>
              <w:spacing w:after="0"/>
              <w:rPr>
                <w:sz w:val="1"/>
                <w:szCs w:val="1"/>
                <w:color w:val="auto"/>
              </w:rPr>
            </w:pPr>
          </w:p>
        </w:tc>
      </w:tr>
      <w:tr>
        <w:trPr>
          <w:trHeight w:val="33"/>
        </w:trPr>
        <w:tc>
          <w:tcPr>
            <w:tcW w:w="7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2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Repayments on financing obligations</w:t>
            </w:r>
          </w:p>
        </w:tc>
        <w:tc>
          <w:tcPr>
            <w:tcW w:w="20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(63)</w:t>
            </w:r>
          </w:p>
        </w:tc>
        <w:tc>
          <w:tcPr>
            <w:tcW w:w="340" w:type="dxa"/>
            <w:vAlign w:val="bottom"/>
            <w:tcBorders>
              <w:bottom w:val="single" w:sz="8" w:color="CCEEFF"/>
            </w:tcBorders>
            <w:shd w:val="clear" w:color="auto" w:fill="CCEEFF"/>
          </w:tcPr>
          <w:p>
            <w:pPr>
              <w:spacing w:after="0"/>
              <w:rPr>
                <w:sz w:val="20"/>
                <w:szCs w:val="20"/>
                <w:color w:val="auto"/>
              </w:rPr>
            </w:pP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(61)</w:t>
            </w:r>
          </w:p>
        </w:tc>
        <w:tc>
          <w:tcPr>
            <w:tcW w:w="0" w:type="dxa"/>
            <w:vAlign w:val="bottom"/>
          </w:tcPr>
          <w:p>
            <w:pPr>
              <w:spacing w:after="0"/>
              <w:rPr>
                <w:sz w:val="1"/>
                <w:szCs w:val="1"/>
                <w:color w:val="auto"/>
              </w:rPr>
            </w:pPr>
          </w:p>
        </w:tc>
      </w:tr>
      <w:tr>
        <w:trPr>
          <w:trHeight w:val="224"/>
        </w:trPr>
        <w:tc>
          <w:tcPr>
            <w:tcW w:w="72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Payments on revolving credit line</w:t>
            </w:r>
          </w:p>
        </w:tc>
        <w:tc>
          <w:tcPr>
            <w:tcW w:w="20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340" w:type="dxa"/>
            <w:vAlign w:val="bottom"/>
          </w:tcPr>
          <w:p>
            <w:pPr>
              <w:spacing w:after="0"/>
              <w:rPr>
                <w:sz w:val="19"/>
                <w:szCs w:val="19"/>
                <w:color w:val="auto"/>
              </w:rPr>
            </w:pPr>
          </w:p>
        </w:tc>
        <w:tc>
          <w:tcPr>
            <w:tcW w:w="16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(25,000)</w:t>
            </w:r>
          </w:p>
        </w:tc>
        <w:tc>
          <w:tcPr>
            <w:tcW w:w="0" w:type="dxa"/>
            <w:vAlign w:val="bottom"/>
          </w:tcPr>
          <w:p>
            <w:pPr>
              <w:spacing w:after="0"/>
              <w:rPr>
                <w:sz w:val="1"/>
                <w:szCs w:val="1"/>
                <w:color w:val="auto"/>
              </w:rPr>
            </w:pPr>
          </w:p>
        </w:tc>
      </w:tr>
      <w:tr>
        <w:trPr>
          <w:trHeight w:val="33"/>
        </w:trPr>
        <w:tc>
          <w:tcPr>
            <w:tcW w:w="7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2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Payments on term loan debt</w:t>
            </w:r>
          </w:p>
        </w:tc>
        <w:tc>
          <w:tcPr>
            <w:tcW w:w="20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(3,543)</w:t>
            </w:r>
          </w:p>
        </w:tc>
        <w:tc>
          <w:tcPr>
            <w:tcW w:w="340" w:type="dxa"/>
            <w:vAlign w:val="bottom"/>
            <w:tcBorders>
              <w:bottom w:val="single" w:sz="8" w:color="CCEEFF"/>
            </w:tcBorders>
            <w:shd w:val="clear" w:color="auto" w:fill="CCEEFF"/>
          </w:tcPr>
          <w:p>
            <w:pPr>
              <w:spacing w:after="0"/>
              <w:rPr>
                <w:sz w:val="20"/>
                <w:szCs w:val="20"/>
                <w:color w:val="auto"/>
              </w:rPr>
            </w:pP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(2,905)</w:t>
            </w:r>
          </w:p>
        </w:tc>
        <w:tc>
          <w:tcPr>
            <w:tcW w:w="0" w:type="dxa"/>
            <w:vAlign w:val="bottom"/>
          </w:tcPr>
          <w:p>
            <w:pPr>
              <w:spacing w:after="0"/>
              <w:rPr>
                <w:sz w:val="1"/>
                <w:szCs w:val="1"/>
                <w:color w:val="auto"/>
              </w:rPr>
            </w:pPr>
          </w:p>
        </w:tc>
      </w:tr>
      <w:tr>
        <w:trPr>
          <w:trHeight w:val="224"/>
        </w:trPr>
        <w:tc>
          <w:tcPr>
            <w:tcW w:w="72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Equity contributions</w:t>
            </w:r>
          </w:p>
        </w:tc>
        <w:tc>
          <w:tcPr>
            <w:tcW w:w="20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340" w:type="dxa"/>
            <w:vAlign w:val="bottom"/>
          </w:tcPr>
          <w:p>
            <w:pPr>
              <w:spacing w:after="0"/>
              <w:rPr>
                <w:sz w:val="19"/>
                <w:szCs w:val="19"/>
                <w:color w:val="auto"/>
              </w:rPr>
            </w:pPr>
          </w:p>
        </w:tc>
        <w:tc>
          <w:tcPr>
            <w:tcW w:w="16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40</w:t>
            </w:r>
          </w:p>
        </w:tc>
        <w:tc>
          <w:tcPr>
            <w:tcW w:w="0" w:type="dxa"/>
            <w:vAlign w:val="bottom"/>
          </w:tcPr>
          <w:p>
            <w:pPr>
              <w:spacing w:after="0"/>
              <w:rPr>
                <w:sz w:val="1"/>
                <w:szCs w:val="1"/>
                <w:color w:val="auto"/>
              </w:rPr>
            </w:pPr>
          </w:p>
        </w:tc>
      </w:tr>
      <w:tr>
        <w:trPr>
          <w:trHeight w:val="33"/>
        </w:trPr>
        <w:tc>
          <w:tcPr>
            <w:tcW w:w="7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2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Dividend to non-controlling interest</w:t>
            </w:r>
          </w:p>
        </w:tc>
        <w:tc>
          <w:tcPr>
            <w:tcW w:w="20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360</w:t>
            </w:r>
          </w:p>
        </w:tc>
        <w:tc>
          <w:tcPr>
            <w:tcW w:w="340" w:type="dxa"/>
            <w:vAlign w:val="bottom"/>
            <w:tcBorders>
              <w:bottom w:val="single" w:sz="8" w:color="CCEEFF"/>
            </w:tcBorders>
            <w:shd w:val="clear" w:color="auto" w:fill="CCEEFF"/>
          </w:tcPr>
          <w:p>
            <w:pPr>
              <w:spacing w:after="0"/>
              <w:rPr>
                <w:sz w:val="20"/>
                <w:szCs w:val="20"/>
                <w:color w:val="auto"/>
              </w:rPr>
            </w:pP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24"/>
        </w:trPr>
        <w:tc>
          <w:tcPr>
            <w:tcW w:w="72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Distribution to members</w:t>
            </w:r>
          </w:p>
        </w:tc>
        <w:tc>
          <w:tcPr>
            <w:tcW w:w="20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(30,000)</w:t>
            </w:r>
          </w:p>
        </w:tc>
        <w:tc>
          <w:tcPr>
            <w:tcW w:w="340" w:type="dxa"/>
            <w:vAlign w:val="bottom"/>
          </w:tcPr>
          <w:p>
            <w:pPr>
              <w:spacing w:after="0"/>
              <w:rPr>
                <w:sz w:val="19"/>
                <w:szCs w:val="19"/>
                <w:color w:val="auto"/>
              </w:rPr>
            </w:pPr>
          </w:p>
        </w:tc>
        <w:tc>
          <w:tcPr>
            <w:tcW w:w="16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33"/>
        </w:trPr>
        <w:tc>
          <w:tcPr>
            <w:tcW w:w="728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72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Net cash used in financing activities</w:t>
            </w:r>
          </w:p>
        </w:tc>
        <w:tc>
          <w:tcPr>
            <w:tcW w:w="20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(33,246)</w:t>
            </w:r>
          </w:p>
        </w:tc>
        <w:tc>
          <w:tcPr>
            <w:tcW w:w="34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(27,948)</w:t>
            </w:r>
          </w:p>
        </w:tc>
        <w:tc>
          <w:tcPr>
            <w:tcW w:w="0" w:type="dxa"/>
            <w:vAlign w:val="bottom"/>
          </w:tcPr>
          <w:p>
            <w:pPr>
              <w:spacing w:after="0"/>
              <w:rPr>
                <w:sz w:val="1"/>
                <w:szCs w:val="1"/>
                <w:color w:val="auto"/>
              </w:rPr>
            </w:pPr>
          </w:p>
        </w:tc>
      </w:tr>
      <w:tr>
        <w:trPr>
          <w:trHeight w:val="217"/>
        </w:trPr>
        <w:tc>
          <w:tcPr>
            <w:tcW w:w="72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Effect of foreign exchange rate on cash</w:t>
            </w:r>
          </w:p>
        </w:tc>
        <w:tc>
          <w:tcPr>
            <w:tcW w:w="20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411</w:t>
            </w:r>
          </w:p>
        </w:tc>
        <w:tc>
          <w:tcPr>
            <w:tcW w:w="340" w:type="dxa"/>
            <w:vAlign w:val="bottom"/>
            <w:tcBorders>
              <w:top w:val="single" w:sz="8" w:color="auto"/>
            </w:tcBorders>
          </w:tcPr>
          <w:p>
            <w:pPr>
              <w:spacing w:after="0"/>
              <w:rPr>
                <w:sz w:val="18"/>
                <w:szCs w:val="18"/>
                <w:color w:val="auto"/>
              </w:rPr>
            </w:pPr>
          </w:p>
        </w:tc>
        <w:tc>
          <w:tcPr>
            <w:tcW w:w="168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1,080</w:t>
            </w:r>
          </w:p>
        </w:tc>
        <w:tc>
          <w:tcPr>
            <w:tcW w:w="0" w:type="dxa"/>
            <w:vAlign w:val="bottom"/>
          </w:tcPr>
          <w:p>
            <w:pPr>
              <w:spacing w:after="0"/>
              <w:rPr>
                <w:sz w:val="1"/>
                <w:szCs w:val="1"/>
                <w:color w:val="auto"/>
              </w:rPr>
            </w:pPr>
          </w:p>
        </w:tc>
      </w:tr>
      <w:tr>
        <w:trPr>
          <w:trHeight w:val="33"/>
        </w:trPr>
        <w:tc>
          <w:tcPr>
            <w:tcW w:w="728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72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Net (decrease) increase in cash, cash equivalents, and restricted cash</w:t>
            </w:r>
          </w:p>
        </w:tc>
        <w:tc>
          <w:tcPr>
            <w:tcW w:w="20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(25,305)</w:t>
            </w:r>
          </w:p>
        </w:tc>
        <w:tc>
          <w:tcPr>
            <w:tcW w:w="340" w:type="dxa"/>
            <w:vAlign w:val="bottom"/>
            <w:tcBorders>
              <w:bottom w:val="single" w:sz="8" w:color="CCEEFF"/>
            </w:tcBorders>
            <w:shd w:val="clear" w:color="auto" w:fill="CCEEFF"/>
          </w:tcPr>
          <w:p>
            <w:pPr>
              <w:spacing w:after="0"/>
              <w:rPr>
                <w:sz w:val="20"/>
                <w:szCs w:val="20"/>
                <w:color w:val="auto"/>
              </w:rPr>
            </w:pP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17,783</w:t>
            </w:r>
          </w:p>
        </w:tc>
        <w:tc>
          <w:tcPr>
            <w:tcW w:w="0" w:type="dxa"/>
            <w:vAlign w:val="bottom"/>
          </w:tcPr>
          <w:p>
            <w:pPr>
              <w:spacing w:after="0"/>
              <w:rPr>
                <w:sz w:val="1"/>
                <w:szCs w:val="1"/>
                <w:color w:val="auto"/>
              </w:rPr>
            </w:pPr>
          </w:p>
        </w:tc>
      </w:tr>
      <w:tr>
        <w:trPr>
          <w:trHeight w:val="224"/>
        </w:trPr>
        <w:tc>
          <w:tcPr>
            <w:tcW w:w="72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Cash, cash equivalents, and restricted cash – beginning of period</w:t>
            </w:r>
          </w:p>
        </w:tc>
        <w:tc>
          <w:tcPr>
            <w:tcW w:w="20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77,922</w:t>
            </w:r>
          </w:p>
        </w:tc>
        <w:tc>
          <w:tcPr>
            <w:tcW w:w="340" w:type="dxa"/>
            <w:vAlign w:val="bottom"/>
          </w:tcPr>
          <w:p>
            <w:pPr>
              <w:spacing w:after="0"/>
              <w:rPr>
                <w:sz w:val="19"/>
                <w:szCs w:val="19"/>
                <w:color w:val="auto"/>
              </w:rPr>
            </w:pPr>
          </w:p>
        </w:tc>
        <w:tc>
          <w:tcPr>
            <w:tcW w:w="16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37,546</w:t>
            </w:r>
          </w:p>
        </w:tc>
        <w:tc>
          <w:tcPr>
            <w:tcW w:w="0" w:type="dxa"/>
            <w:vAlign w:val="bottom"/>
          </w:tcPr>
          <w:p>
            <w:pPr>
              <w:spacing w:after="0"/>
              <w:rPr>
                <w:sz w:val="1"/>
                <w:szCs w:val="1"/>
                <w:color w:val="auto"/>
              </w:rPr>
            </w:pPr>
          </w:p>
        </w:tc>
      </w:tr>
      <w:tr>
        <w:trPr>
          <w:trHeight w:val="33"/>
        </w:trPr>
        <w:tc>
          <w:tcPr>
            <w:tcW w:w="728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5"/>
        </w:trPr>
        <w:tc>
          <w:tcPr>
            <w:tcW w:w="72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Cash, cash equivalents, and restricted cash – end of period</w:t>
            </w: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52,617</w:t>
            </w:r>
          </w:p>
        </w:tc>
        <w:tc>
          <w:tcPr>
            <w:tcW w:w="340" w:type="dxa"/>
            <w:vAlign w:val="bottom"/>
            <w:tcBorders>
              <w:bottom w:val="single" w:sz="8" w:color="CCEEFF"/>
            </w:tcBorders>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rPr>
              <w:t>$</w:t>
            </w: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55,239</w:t>
            </w:r>
          </w:p>
        </w:tc>
        <w:tc>
          <w:tcPr>
            <w:tcW w:w="0" w:type="dxa"/>
            <w:vAlign w:val="bottom"/>
          </w:tcPr>
          <w:p>
            <w:pPr>
              <w:spacing w:after="0"/>
              <w:rPr>
                <w:sz w:val="1"/>
                <w:szCs w:val="1"/>
                <w:color w:val="auto"/>
              </w:rPr>
            </w:pPr>
          </w:p>
        </w:tc>
      </w:tr>
      <w:tr>
        <w:trPr>
          <w:trHeight w:val="20"/>
        </w:trPr>
        <w:tc>
          <w:tcPr>
            <w:tcW w:w="7280" w:type="dxa"/>
            <w:vAlign w:val="bottom"/>
            <w:tcBorders>
              <w:top w:val="single" w:sz="8" w:color="CCEEFF"/>
              <w:bottom w:val="single" w:sz="8" w:color="CCEEFF"/>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Cash and cash equivalents – end of period</w:t>
            </w:r>
          </w:p>
        </w:tc>
        <w:tc>
          <w:tcPr>
            <w:tcW w:w="20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6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7280" w:type="dxa"/>
            <w:vAlign w:val="bottom"/>
            <w:vMerge w:val="continue"/>
          </w:tcPr>
          <w:p>
            <w:pPr>
              <w:spacing w:after="0"/>
              <w:rPr>
                <w:sz w:val="17"/>
                <w:szCs w:val="17"/>
                <w:color w:val="auto"/>
              </w:rPr>
            </w:pPr>
          </w:p>
        </w:tc>
        <w:tc>
          <w:tcPr>
            <w:tcW w:w="2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48,224</w:t>
            </w:r>
          </w:p>
        </w:tc>
        <w:tc>
          <w:tcPr>
            <w:tcW w:w="34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w:t>
            </w:r>
          </w:p>
        </w:tc>
        <w:tc>
          <w:tcPr>
            <w:tcW w:w="16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50,297</w:t>
            </w:r>
          </w:p>
        </w:tc>
        <w:tc>
          <w:tcPr>
            <w:tcW w:w="0" w:type="dxa"/>
            <w:vAlign w:val="bottom"/>
          </w:tcPr>
          <w:p>
            <w:pPr>
              <w:spacing w:after="0"/>
              <w:rPr>
                <w:sz w:val="1"/>
                <w:szCs w:val="1"/>
                <w:color w:val="auto"/>
              </w:rPr>
            </w:pPr>
          </w:p>
        </w:tc>
      </w:tr>
      <w:tr>
        <w:trPr>
          <w:trHeight w:val="33"/>
        </w:trPr>
        <w:tc>
          <w:tcPr>
            <w:tcW w:w="7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72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Restricted cash – end of period</w:t>
            </w:r>
          </w:p>
        </w:tc>
        <w:tc>
          <w:tcPr>
            <w:tcW w:w="20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4,393</w:t>
            </w:r>
          </w:p>
        </w:tc>
        <w:tc>
          <w:tcPr>
            <w:tcW w:w="340" w:type="dxa"/>
            <w:vAlign w:val="bottom"/>
            <w:tcBorders>
              <w:bottom w:val="single" w:sz="8" w:color="CCEEFF"/>
            </w:tcBorders>
            <w:shd w:val="clear" w:color="auto" w:fill="CCEEFF"/>
          </w:tcPr>
          <w:p>
            <w:pPr>
              <w:spacing w:after="0"/>
              <w:rPr>
                <w:sz w:val="22"/>
                <w:szCs w:val="22"/>
                <w:color w:val="auto"/>
              </w:rPr>
            </w:pP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5,032</w:t>
            </w:r>
          </w:p>
        </w:tc>
        <w:tc>
          <w:tcPr>
            <w:tcW w:w="0" w:type="dxa"/>
            <w:vAlign w:val="bottom"/>
          </w:tcPr>
          <w:p>
            <w:pPr>
              <w:spacing w:after="0"/>
              <w:rPr>
                <w:sz w:val="1"/>
                <w:szCs w:val="1"/>
                <w:color w:val="auto"/>
              </w:rPr>
            </w:pPr>
          </w:p>
        </w:tc>
      </w:tr>
      <w:tr>
        <w:trPr>
          <w:trHeight w:val="217"/>
        </w:trPr>
        <w:tc>
          <w:tcPr>
            <w:tcW w:w="72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Cash, cash equivalents, and restricted cash – end of period</w:t>
            </w:r>
          </w:p>
        </w:tc>
        <w:tc>
          <w:tcPr>
            <w:tcW w:w="20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4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52,617</w:t>
            </w:r>
          </w:p>
        </w:tc>
        <w:tc>
          <w:tcPr>
            <w:tcW w:w="340" w:type="dxa"/>
            <w:vAlign w:val="bottom"/>
            <w:tcBorders>
              <w:top w:val="single" w:sz="8" w:color="auto"/>
            </w:tcBorders>
          </w:tcPr>
          <w:p>
            <w:pPr>
              <w:jc w:val="right"/>
              <w:ind w:right="119"/>
              <w:spacing w:after="0"/>
              <w:rPr>
                <w:sz w:val="20"/>
                <w:szCs w:val="20"/>
                <w:color w:val="auto"/>
              </w:rPr>
            </w:pPr>
            <w:r>
              <w:rPr>
                <w:rFonts w:ascii="Times New Roman" w:cs="Times New Roman" w:eastAsia="Times New Roman" w:hAnsi="Times New Roman"/>
                <w:sz w:val="16"/>
                <w:szCs w:val="16"/>
                <w:color w:val="auto"/>
              </w:rPr>
              <w:t>$</w:t>
            </w:r>
          </w:p>
        </w:tc>
        <w:tc>
          <w:tcPr>
            <w:tcW w:w="168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55,329</w:t>
            </w:r>
          </w:p>
        </w:tc>
        <w:tc>
          <w:tcPr>
            <w:tcW w:w="0" w:type="dxa"/>
            <w:vAlign w:val="bottom"/>
          </w:tcPr>
          <w:p>
            <w:pPr>
              <w:spacing w:after="0"/>
              <w:rPr>
                <w:sz w:val="1"/>
                <w:szCs w:val="1"/>
                <w:color w:val="auto"/>
              </w:rPr>
            </w:pPr>
          </w:p>
        </w:tc>
      </w:tr>
      <w:tr>
        <w:trPr>
          <w:trHeight w:val="73"/>
        </w:trPr>
        <w:tc>
          <w:tcPr>
            <w:tcW w:w="7280" w:type="dxa"/>
            <w:vAlign w:val="bottom"/>
            <w:tcBorders>
              <w:bottom w:val="single" w:sz="8" w:color="CCEEFF"/>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1420" w:type="dxa"/>
            <w:vAlign w:val="bottom"/>
            <w:tcBorders>
              <w:bottom w:val="single" w:sz="8" w:color="auto"/>
            </w:tcBorders>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168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77"/>
        </w:trPr>
        <w:tc>
          <w:tcPr>
            <w:tcW w:w="7280" w:type="dxa"/>
            <w:vAlign w:val="bottom"/>
            <w:shd w:val="clear" w:color="auto" w:fill="CCEEFF"/>
          </w:tcPr>
          <w:p>
            <w:pPr>
              <w:ind w:left="40"/>
              <w:spacing w:after="0" w:line="177" w:lineRule="exact"/>
              <w:rPr>
                <w:sz w:val="20"/>
                <w:szCs w:val="20"/>
                <w:color w:val="auto"/>
              </w:rPr>
            </w:pPr>
            <w:r>
              <w:rPr>
                <w:rFonts w:ascii="Times New Roman" w:cs="Times New Roman" w:eastAsia="Times New Roman" w:hAnsi="Times New Roman"/>
                <w:sz w:val="16"/>
                <w:szCs w:val="16"/>
                <w:b w:val="1"/>
                <w:bCs w:val="1"/>
                <w:color w:val="auto"/>
              </w:rPr>
              <w:t>Schedule of Non-Cash Investing and Financing Activities:</w:t>
            </w:r>
          </w:p>
        </w:tc>
        <w:tc>
          <w:tcPr>
            <w:tcW w:w="200" w:type="dxa"/>
            <w:vAlign w:val="bottom"/>
            <w:shd w:val="clear" w:color="auto" w:fill="CCEEFF"/>
          </w:tcPr>
          <w:p>
            <w:pPr>
              <w:spacing w:after="0"/>
              <w:rPr>
                <w:sz w:val="15"/>
                <w:szCs w:val="15"/>
                <w:color w:val="auto"/>
              </w:rPr>
            </w:pPr>
          </w:p>
        </w:tc>
        <w:tc>
          <w:tcPr>
            <w:tcW w:w="142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168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74"/>
        </w:trPr>
        <w:tc>
          <w:tcPr>
            <w:tcW w:w="7280" w:type="dxa"/>
            <w:vAlign w:val="bottom"/>
            <w:shd w:val="clear" w:color="auto" w:fill="CCEEFF"/>
          </w:tcPr>
          <w:p>
            <w:pPr>
              <w:spacing w:after="0"/>
              <w:rPr>
                <w:sz w:val="6"/>
                <w:szCs w:val="6"/>
                <w:color w:val="auto"/>
              </w:rPr>
            </w:pPr>
          </w:p>
        </w:tc>
        <w:tc>
          <w:tcPr>
            <w:tcW w:w="200" w:type="dxa"/>
            <w:vAlign w:val="bottom"/>
            <w:shd w:val="clear" w:color="auto" w:fill="CCEEFF"/>
          </w:tcPr>
          <w:p>
            <w:pPr>
              <w:spacing w:after="0"/>
              <w:rPr>
                <w:sz w:val="6"/>
                <w:szCs w:val="6"/>
                <w:color w:val="auto"/>
              </w:rPr>
            </w:pPr>
          </w:p>
        </w:tc>
        <w:tc>
          <w:tcPr>
            <w:tcW w:w="1420" w:type="dxa"/>
            <w:vAlign w:val="bottom"/>
            <w:shd w:val="clear" w:color="auto" w:fill="CCEEFF"/>
          </w:tcPr>
          <w:p>
            <w:pPr>
              <w:spacing w:after="0"/>
              <w:rPr>
                <w:sz w:val="6"/>
                <w:szCs w:val="6"/>
                <w:color w:val="auto"/>
              </w:rPr>
            </w:pPr>
          </w:p>
        </w:tc>
        <w:tc>
          <w:tcPr>
            <w:tcW w:w="340" w:type="dxa"/>
            <w:vAlign w:val="bottom"/>
            <w:shd w:val="clear" w:color="auto" w:fill="CCEEFF"/>
          </w:tcPr>
          <w:p>
            <w:pPr>
              <w:spacing w:after="0"/>
              <w:rPr>
                <w:sz w:val="6"/>
                <w:szCs w:val="6"/>
                <w:color w:val="auto"/>
              </w:rPr>
            </w:pPr>
          </w:p>
        </w:tc>
        <w:tc>
          <w:tcPr>
            <w:tcW w:w="168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224"/>
        </w:trPr>
        <w:tc>
          <w:tcPr>
            <w:tcW w:w="72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Purchases of property, plant, and equipment</w:t>
            </w:r>
          </w:p>
        </w:tc>
        <w:tc>
          <w:tcPr>
            <w:tcW w:w="2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1,849</w:t>
            </w:r>
          </w:p>
        </w:tc>
        <w:tc>
          <w:tcPr>
            <w:tcW w:w="34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w:t>
            </w:r>
          </w:p>
        </w:tc>
        <w:tc>
          <w:tcPr>
            <w:tcW w:w="16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2,083</w:t>
            </w:r>
          </w:p>
        </w:tc>
        <w:tc>
          <w:tcPr>
            <w:tcW w:w="0" w:type="dxa"/>
            <w:vAlign w:val="bottom"/>
          </w:tcPr>
          <w:p>
            <w:pPr>
              <w:spacing w:after="0"/>
              <w:rPr>
                <w:sz w:val="1"/>
                <w:szCs w:val="1"/>
                <w:color w:val="auto"/>
              </w:rPr>
            </w:pPr>
          </w:p>
        </w:tc>
      </w:tr>
      <w:tr>
        <w:trPr>
          <w:trHeight w:val="33"/>
        </w:trPr>
        <w:tc>
          <w:tcPr>
            <w:tcW w:w="7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2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Additions to intangible assets</w:t>
            </w: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5,000</w:t>
            </w:r>
          </w:p>
        </w:tc>
        <w:tc>
          <w:tcPr>
            <w:tcW w:w="340" w:type="dxa"/>
            <w:vAlign w:val="bottom"/>
            <w:tcBorders>
              <w:bottom w:val="single" w:sz="8" w:color="CCEEFF"/>
            </w:tcBorders>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rPr>
              <w:t>$</w:t>
            </w:r>
          </w:p>
        </w:tc>
        <w:tc>
          <w:tcPr>
            <w:tcW w:w="16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24"/>
        </w:trPr>
        <w:tc>
          <w:tcPr>
            <w:tcW w:w="72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Distribution to members</w:t>
            </w:r>
          </w:p>
        </w:tc>
        <w:tc>
          <w:tcPr>
            <w:tcW w:w="2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8,562</w:t>
            </w:r>
          </w:p>
        </w:tc>
        <w:tc>
          <w:tcPr>
            <w:tcW w:w="34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w:t>
            </w:r>
          </w:p>
        </w:tc>
        <w:tc>
          <w:tcPr>
            <w:tcW w:w="16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bl>
    <w:p>
      <w:pPr>
        <w:spacing w:after="0" w:line="28" w:lineRule="exact"/>
        <w:rPr>
          <w:sz w:val="20"/>
          <w:szCs w:val="20"/>
          <w:color w:val="auto"/>
        </w:rPr>
      </w:pPr>
    </w:p>
    <w:p>
      <w:pPr>
        <w:ind w:left="2580"/>
        <w:spacing w:after="0"/>
        <w:rPr>
          <w:sz w:val="20"/>
          <w:szCs w:val="20"/>
          <w:color w:val="auto"/>
        </w:rPr>
      </w:pPr>
      <w:r>
        <w:rPr>
          <w:rFonts w:ascii="Times New Roman" w:cs="Times New Roman" w:eastAsia="Times New Roman" w:hAnsi="Times New Roman"/>
          <w:sz w:val="18"/>
          <w:szCs w:val="18"/>
          <w:color w:val="auto"/>
        </w:rPr>
        <w:t>The accompanying notes are an integral part of these consolidated financial statements.</w:t>
      </w:r>
    </w:p>
    <w:p>
      <w:pPr>
        <w:sectPr>
          <w:pgSz w:w="11900" w:h="16838" w:orient="portrait"/>
          <w:cols w:equalWidth="0" w:num="1">
            <w:col w:w="10920"/>
          </w:cols>
          <w:pgMar w:left="240" w:top="117" w:right="739" w:bottom="1440" w:gutter="0" w:footer="0" w:header="0"/>
        </w:sectPr>
      </w:pPr>
    </w:p>
    <w:p>
      <w:pPr>
        <w:spacing w:after="0" w:line="252" w:lineRule="exact"/>
        <w:rPr>
          <w:sz w:val="20"/>
          <w:szCs w:val="20"/>
          <w:color w:val="auto"/>
        </w:rPr>
      </w:pPr>
    </w:p>
    <w:p>
      <w:pPr>
        <w:jc w:val="center"/>
        <w:ind w:right="-499"/>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10920"/>
          </w:cols>
          <w:pgMar w:left="240" w:top="117" w:right="739" w:bottom="1440" w:gutter="0" w:footer="0" w:header="0"/>
          <w:type w:val="continuous"/>
        </w:sectPr>
      </w:pPr>
    </w:p>
    <w:bookmarkStart w:id="11" w:name="page12"/>
    <w:bookmarkEnd w:id="11"/>
    <w:p>
      <w:pPr>
        <w:jc w:val="center"/>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(unaudited)</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 Nature of Operations and Basis of Presentation</w:t>
      </w:r>
    </w:p>
    <w:p>
      <w:pPr>
        <w:spacing w:after="0" w:line="229" w:lineRule="exact"/>
        <w:rPr>
          <w:sz w:val="20"/>
          <w:szCs w:val="20"/>
          <w:color w:val="auto"/>
        </w:rPr>
      </w:pPr>
    </w:p>
    <w:p>
      <w:pPr>
        <w:spacing w:after="0" w:line="281" w:lineRule="auto"/>
        <w:rPr>
          <w:sz w:val="20"/>
          <w:szCs w:val="20"/>
          <w:color w:val="auto"/>
        </w:rPr>
      </w:pPr>
      <w:r>
        <w:rPr>
          <w:rFonts w:ascii="Times New Roman" w:cs="Times New Roman" w:eastAsia="Times New Roman" w:hAnsi="Times New Roman"/>
          <w:sz w:val="17"/>
          <w:szCs w:val="17"/>
          <w:color w:val="auto"/>
        </w:rPr>
        <w:t>Amneal Pharmaceuticals LLC (“Amneal”) was formed during 2002 and operates through various subsidiaries. Amneal is a vertically-integrated developer, manufacturer, and seller of generic pharmaceutical products. Amneal’s pharmaceutical research includes analytical and formulation development and stability. Amneal has operations in the United States of America (U.S.), Switzerland, India, Ireland and the United Kingdom (U.K.), and certain other countries, primarily in Western Europe. Amneal sells to wholesalers, distributors, hospitals, chain pharmacies and individual pharmacies, either directly or indirectly.</w:t>
      </w:r>
    </w:p>
    <w:p>
      <w:pPr>
        <w:spacing w:after="0" w:line="165" w:lineRule="exact"/>
        <w:rPr>
          <w:sz w:val="20"/>
          <w:szCs w:val="20"/>
          <w:color w:val="auto"/>
        </w:rPr>
      </w:pPr>
    </w:p>
    <w:p>
      <w:pPr>
        <w:ind w:right="120"/>
        <w:spacing w:after="0" w:line="261" w:lineRule="auto"/>
        <w:rPr>
          <w:sz w:val="20"/>
          <w:szCs w:val="20"/>
          <w:color w:val="auto"/>
        </w:rPr>
      </w:pPr>
      <w:r>
        <w:rPr>
          <w:rFonts w:ascii="Times New Roman" w:cs="Times New Roman" w:eastAsia="Times New Roman" w:hAnsi="Times New Roman"/>
          <w:sz w:val="18"/>
          <w:szCs w:val="18"/>
          <w:color w:val="auto"/>
        </w:rPr>
        <w:t>On October 17, 2017, Amneal and Impax Laboratories, LLC (formerly, Impax Laboratories, Inc.) (“Impax”) entered into the Business Combination Agreement dated October 17, 2017, as amended on November 21, 2017 and December 16, 2017 (the “BCA”) with Atlas Holdings, Inc., (now Amneal Pharmaceuticals, Inc., as described below) a Delaware corporation and a then wholly-owned subsidiary of Impax (“Holdco”), K2 Merger Sub Corporation, a Delaware corporation and a then wholly-owned subsidiary of Holdco (“Merger Sub”), and Amneal.</w:t>
      </w:r>
    </w:p>
    <w:p>
      <w:pPr>
        <w:spacing w:after="0" w:line="180" w:lineRule="exact"/>
        <w:rPr>
          <w:sz w:val="20"/>
          <w:szCs w:val="20"/>
          <w:color w:val="auto"/>
        </w:rPr>
      </w:pPr>
    </w:p>
    <w:p>
      <w:pPr>
        <w:ind w:right="60"/>
        <w:spacing w:after="0" w:line="253" w:lineRule="auto"/>
        <w:rPr>
          <w:sz w:val="20"/>
          <w:szCs w:val="20"/>
          <w:color w:val="auto"/>
        </w:rPr>
      </w:pPr>
      <w:r>
        <w:rPr>
          <w:rFonts w:ascii="Times New Roman" w:cs="Times New Roman" w:eastAsia="Times New Roman" w:hAnsi="Times New Roman"/>
          <w:sz w:val="18"/>
          <w:szCs w:val="18"/>
          <w:color w:val="auto"/>
        </w:rPr>
        <w:t>On May 4, 2018 (the “Closing”), pursuant to the BCA, Impax and Amneal combined the generics and specialty pharmaceutical business of Impax with the generic drug development and manufacturing business of Amneal in a transaction that represented an opportunity to create a new generics company, Amneal Pharmaceuticals, Inc. (“New Amneal”) through the following transactions (together the “Combination”): (i) Merger Sub merged with and into Impax, with Impax surviving as a direct wholly-owned subsidiary of New Amneal, (ii) each share of Impax’s common stock, par value $0.01 per share (“Impax Common Stock”), issued and outstanding immediately prior to the Impax merger, other than Impax Common Stock held by Impax in treasury, by Amneal or by any of their respective subsidiaries, was converted into the right to receive one fully paid and nonassessable share of Class A Common Stock of New Amneal, par value $0.01 per share (“Class A Common Stock”), (iii) Impax converted to a Delaware limited liability company, (iv) New Amneal contributed to Amneal all of New Amneal’s equity interests in Impax, in exchange for Amneal common units, (v) New Amneal issued an aggregate number of shares of Class B common stock of New Amneal, par value $0.01 per share (“Class B Common Stock,” and together with Class A Common Stock and Class B-1 Common Stock, “Company Common Stock”) to APHC Holdings, LLC, (formerly, Amneal Holdings, LLC), the parent entity of Amneal, (“Holdings”), and (vi) New Amneal became the managing member of Amneal. As a result of the Combination, holders of Impax Common Stock immediately prior to the Closing collectively held approximately 25%, and Holdings held approximately 75%, of the voting and economic interests in the combined businesses of Impax and Amneal under New Amneal.</w:t>
      </w:r>
    </w:p>
    <w:p>
      <w:pPr>
        <w:spacing w:after="0" w:line="189" w:lineRule="exact"/>
        <w:rPr>
          <w:sz w:val="20"/>
          <w:szCs w:val="20"/>
          <w:color w:val="auto"/>
        </w:rPr>
      </w:pPr>
    </w:p>
    <w:p>
      <w:pPr>
        <w:ind w:right="20"/>
        <w:spacing w:after="0" w:line="261" w:lineRule="auto"/>
        <w:rPr>
          <w:sz w:val="20"/>
          <w:szCs w:val="20"/>
          <w:color w:val="auto"/>
        </w:rPr>
      </w:pPr>
      <w:r>
        <w:rPr>
          <w:rFonts w:ascii="Times New Roman" w:cs="Times New Roman" w:eastAsia="Times New Roman" w:hAnsi="Times New Roman"/>
          <w:sz w:val="18"/>
          <w:szCs w:val="18"/>
          <w:color w:val="auto"/>
        </w:rPr>
        <w:t>Immediately upon the Closing of the Combination, Holdings held a majority interest in New Amneal with an effective voting interest of approximately 75% on a fully diluted and as converted basis through their ownership of Class B Common Stock. Holdings also held a corresponding number of Amneal Common Units, which entitle it to approximately 75% of the economic interests in the combined businesses of Impax and Amneal. New Amneal owned an interest in Amneal of approximately 25% and is its managing member.</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11420"/>
          </w:cols>
          <w:pgMar w:left="240" w:top="117" w:right="239" w:bottom="1440" w:gutter="0" w:footer="0" w:header="0"/>
        </w:sectPr>
      </w:pPr>
    </w:p>
    <w:bookmarkStart w:id="12" w:name="page13"/>
    <w:bookmarkEnd w:id="12"/>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(unaudited)</w:t>
      </w:r>
    </w:p>
    <w:p>
      <w:pPr>
        <w:spacing w:after="0" w:line="234" w:lineRule="exact"/>
        <w:rPr>
          <w:sz w:val="20"/>
          <w:szCs w:val="20"/>
          <w:color w:val="auto"/>
        </w:rPr>
      </w:pPr>
    </w:p>
    <w:p>
      <w:pPr>
        <w:spacing w:after="0" w:line="253" w:lineRule="auto"/>
        <w:rPr>
          <w:sz w:val="20"/>
          <w:szCs w:val="20"/>
          <w:color w:val="auto"/>
        </w:rPr>
      </w:pPr>
      <w:r>
        <w:rPr>
          <w:rFonts w:ascii="Times New Roman" w:cs="Times New Roman" w:eastAsia="Times New Roman" w:hAnsi="Times New Roman"/>
          <w:sz w:val="18"/>
          <w:szCs w:val="18"/>
          <w:color w:val="auto"/>
        </w:rPr>
        <w:t>In connection with the Combination, Holdings entered into definitive purchase agreements which provided for a private placement of certain shares of Class A Common Stock and Class B-1 Common Stock (the “PIPE Investment”) with select institutional investors (the “PIPE Investors”). Pursuant to the terms of the purchase agreements, upon the closing of the Combination, Holdings exercised its right to cause Amneal to redeem approximately 15% of their ownership interests in Amneal in exchange for a corresponding number of unregistered shares of Class A Common Stock or Class B-1 Common Stock (the “Redemption”). The shares of Class A Common Stock and Class B-1 Common Stock received in the Redemption were sold immediately following the Closing by Holdings to the PIPE Investors at a per share purchase price of $18.25 for gross proceeds of $855.0 million. Following the PIPE Investment, the PIPE Investors owned collectively approximately 15% of the Company Common Stock on a fully diluted and as converted basis. On May 4, 2018, Holdings caused Amneal to redeem (the “Closing Date Redemption”) 6.9 million of the Amneal Common Units held by Holdings for a like number of shares of Class A Common Stock, for future distribution to certain direct and indirect members of Holdings who were or are employees of Amneal and to whom were previously issued (prior to the Closing) profit participation units in Amneal. As a result of the PIPE Investment and Closing Date Redemption, the voting and economic interest of approximately 75% held by Holdings immediately upon Closing, was reduced by approximately 18%. As such, the overall interest percentage held by non-controlling interest holders upon the consummation of the Combination, PIPE Investment and Closing Date Redemption (following the distribution of such shares) is approximately 57%.</w:t>
      </w:r>
    </w:p>
    <w:p>
      <w:pPr>
        <w:spacing w:after="0" w:line="189" w:lineRule="exact"/>
        <w:rPr>
          <w:sz w:val="20"/>
          <w:szCs w:val="20"/>
          <w:color w:val="auto"/>
        </w:rPr>
      </w:pPr>
    </w:p>
    <w:p>
      <w:pPr>
        <w:ind w:right="40"/>
        <w:spacing w:after="0" w:line="255" w:lineRule="auto"/>
        <w:rPr>
          <w:sz w:val="20"/>
          <w:szCs w:val="20"/>
          <w:color w:val="auto"/>
        </w:rPr>
      </w:pPr>
      <w:r>
        <w:rPr>
          <w:rFonts w:ascii="Times New Roman" w:cs="Times New Roman" w:eastAsia="Times New Roman" w:hAnsi="Times New Roman"/>
          <w:sz w:val="18"/>
          <w:szCs w:val="18"/>
          <w:color w:val="auto"/>
        </w:rPr>
        <w:t>The accompanying consolidated financial statements should be read in conjunction with Amneal’s annual financial statements for the year ended December 31, 2017. Certain information and footnote disclosures normally included in annual financial statements prepared in accordance with generally accepted accounting principles in the U.S. (“U.S. GAAP”) have been omitted from the accompanying consolidated financial statements. In the opinion of Amneal, the accompanying unaudited consolidated financial statements contain all adjustments, consisting of only normal recurring adjustments, necessary for a fair statement of its financial position as of March 31, 2018, and its results of operations, comprehensive income, changes in members’ deficit, and cash flows for the three months ended March 31, 2018 and 2017. The consolidated balance sheet at December 31, 2017 was derived from audited annual financial statements but does not contain all of the footnote disclosures from the annual financial statements.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 Summary of Significant Accounting Policies</w:t>
      </w:r>
    </w:p>
    <w:p>
      <w:pPr>
        <w:spacing w:after="0" w:line="229" w:lineRule="exact"/>
        <w:rPr>
          <w:sz w:val="20"/>
          <w:szCs w:val="20"/>
          <w:color w:val="auto"/>
        </w:rPr>
      </w:pPr>
    </w:p>
    <w:p>
      <w:pPr>
        <w:ind w:right="220"/>
        <w:spacing w:after="0" w:line="282" w:lineRule="auto"/>
        <w:rPr>
          <w:sz w:val="20"/>
          <w:szCs w:val="20"/>
          <w:color w:val="auto"/>
        </w:rPr>
      </w:pPr>
      <w:r>
        <w:rPr>
          <w:rFonts w:ascii="Times New Roman" w:cs="Times New Roman" w:eastAsia="Times New Roman" w:hAnsi="Times New Roman"/>
          <w:sz w:val="18"/>
          <w:szCs w:val="18"/>
          <w:color w:val="auto"/>
        </w:rPr>
        <w:t>Amneal’s complete Summary of Significant Accounting Policies can be found in Note 2. Summary of Significant Accounting Policies, in Amneal’s annual financial statements for the year ended December 31, 2017. Certain significant accounting policies have been repeated below.</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Principles of Consolidation</w:t>
      </w:r>
    </w:p>
    <w:p>
      <w:pPr>
        <w:spacing w:after="0" w:line="229" w:lineRule="exact"/>
        <w:rPr>
          <w:sz w:val="20"/>
          <w:szCs w:val="20"/>
          <w:color w:val="auto"/>
        </w:rPr>
      </w:pPr>
    </w:p>
    <w:p>
      <w:pPr>
        <w:jc w:val="both"/>
        <w:ind w:right="60"/>
        <w:spacing w:after="0" w:line="266" w:lineRule="auto"/>
        <w:rPr>
          <w:sz w:val="20"/>
          <w:szCs w:val="20"/>
          <w:color w:val="auto"/>
        </w:rPr>
      </w:pPr>
      <w:r>
        <w:rPr>
          <w:rFonts w:ascii="Times New Roman" w:cs="Times New Roman" w:eastAsia="Times New Roman" w:hAnsi="Times New Roman"/>
          <w:sz w:val="18"/>
          <w:szCs w:val="18"/>
          <w:color w:val="auto"/>
        </w:rPr>
        <w:t>The consolidated financial statements include the accounts of Amneal and all of its subsidiaries in which a controlling interest is maintained and are prepared in accordance with generally accepted accounting principles in the U.S. (“U.S. GAAP”). All intercompany transactions and balances have been eliminated in consolidation.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Use of Estimates</w:t>
      </w:r>
    </w:p>
    <w:p>
      <w:pPr>
        <w:spacing w:after="0" w:line="229" w:lineRule="exact"/>
        <w:rPr>
          <w:sz w:val="20"/>
          <w:szCs w:val="20"/>
          <w:color w:val="auto"/>
        </w:rPr>
      </w:pPr>
    </w:p>
    <w:p>
      <w:pPr>
        <w:ind w:right="60"/>
        <w:spacing w:after="0" w:line="256" w:lineRule="auto"/>
        <w:rPr>
          <w:sz w:val="20"/>
          <w:szCs w:val="20"/>
          <w:color w:val="auto"/>
        </w:rPr>
      </w:pPr>
      <w:r>
        <w:rPr>
          <w:rFonts w:ascii="Times New Roman" w:cs="Times New Roman" w:eastAsia="Times New Roman" w:hAnsi="Times New Roman"/>
          <w:sz w:val="18"/>
          <w:szCs w:val="18"/>
          <w:color w:val="auto"/>
        </w:rPr>
        <w:t>The preparation of financial statements in conformity with U.S. GAAP requires Amneal’s management to make estimates and assumptions that affect the reported financial position at the date of the financial statements and the reported results of operations during the reporting period. Such estimates and assumptions affect the reported amounts of assets, liabilities, revenues and expenses, and disclosure of contingent assets and liabilities in the consolidated financial statements and accompanying notes. The following are some, but not all, of such estimates: the determination of chargebacks, sales returns, rebates, bill backs, allowances for accounts receivable, accrued liabilities, valuation of inventory balances, the determination of useful lives for product rights and the assessment of expected cash flows used in evaluating goodwill and other long-lived assets for impairment. Actual results could differ from those estimates.</w:t>
      </w:r>
    </w:p>
    <w:p>
      <w:pPr>
        <w:spacing w:after="0" w:line="200" w:lineRule="exact"/>
        <w:rPr>
          <w:sz w:val="20"/>
          <w:szCs w:val="20"/>
          <w:color w:val="auto"/>
        </w:rPr>
      </w:pPr>
    </w:p>
    <w:p>
      <w:pPr>
        <w:spacing w:after="0" w:line="2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1400"/>
          </w:cols>
          <w:pgMar w:left="240" w:top="117" w:right="259" w:bottom="1440" w:gutter="0" w:footer="0" w:header="0"/>
        </w:sectPr>
      </w:pPr>
    </w:p>
    <w:bookmarkStart w:id="13" w:name="page14"/>
    <w:bookmarkEnd w:id="13"/>
    <w:p>
      <w:pPr>
        <w:jc w:val="center"/>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(unaudited)</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Revenue Recognition</w:t>
      </w:r>
    </w:p>
    <w:p>
      <w:pPr>
        <w:spacing w:after="0" w:line="229" w:lineRule="exact"/>
        <w:rPr>
          <w:sz w:val="20"/>
          <w:szCs w:val="20"/>
          <w:color w:val="auto"/>
        </w:rPr>
      </w:pPr>
    </w:p>
    <w:p>
      <w:pPr>
        <w:ind w:right="240"/>
        <w:spacing w:after="0" w:line="266" w:lineRule="auto"/>
        <w:rPr>
          <w:sz w:val="20"/>
          <w:szCs w:val="20"/>
          <w:color w:val="auto"/>
        </w:rPr>
      </w:pPr>
      <w:r>
        <w:rPr>
          <w:rFonts w:ascii="Times New Roman" w:cs="Times New Roman" w:eastAsia="Times New Roman" w:hAnsi="Times New Roman"/>
          <w:sz w:val="18"/>
          <w:szCs w:val="18"/>
          <w:color w:val="auto"/>
        </w:rPr>
        <w:t>On January 1, 2018, Amneal adopted Accounting Standards Update ("ASU") 2014-09, "Revenue from Contracts with Customers and associated ASU's (collectively "Topic 606"), which sets forth a new five-step revenue recognition model which replaces the prior revenue recognition guidance in its entirety and is intended to eliminate numerous industry-specific sections of revenue recognition guidance that have historically existed.</w:t>
      </w:r>
    </w:p>
    <w:p>
      <w:pPr>
        <w:spacing w:after="0" w:line="176" w:lineRule="exact"/>
        <w:rPr>
          <w:sz w:val="20"/>
          <w:szCs w:val="20"/>
          <w:color w:val="auto"/>
        </w:rPr>
      </w:pPr>
    </w:p>
    <w:p>
      <w:pPr>
        <w:ind w:right="20"/>
        <w:spacing w:after="0" w:line="258" w:lineRule="auto"/>
        <w:rPr>
          <w:sz w:val="20"/>
          <w:szCs w:val="20"/>
          <w:color w:val="auto"/>
        </w:rPr>
      </w:pPr>
      <w:r>
        <w:rPr>
          <w:rFonts w:ascii="Times New Roman" w:cs="Times New Roman" w:eastAsia="Times New Roman" w:hAnsi="Times New Roman"/>
          <w:sz w:val="18"/>
          <w:szCs w:val="18"/>
          <w:color w:val="auto"/>
        </w:rPr>
        <w:t>When assessing its revenue recognition, Amneal performs the following five steps in accordance with Topic 606: (i) identify the contract with a customer; (ii) identify the performance obligations in the contract; (iii) determine the transaction price; (iv) allocate the transaction price to the performance obligations in the contract; and (v) recognize revenue when (or as) the entity satisfies the performance obligation. Amneal recognizes revenue when it transfers control of its products to customers, in an amount that reflects the consideration to which Amneal expects to be entitled to receive in exchange for those products. For further details on Amneal’s revenue recognition policies under Topic 606, refer to Note 3. Revenue Recognition.</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rollforward of the major categories of sales-related deductions for the three months ended March 31, 2018 is as follows (in thousands):</w:t>
      </w:r>
    </w:p>
    <w:p>
      <w:pPr>
        <w:spacing w:after="0" w:line="383" w:lineRule="exact"/>
        <w:rPr>
          <w:sz w:val="20"/>
          <w:szCs w:val="20"/>
          <w:color w:val="auto"/>
        </w:rPr>
      </w:pPr>
    </w:p>
    <w:tbl>
      <w:tblPr>
        <w:tblLayout w:type="fixed"/>
        <w:tblInd w:w="80" w:type="dxa"/>
        <w:tblCellMar>
          <w:top w:w="0" w:type="dxa"/>
          <w:left w:w="0" w:type="dxa"/>
          <w:bottom w:w="0" w:type="dxa"/>
          <w:right w:w="0" w:type="dxa"/>
        </w:tblCellMar>
      </w:tblPr>
      <w:tr>
        <w:trPr>
          <w:trHeight w:val="216"/>
        </w:trPr>
        <w:tc>
          <w:tcPr>
            <w:tcW w:w="5000" w:type="dxa"/>
            <w:vAlign w:val="bottom"/>
          </w:tcPr>
          <w:p>
            <w:pPr>
              <w:spacing w:after="0"/>
              <w:rPr>
                <w:sz w:val="18"/>
                <w:szCs w:val="18"/>
                <w:color w:val="auto"/>
              </w:rPr>
            </w:pPr>
          </w:p>
        </w:tc>
        <w:tc>
          <w:tcPr>
            <w:tcW w:w="1940" w:type="dxa"/>
            <w:vAlign w:val="bottom"/>
            <w:gridSpan w:val="3"/>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Contract Charge-</w:t>
            </w:r>
          </w:p>
        </w:tc>
        <w:tc>
          <w:tcPr>
            <w:tcW w:w="1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0" w:type="dxa"/>
            <w:vAlign w:val="bottom"/>
            <w:gridSpan w:val="2"/>
          </w:tcPr>
          <w:p>
            <w:pPr>
              <w:jc w:val="center"/>
              <w:ind w:right="500"/>
              <w:spacing w:after="0"/>
              <w:rPr>
                <w:sz w:val="20"/>
                <w:szCs w:val="20"/>
                <w:color w:val="auto"/>
              </w:rPr>
            </w:pPr>
            <w:r>
              <w:rPr>
                <w:rFonts w:ascii="Times New Roman" w:cs="Times New Roman" w:eastAsia="Times New Roman" w:hAnsi="Times New Roman"/>
                <w:sz w:val="18"/>
                <w:szCs w:val="18"/>
                <w:b w:val="1"/>
                <w:bCs w:val="1"/>
                <w:color w:val="auto"/>
              </w:rPr>
              <w:t>Accrued</w:t>
            </w:r>
          </w:p>
        </w:tc>
        <w:tc>
          <w:tcPr>
            <w:tcW w:w="160" w:type="dxa"/>
            <w:vAlign w:val="bottom"/>
          </w:tcPr>
          <w:p>
            <w:pPr>
              <w:spacing w:after="0"/>
              <w:rPr>
                <w:sz w:val="18"/>
                <w:szCs w:val="18"/>
                <w:color w:val="auto"/>
              </w:rPr>
            </w:pPr>
          </w:p>
        </w:tc>
        <w:tc>
          <w:tcPr>
            <w:tcW w:w="980" w:type="dxa"/>
            <w:vAlign w:val="bottom"/>
          </w:tcPr>
          <w:p>
            <w:pPr>
              <w:jc w:val="center"/>
              <w:ind w:right="70"/>
              <w:spacing w:after="0"/>
              <w:rPr>
                <w:sz w:val="20"/>
                <w:szCs w:val="20"/>
                <w:color w:val="auto"/>
              </w:rPr>
            </w:pPr>
            <w:r>
              <w:rPr>
                <w:rFonts w:ascii="Times New Roman" w:cs="Times New Roman" w:eastAsia="Times New Roman" w:hAnsi="Times New Roman"/>
                <w:sz w:val="18"/>
                <w:szCs w:val="18"/>
                <w:b w:val="1"/>
                <w:bCs w:val="1"/>
                <w:color w:val="auto"/>
              </w:rPr>
              <w:t>Accrued</w:t>
            </w:r>
          </w:p>
        </w:tc>
        <w:tc>
          <w:tcPr>
            <w:tcW w:w="0" w:type="dxa"/>
            <w:vAlign w:val="bottom"/>
          </w:tcPr>
          <w:p>
            <w:pPr>
              <w:spacing w:after="0"/>
              <w:rPr>
                <w:sz w:val="1"/>
                <w:szCs w:val="1"/>
                <w:color w:val="auto"/>
              </w:rPr>
            </w:pPr>
          </w:p>
        </w:tc>
      </w:tr>
      <w:tr>
        <w:trPr>
          <w:trHeight w:val="216"/>
        </w:trPr>
        <w:tc>
          <w:tcPr>
            <w:tcW w:w="5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780" w:type="dxa"/>
            <w:vAlign w:val="bottom"/>
            <w:gridSpan w:val="2"/>
          </w:tcPr>
          <w:p>
            <w:pPr>
              <w:jc w:val="center"/>
              <w:ind w:right="500"/>
              <w:spacing w:after="0"/>
              <w:rPr>
                <w:sz w:val="20"/>
                <w:szCs w:val="20"/>
                <w:color w:val="auto"/>
              </w:rPr>
            </w:pPr>
            <w:r>
              <w:rPr>
                <w:rFonts w:ascii="Times New Roman" w:cs="Times New Roman" w:eastAsia="Times New Roman" w:hAnsi="Times New Roman"/>
                <w:sz w:val="18"/>
                <w:szCs w:val="18"/>
                <w:b w:val="1"/>
                <w:bCs w:val="1"/>
                <w:color w:val="auto"/>
                <w:w w:val="99"/>
              </w:rPr>
              <w:t>backs and Sales</w:t>
            </w:r>
          </w:p>
        </w:tc>
        <w:tc>
          <w:tcPr>
            <w:tcW w:w="120" w:type="dxa"/>
            <w:vAlign w:val="bottom"/>
          </w:tcPr>
          <w:p>
            <w:pPr>
              <w:spacing w:after="0"/>
              <w:rPr>
                <w:sz w:val="18"/>
                <w:szCs w:val="18"/>
                <w:color w:val="auto"/>
              </w:rPr>
            </w:pPr>
          </w:p>
        </w:tc>
        <w:tc>
          <w:tcPr>
            <w:tcW w:w="1560" w:type="dxa"/>
            <w:vAlign w:val="bottom"/>
            <w:gridSpan w:val="2"/>
          </w:tcPr>
          <w:p>
            <w:pPr>
              <w:jc w:val="center"/>
              <w:ind w:right="440"/>
              <w:spacing w:after="0"/>
              <w:rPr>
                <w:sz w:val="20"/>
                <w:szCs w:val="20"/>
                <w:color w:val="auto"/>
              </w:rPr>
            </w:pPr>
            <w:r>
              <w:rPr>
                <w:rFonts w:ascii="Times New Roman" w:cs="Times New Roman" w:eastAsia="Times New Roman" w:hAnsi="Times New Roman"/>
                <w:sz w:val="18"/>
                <w:szCs w:val="18"/>
                <w:b w:val="1"/>
                <w:bCs w:val="1"/>
                <w:color w:val="auto"/>
              </w:rPr>
              <w:t>Cash Discount</w:t>
            </w:r>
          </w:p>
        </w:tc>
        <w:tc>
          <w:tcPr>
            <w:tcW w:w="180" w:type="dxa"/>
            <w:vAlign w:val="bottom"/>
          </w:tcPr>
          <w:p>
            <w:pPr>
              <w:spacing w:after="0"/>
              <w:rPr>
                <w:sz w:val="18"/>
                <w:szCs w:val="18"/>
                <w:color w:val="auto"/>
              </w:rPr>
            </w:pPr>
          </w:p>
        </w:tc>
        <w:tc>
          <w:tcPr>
            <w:tcW w:w="1400" w:type="dxa"/>
            <w:vAlign w:val="bottom"/>
            <w:gridSpan w:val="2"/>
          </w:tcPr>
          <w:p>
            <w:pPr>
              <w:jc w:val="center"/>
              <w:ind w:right="500"/>
              <w:spacing w:after="0"/>
              <w:rPr>
                <w:sz w:val="20"/>
                <w:szCs w:val="20"/>
                <w:color w:val="auto"/>
              </w:rPr>
            </w:pPr>
            <w:r>
              <w:rPr>
                <w:rFonts w:ascii="Times New Roman" w:cs="Times New Roman" w:eastAsia="Times New Roman" w:hAnsi="Times New Roman"/>
                <w:sz w:val="18"/>
                <w:szCs w:val="18"/>
                <w:b w:val="1"/>
                <w:bCs w:val="1"/>
                <w:color w:val="auto"/>
                <w:w w:val="99"/>
              </w:rPr>
              <w:t>Returns</w:t>
            </w:r>
          </w:p>
        </w:tc>
        <w:tc>
          <w:tcPr>
            <w:tcW w:w="160" w:type="dxa"/>
            <w:vAlign w:val="bottom"/>
          </w:tcPr>
          <w:p>
            <w:pPr>
              <w:spacing w:after="0"/>
              <w:rPr>
                <w:sz w:val="18"/>
                <w:szCs w:val="18"/>
                <w:color w:val="auto"/>
              </w:rPr>
            </w:pPr>
          </w:p>
        </w:tc>
        <w:tc>
          <w:tcPr>
            <w:tcW w:w="980" w:type="dxa"/>
            <w:vAlign w:val="bottom"/>
          </w:tcPr>
          <w:p>
            <w:pPr>
              <w:jc w:val="center"/>
              <w:ind w:right="50"/>
              <w:spacing w:after="0"/>
              <w:rPr>
                <w:sz w:val="20"/>
                <w:szCs w:val="20"/>
                <w:color w:val="auto"/>
              </w:rPr>
            </w:pPr>
            <w:r>
              <w:rPr>
                <w:rFonts w:ascii="Times New Roman" w:cs="Times New Roman" w:eastAsia="Times New Roman" w:hAnsi="Times New Roman"/>
                <w:sz w:val="18"/>
                <w:szCs w:val="18"/>
                <w:b w:val="1"/>
                <w:bCs w:val="1"/>
                <w:color w:val="auto"/>
                <w:w w:val="99"/>
              </w:rPr>
              <w:t>Medicaid</w:t>
            </w:r>
          </w:p>
        </w:tc>
        <w:tc>
          <w:tcPr>
            <w:tcW w:w="0" w:type="dxa"/>
            <w:vAlign w:val="bottom"/>
          </w:tcPr>
          <w:p>
            <w:pPr>
              <w:spacing w:after="0"/>
              <w:rPr>
                <w:sz w:val="1"/>
                <w:szCs w:val="1"/>
                <w:color w:val="auto"/>
              </w:rPr>
            </w:pPr>
          </w:p>
        </w:tc>
      </w:tr>
      <w:tr>
        <w:trPr>
          <w:trHeight w:val="238"/>
        </w:trPr>
        <w:tc>
          <w:tcPr>
            <w:tcW w:w="5000" w:type="dxa"/>
            <w:vAlign w:val="bottom"/>
          </w:tcPr>
          <w:p>
            <w:pPr>
              <w:spacing w:after="0"/>
              <w:rPr>
                <w:sz w:val="20"/>
                <w:szCs w:val="20"/>
                <w:color w:val="auto"/>
              </w:rPr>
            </w:pPr>
          </w:p>
        </w:tc>
        <w:tc>
          <w:tcPr>
            <w:tcW w:w="1940" w:type="dxa"/>
            <w:vAlign w:val="bottom"/>
            <w:gridSpan w:val="3"/>
          </w:tcPr>
          <w:p>
            <w:pPr>
              <w:ind w:left="60"/>
              <w:spacing w:after="0"/>
              <w:rPr>
                <w:sz w:val="20"/>
                <w:szCs w:val="20"/>
                <w:color w:val="auto"/>
              </w:rPr>
            </w:pPr>
            <w:r>
              <w:rPr>
                <w:rFonts w:ascii="Times New Roman" w:cs="Times New Roman" w:eastAsia="Times New Roman" w:hAnsi="Times New Roman"/>
                <w:sz w:val="18"/>
                <w:szCs w:val="18"/>
                <w:b w:val="1"/>
                <w:bCs w:val="1"/>
                <w:color w:val="auto"/>
              </w:rPr>
              <w:t>Volume Allowances</w:t>
            </w:r>
          </w:p>
        </w:tc>
        <w:tc>
          <w:tcPr>
            <w:tcW w:w="120" w:type="dxa"/>
            <w:vAlign w:val="bottom"/>
          </w:tcPr>
          <w:p>
            <w:pPr>
              <w:spacing w:after="0"/>
              <w:rPr>
                <w:sz w:val="20"/>
                <w:szCs w:val="20"/>
                <w:color w:val="auto"/>
              </w:rPr>
            </w:pPr>
          </w:p>
        </w:tc>
        <w:tc>
          <w:tcPr>
            <w:tcW w:w="1560" w:type="dxa"/>
            <w:vAlign w:val="bottom"/>
            <w:gridSpan w:val="2"/>
          </w:tcPr>
          <w:p>
            <w:pPr>
              <w:jc w:val="center"/>
              <w:ind w:right="460"/>
              <w:spacing w:after="0"/>
              <w:rPr>
                <w:sz w:val="20"/>
                <w:szCs w:val="20"/>
                <w:color w:val="auto"/>
              </w:rPr>
            </w:pPr>
            <w:r>
              <w:rPr>
                <w:rFonts w:ascii="Times New Roman" w:cs="Times New Roman" w:eastAsia="Times New Roman" w:hAnsi="Times New Roman"/>
                <w:sz w:val="18"/>
                <w:szCs w:val="18"/>
                <w:b w:val="1"/>
                <w:bCs w:val="1"/>
                <w:color w:val="auto"/>
                <w:w w:val="98"/>
              </w:rPr>
              <w:t>Allowances</w:t>
            </w:r>
          </w:p>
        </w:tc>
        <w:tc>
          <w:tcPr>
            <w:tcW w:w="180" w:type="dxa"/>
            <w:vAlign w:val="bottom"/>
          </w:tcPr>
          <w:p>
            <w:pPr>
              <w:spacing w:after="0"/>
              <w:rPr>
                <w:sz w:val="20"/>
                <w:szCs w:val="20"/>
                <w:color w:val="auto"/>
              </w:rPr>
            </w:pPr>
          </w:p>
        </w:tc>
        <w:tc>
          <w:tcPr>
            <w:tcW w:w="1400" w:type="dxa"/>
            <w:vAlign w:val="bottom"/>
            <w:gridSpan w:val="2"/>
          </w:tcPr>
          <w:p>
            <w:pPr>
              <w:jc w:val="center"/>
              <w:ind w:right="520"/>
              <w:spacing w:after="0"/>
              <w:rPr>
                <w:sz w:val="20"/>
                <w:szCs w:val="20"/>
                <w:color w:val="auto"/>
              </w:rPr>
            </w:pPr>
            <w:r>
              <w:rPr>
                <w:rFonts w:ascii="Times New Roman" w:cs="Times New Roman" w:eastAsia="Times New Roman" w:hAnsi="Times New Roman"/>
                <w:sz w:val="18"/>
                <w:szCs w:val="18"/>
                <w:b w:val="1"/>
                <w:bCs w:val="1"/>
                <w:color w:val="auto"/>
                <w:w w:val="99"/>
              </w:rPr>
              <w:t>Allowance</w:t>
            </w:r>
          </w:p>
        </w:tc>
        <w:tc>
          <w:tcPr>
            <w:tcW w:w="160" w:type="dxa"/>
            <w:vAlign w:val="bottom"/>
          </w:tcPr>
          <w:p>
            <w:pPr>
              <w:spacing w:after="0"/>
              <w:rPr>
                <w:sz w:val="20"/>
                <w:szCs w:val="20"/>
                <w:color w:val="auto"/>
              </w:rPr>
            </w:pPr>
          </w:p>
        </w:tc>
        <w:tc>
          <w:tcPr>
            <w:tcW w:w="980" w:type="dxa"/>
            <w:vAlign w:val="bottom"/>
          </w:tcPr>
          <w:p>
            <w:pPr>
              <w:jc w:val="center"/>
              <w:ind w:right="70"/>
              <w:spacing w:after="0"/>
              <w:rPr>
                <w:sz w:val="20"/>
                <w:szCs w:val="20"/>
                <w:color w:val="auto"/>
              </w:rPr>
            </w:pPr>
            <w:r>
              <w:rPr>
                <w:rFonts w:ascii="Times New Roman" w:cs="Times New Roman" w:eastAsia="Times New Roman" w:hAnsi="Times New Roman"/>
                <w:sz w:val="18"/>
                <w:szCs w:val="18"/>
                <w:b w:val="1"/>
                <w:bCs w:val="1"/>
                <w:color w:val="auto"/>
              </w:rPr>
              <w:t>Rebates</w:t>
            </w:r>
          </w:p>
        </w:tc>
        <w:tc>
          <w:tcPr>
            <w:tcW w:w="0" w:type="dxa"/>
            <w:vAlign w:val="bottom"/>
          </w:tcPr>
          <w:p>
            <w:pPr>
              <w:spacing w:after="0"/>
              <w:rPr>
                <w:sz w:val="1"/>
                <w:szCs w:val="1"/>
                <w:color w:val="auto"/>
              </w:rPr>
            </w:pPr>
          </w:p>
        </w:tc>
      </w:tr>
      <w:tr>
        <w:trPr>
          <w:trHeight w:val="27"/>
        </w:trPr>
        <w:tc>
          <w:tcPr>
            <w:tcW w:w="5000" w:type="dxa"/>
            <w:vAlign w:val="bottom"/>
            <w:vMerge w:val="restart"/>
          </w:tcPr>
          <w:p>
            <w:pPr>
              <w:ind w:left="40"/>
              <w:spacing w:after="0"/>
              <w:rPr>
                <w:sz w:val="20"/>
                <w:szCs w:val="20"/>
                <w:color w:val="auto"/>
              </w:rPr>
            </w:pPr>
            <w:r>
              <w:rPr>
                <w:rFonts w:ascii="Times New Roman" w:cs="Times New Roman" w:eastAsia="Times New Roman" w:hAnsi="Times New Roman"/>
                <w:sz w:val="18"/>
                <w:szCs w:val="18"/>
                <w:color w:val="auto"/>
              </w:rPr>
              <w:t>Balance at January 1, 2018</w:t>
            </w:r>
          </w:p>
        </w:tc>
        <w:tc>
          <w:tcPr>
            <w:tcW w:w="1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000" w:type="dxa"/>
            <w:vAlign w:val="bottom"/>
            <w:vMerge w:val="continue"/>
          </w:tcPr>
          <w:p>
            <w:pPr>
              <w:spacing w:after="0"/>
              <w:rPr>
                <w:sz w:val="20"/>
                <w:szCs w:val="20"/>
                <w:color w:val="auto"/>
              </w:rPr>
            </w:pPr>
          </w:p>
        </w:tc>
        <w:tc>
          <w:tcPr>
            <w:tcW w:w="1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453,703</w:t>
            </w:r>
          </w:p>
        </w:tc>
        <w:tc>
          <w:tcPr>
            <w:tcW w:w="34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20,408</w:t>
            </w:r>
          </w:p>
        </w:tc>
        <w:tc>
          <w:tcPr>
            <w:tcW w:w="34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45,175</w:t>
            </w:r>
          </w:p>
        </w:tc>
        <w:tc>
          <w:tcPr>
            <w:tcW w:w="34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12,911</w:t>
            </w:r>
          </w:p>
        </w:tc>
        <w:tc>
          <w:tcPr>
            <w:tcW w:w="0" w:type="dxa"/>
            <w:vAlign w:val="bottom"/>
          </w:tcPr>
          <w:p>
            <w:pPr>
              <w:spacing w:after="0"/>
              <w:rPr>
                <w:sz w:val="1"/>
                <w:szCs w:val="1"/>
                <w:color w:val="auto"/>
              </w:rPr>
            </w:pPr>
          </w:p>
        </w:tc>
      </w:tr>
      <w:tr>
        <w:trPr>
          <w:trHeight w:val="27"/>
        </w:trPr>
        <w:tc>
          <w:tcPr>
            <w:tcW w:w="50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00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Provision related to sales recorded in the period</w:t>
            </w:r>
          </w:p>
        </w:tc>
        <w:tc>
          <w:tcPr>
            <w:tcW w:w="16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546,105</w:t>
            </w:r>
          </w:p>
        </w:tc>
        <w:tc>
          <w:tcPr>
            <w:tcW w:w="3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18,311</w:t>
            </w:r>
          </w:p>
        </w:tc>
        <w:tc>
          <w:tcPr>
            <w:tcW w:w="3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9,518</w:t>
            </w:r>
          </w:p>
        </w:tc>
        <w:tc>
          <w:tcPr>
            <w:tcW w:w="3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7,854</w:t>
            </w:r>
          </w:p>
        </w:tc>
        <w:tc>
          <w:tcPr>
            <w:tcW w:w="0" w:type="dxa"/>
            <w:vAlign w:val="bottom"/>
          </w:tcPr>
          <w:p>
            <w:pPr>
              <w:spacing w:after="0"/>
              <w:rPr>
                <w:sz w:val="1"/>
                <w:szCs w:val="1"/>
                <w:color w:val="auto"/>
              </w:rPr>
            </w:pPr>
          </w:p>
        </w:tc>
      </w:tr>
      <w:tr>
        <w:trPr>
          <w:trHeight w:val="243"/>
        </w:trPr>
        <w:tc>
          <w:tcPr>
            <w:tcW w:w="50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Credits issued during the period</w:t>
            </w:r>
          </w:p>
        </w:tc>
        <w:tc>
          <w:tcPr>
            <w:tcW w:w="160" w:type="dxa"/>
            <w:vAlign w:val="bottom"/>
          </w:tcPr>
          <w:p>
            <w:pPr>
              <w:spacing w:after="0"/>
              <w:rPr>
                <w:sz w:val="21"/>
                <w:szCs w:val="21"/>
                <w:color w:val="auto"/>
              </w:rPr>
            </w:pPr>
          </w:p>
        </w:tc>
        <w:tc>
          <w:tcPr>
            <w:tcW w:w="14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(610,506)</w:t>
            </w:r>
          </w:p>
        </w:tc>
        <w:tc>
          <w:tcPr>
            <w:tcW w:w="3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(20,804)</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(5,609)</w:t>
            </w:r>
          </w:p>
        </w:tc>
        <w:tc>
          <w:tcPr>
            <w:tcW w:w="3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(7,140)</w:t>
            </w:r>
          </w:p>
        </w:tc>
        <w:tc>
          <w:tcPr>
            <w:tcW w:w="0" w:type="dxa"/>
            <w:vAlign w:val="bottom"/>
          </w:tcPr>
          <w:p>
            <w:pPr>
              <w:spacing w:after="0"/>
              <w:rPr>
                <w:sz w:val="1"/>
                <w:szCs w:val="1"/>
                <w:color w:val="auto"/>
              </w:rPr>
            </w:pPr>
          </w:p>
        </w:tc>
      </w:tr>
      <w:tr>
        <w:trPr>
          <w:trHeight w:val="27"/>
        </w:trPr>
        <w:tc>
          <w:tcPr>
            <w:tcW w:w="50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34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3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3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0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Balance at March 31, 2018</w:t>
            </w:r>
          </w:p>
        </w:tc>
        <w:tc>
          <w:tcPr>
            <w:tcW w:w="1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389,302</w:t>
            </w:r>
          </w:p>
        </w:tc>
        <w:tc>
          <w:tcPr>
            <w:tcW w:w="34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17,915</w:t>
            </w:r>
          </w:p>
        </w:tc>
        <w:tc>
          <w:tcPr>
            <w:tcW w:w="34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49,084</w:t>
            </w:r>
          </w:p>
        </w:tc>
        <w:tc>
          <w:tcPr>
            <w:tcW w:w="34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13,625</w:t>
            </w:r>
          </w:p>
        </w:tc>
        <w:tc>
          <w:tcPr>
            <w:tcW w:w="0" w:type="dxa"/>
            <w:vAlign w:val="bottom"/>
          </w:tcPr>
          <w:p>
            <w:pPr>
              <w:spacing w:after="0"/>
              <w:rPr>
                <w:sz w:val="1"/>
                <w:szCs w:val="1"/>
                <w:color w:val="auto"/>
              </w:rPr>
            </w:pPr>
          </w:p>
        </w:tc>
      </w:tr>
      <w:tr>
        <w:trPr>
          <w:trHeight w:val="20"/>
        </w:trPr>
        <w:tc>
          <w:tcPr>
            <w:tcW w:w="50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Revenues from profit share arrangements were 1.5% and 1.3% of Net Revenue for the three months ended March 31, 2018 and 2017, respectively.</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Acquisition and Transaction-Related Expenses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Amneal incurs acquisition-related costs in connection with business combinations. Acquisition-related costs are expensed as incurred.</w:t>
      </w:r>
    </w:p>
    <w:p>
      <w:pPr>
        <w:spacing w:after="0" w:line="225" w:lineRule="exact"/>
        <w:rPr>
          <w:sz w:val="20"/>
          <w:szCs w:val="20"/>
          <w:color w:val="auto"/>
        </w:rPr>
      </w:pPr>
    </w:p>
    <w:p>
      <w:pPr>
        <w:ind w:right="380"/>
        <w:spacing w:after="0" w:line="282" w:lineRule="auto"/>
        <w:rPr>
          <w:sz w:val="20"/>
          <w:szCs w:val="20"/>
          <w:color w:val="auto"/>
        </w:rPr>
      </w:pPr>
      <w:r>
        <w:rPr>
          <w:rFonts w:ascii="Times New Roman" w:cs="Times New Roman" w:eastAsia="Times New Roman" w:hAnsi="Times New Roman"/>
          <w:sz w:val="18"/>
          <w:szCs w:val="18"/>
          <w:color w:val="auto"/>
        </w:rPr>
        <w:t>As a result of the Combination (refer to Note 1. Nature of Operations and Basis of Presentation), Amneal recognized transaction-related expenses of $7.1 million for the three months ended March 31, 2018.</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Restricted Cash</w:t>
      </w:r>
    </w:p>
    <w:p>
      <w:pPr>
        <w:spacing w:after="0" w:line="229" w:lineRule="exact"/>
        <w:rPr>
          <w:sz w:val="20"/>
          <w:szCs w:val="20"/>
          <w:color w:val="auto"/>
        </w:rPr>
      </w:pPr>
    </w:p>
    <w:p>
      <w:pPr>
        <w:ind w:right="80"/>
        <w:spacing w:after="0" w:line="282" w:lineRule="auto"/>
        <w:rPr>
          <w:sz w:val="20"/>
          <w:szCs w:val="20"/>
          <w:color w:val="auto"/>
        </w:rPr>
      </w:pPr>
      <w:r>
        <w:rPr>
          <w:rFonts w:ascii="Times New Roman" w:cs="Times New Roman" w:eastAsia="Times New Roman" w:hAnsi="Times New Roman"/>
          <w:sz w:val="18"/>
          <w:szCs w:val="18"/>
          <w:color w:val="auto"/>
        </w:rPr>
        <w:t>At March 31, 2018 and December 31, 2017, respectively, Amneal had restricted cash balances of $4.4 million and $3.8 million in its bank accounts related to the purchase of certain land and equipment.</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010302"/>
        </w:rPr>
        <w:t>Risks and Uncertainties</w:t>
      </w:r>
    </w:p>
    <w:p>
      <w:pPr>
        <w:spacing w:after="0" w:line="229" w:lineRule="exact"/>
        <w:rPr>
          <w:sz w:val="20"/>
          <w:szCs w:val="20"/>
          <w:color w:val="auto"/>
        </w:rPr>
      </w:pPr>
    </w:p>
    <w:p>
      <w:pPr>
        <w:ind w:right="280"/>
        <w:spacing w:after="0" w:line="282" w:lineRule="auto"/>
        <w:rPr>
          <w:sz w:val="20"/>
          <w:szCs w:val="20"/>
          <w:color w:val="auto"/>
        </w:rPr>
      </w:pPr>
      <w:r>
        <w:rPr>
          <w:rFonts w:ascii="Times New Roman" w:cs="Times New Roman" w:eastAsia="Times New Roman" w:hAnsi="Times New Roman"/>
          <w:sz w:val="18"/>
          <w:szCs w:val="18"/>
          <w:color w:val="auto"/>
        </w:rPr>
        <w:t>Amneal is subject to risks common to companies in the pharmaceutical industry including, but not limited to, uncertainties related to commercialization of products, regulatory approvals, dependence on key products, dependence on key customers and suppliers, and protection of intellectual property rights.</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11420"/>
          </w:cols>
          <w:pgMar w:left="240" w:top="117" w:right="239" w:bottom="1440" w:gutter="0" w:footer="0" w:header="0"/>
        </w:sectPr>
      </w:pPr>
    </w:p>
    <w:bookmarkStart w:id="14" w:name="page15"/>
    <w:bookmarkEnd w:id="14"/>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(unaudited)</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010302"/>
        </w:rPr>
        <w:t>Recently Adopted Accounting Pronouncements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May 2017, the FASB issued ASU 2017-09, Compensation—</w:t>
      </w:r>
      <w:r>
        <w:rPr>
          <w:rFonts w:ascii="Times New Roman" w:cs="Times New Roman" w:eastAsia="Times New Roman" w:hAnsi="Times New Roman"/>
          <w:sz w:val="18"/>
          <w:szCs w:val="18"/>
          <w:i w:val="1"/>
          <w:iCs w:val="1"/>
          <w:color w:val="auto"/>
        </w:rPr>
        <w:t>Stock Compensation (Topic 718): Scope of</w:t>
      </w:r>
    </w:p>
    <w:p>
      <w:pPr>
        <w:spacing w:after="0" w:line="29" w:lineRule="exact"/>
        <w:rPr>
          <w:sz w:val="20"/>
          <w:szCs w:val="20"/>
          <w:color w:val="auto"/>
        </w:rPr>
      </w:pPr>
    </w:p>
    <w:p>
      <w:pPr>
        <w:ind w:right="40"/>
        <w:spacing w:after="0" w:line="254" w:lineRule="auto"/>
        <w:rPr>
          <w:sz w:val="20"/>
          <w:szCs w:val="20"/>
          <w:color w:val="auto"/>
        </w:rPr>
      </w:pPr>
      <w:r>
        <w:rPr>
          <w:rFonts w:ascii="Times New Roman" w:cs="Times New Roman" w:eastAsia="Times New Roman" w:hAnsi="Times New Roman"/>
          <w:sz w:val="18"/>
          <w:szCs w:val="18"/>
          <w:i w:val="1"/>
          <w:iCs w:val="1"/>
          <w:color w:val="auto"/>
        </w:rPr>
        <w:t>Modification Accounting</w:t>
      </w:r>
      <w:r>
        <w:rPr>
          <w:rFonts w:ascii="Times New Roman" w:cs="Times New Roman" w:eastAsia="Times New Roman" w:hAnsi="Times New Roman"/>
          <w:sz w:val="18"/>
          <w:szCs w:val="18"/>
          <w:color w:val="auto"/>
        </w:rPr>
        <w:t>, which provides guidance about which changes to the terms or conditions of a share-based payment award require an entity to apply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modification accounting in Topic 718. The guidance will be effective for annual and interim periods beginning after December 15, 2017, with early adoption permitted. The amendments in this ASU should be applied prospectively to an award modified on or after the adoption date. Amneal adopted ASU 2017-09 on January 1, 2018 and it did not have an effect on Amneal’s consolidated financial statements.</w:t>
      </w:r>
    </w:p>
    <w:p>
      <w:pPr>
        <w:spacing w:after="0" w:line="184" w:lineRule="exact"/>
        <w:rPr>
          <w:sz w:val="20"/>
          <w:szCs w:val="20"/>
          <w:color w:val="auto"/>
        </w:rPr>
      </w:pPr>
    </w:p>
    <w:p>
      <w:pPr>
        <w:jc w:val="both"/>
        <w:ind w:right="180"/>
        <w:spacing w:after="0" w:line="267" w:lineRule="auto"/>
        <w:rPr>
          <w:sz w:val="20"/>
          <w:szCs w:val="20"/>
          <w:color w:val="auto"/>
        </w:rPr>
      </w:pPr>
      <w:r>
        <w:rPr>
          <w:rFonts w:ascii="Times New Roman" w:cs="Times New Roman" w:eastAsia="Times New Roman" w:hAnsi="Times New Roman"/>
          <w:sz w:val="18"/>
          <w:szCs w:val="18"/>
          <w:color w:val="auto"/>
        </w:rPr>
        <w:t xml:space="preserve">In November 2016, the FASB issued ASU 2016-18, </w:t>
      </w:r>
      <w:r>
        <w:rPr>
          <w:rFonts w:ascii="Times New Roman" w:cs="Times New Roman" w:eastAsia="Times New Roman" w:hAnsi="Times New Roman"/>
          <w:sz w:val="18"/>
          <w:szCs w:val="18"/>
          <w:i w:val="1"/>
          <w:iCs w:val="1"/>
          <w:color w:val="auto"/>
        </w:rPr>
        <w:t>Statement of Cash Flows (Topic 230): Restricted Cash (a consensus of the FASB Emerging Issues Task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Force)</w:t>
      </w:r>
      <w:r>
        <w:rPr>
          <w:rFonts w:ascii="Times New Roman" w:cs="Times New Roman" w:eastAsia="Times New Roman" w:hAnsi="Times New Roman"/>
          <w:sz w:val="18"/>
          <w:szCs w:val="18"/>
          <w:color w:val="auto"/>
        </w:rPr>
        <w:t>, to clarify how entities should present restricted cash and restricted cash equivalents in the statement of cash flows. The guidance requires entities to</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show the changes in the total of cash, cash equivalents, restricted cash and restricted cash equivalents in the statement of cash flows.</w:t>
      </w:r>
    </w:p>
    <w:p>
      <w:pPr>
        <w:spacing w:after="0" w:line="176" w:lineRule="exact"/>
        <w:rPr>
          <w:sz w:val="20"/>
          <w:szCs w:val="20"/>
          <w:color w:val="auto"/>
        </w:rPr>
      </w:pPr>
    </w:p>
    <w:p>
      <w:pPr>
        <w:jc w:val="both"/>
        <w:ind w:right="140"/>
        <w:spacing w:after="0" w:line="266" w:lineRule="auto"/>
        <w:rPr>
          <w:sz w:val="20"/>
          <w:szCs w:val="20"/>
          <w:color w:val="auto"/>
        </w:rPr>
      </w:pPr>
      <w:r>
        <w:rPr>
          <w:rFonts w:ascii="Times New Roman" w:cs="Times New Roman" w:eastAsia="Times New Roman" w:hAnsi="Times New Roman"/>
          <w:sz w:val="18"/>
          <w:szCs w:val="18"/>
          <w:color w:val="auto"/>
        </w:rPr>
        <w:t>As a result, entities will no longer present transfers between cash and cash equivalents and restricted cash and restricted cash equivalents in the statement of cash flows. The guidance should be applied retrospectively and is effective for the annual period beginning after December 15, 2018. Amneal early adopted ASU 2016-18 on January 1, 2018. This guidance was applied retrospectively and, accordingly, prior period amounts have been revised.</w:t>
      </w:r>
    </w:p>
    <w:p>
      <w:pPr>
        <w:spacing w:after="0" w:line="174" w:lineRule="exact"/>
        <w:rPr>
          <w:sz w:val="20"/>
          <w:szCs w:val="20"/>
          <w:color w:val="auto"/>
        </w:rPr>
      </w:pPr>
    </w:p>
    <w:p>
      <w:pPr>
        <w:spacing w:after="0" w:line="259" w:lineRule="auto"/>
        <w:rPr>
          <w:sz w:val="20"/>
          <w:szCs w:val="20"/>
          <w:color w:val="auto"/>
        </w:rPr>
      </w:pPr>
      <w:r>
        <w:rPr>
          <w:rFonts w:ascii="Times New Roman" w:cs="Times New Roman" w:eastAsia="Times New Roman" w:hAnsi="Times New Roman"/>
          <w:sz w:val="18"/>
          <w:szCs w:val="18"/>
          <w:color w:val="auto"/>
        </w:rPr>
        <w:t>In October 2016, the FASB issued ASU 2016-16</w:t>
      </w:r>
      <w:r>
        <w:rPr>
          <w:rFonts w:ascii="Times New Roman" w:cs="Times New Roman" w:eastAsia="Times New Roman" w:hAnsi="Times New Roman"/>
          <w:sz w:val="18"/>
          <w:szCs w:val="18"/>
          <w:i w:val="1"/>
          <w:iCs w:val="1"/>
          <w:color w:val="auto"/>
        </w:rPr>
        <w:t>, Income Taxes (Topic 740): Intra-Entity Transfers of Assets Other Than Inventory</w:t>
      </w:r>
      <w:r>
        <w:rPr>
          <w:rFonts w:ascii="Times New Roman" w:cs="Times New Roman" w:eastAsia="Times New Roman" w:hAnsi="Times New Roman"/>
          <w:sz w:val="18"/>
          <w:szCs w:val="18"/>
          <w:color w:val="auto"/>
        </w:rPr>
        <w:t>, that will require companies to account for the income tax effects of intercompany transfers of assets other than inventory (e.g., intangible assets) when the transfer occurs. The guidance is effective for annual periods beginning after December 15, 2018 and interim periods within annual periods beginning after December 15, 2019. Early adoption is permitted as of the beginning of an annual period (i.e., early adoption is permitted only in the first interim period). Amneal early adopted ASU 2016-16 on January 1, 2018 and it did not have an effect on Amneal’s consolidated financial statements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In August 2016, the FASB issued ASU 2016-15, </w:t>
      </w:r>
      <w:r>
        <w:rPr>
          <w:rFonts w:ascii="Times New Roman" w:cs="Times New Roman" w:eastAsia="Times New Roman" w:hAnsi="Times New Roman"/>
          <w:sz w:val="18"/>
          <w:szCs w:val="18"/>
          <w:i w:val="1"/>
          <w:iCs w:val="1"/>
          <w:color w:val="auto"/>
        </w:rPr>
        <w:t>Statement of Cash Flows (Topic 230): Classification of Certain</w:t>
      </w:r>
    </w:p>
    <w:p>
      <w:pPr>
        <w:spacing w:after="0" w:line="29" w:lineRule="exact"/>
        <w:rPr>
          <w:sz w:val="20"/>
          <w:szCs w:val="20"/>
          <w:color w:val="auto"/>
        </w:rPr>
      </w:pPr>
    </w:p>
    <w:p>
      <w:pPr>
        <w:ind w:right="200"/>
        <w:spacing w:after="0" w:line="253" w:lineRule="auto"/>
        <w:rPr>
          <w:sz w:val="20"/>
          <w:szCs w:val="20"/>
          <w:color w:val="auto"/>
        </w:rPr>
      </w:pPr>
      <w:r>
        <w:rPr>
          <w:rFonts w:ascii="Times New Roman" w:cs="Times New Roman" w:eastAsia="Times New Roman" w:hAnsi="Times New Roman"/>
          <w:sz w:val="18"/>
          <w:szCs w:val="18"/>
          <w:i w:val="1"/>
          <w:iCs w:val="1"/>
          <w:color w:val="auto"/>
        </w:rPr>
        <w:t>Cash Receipts and Cash Payments (a consensus of the Emerging Issues Task Force)</w:t>
      </w:r>
      <w:r>
        <w:rPr>
          <w:rFonts w:ascii="Times New Roman" w:cs="Times New Roman" w:eastAsia="Times New Roman" w:hAnsi="Times New Roman"/>
          <w:sz w:val="18"/>
          <w:szCs w:val="18"/>
          <w:color w:val="auto"/>
        </w:rPr>
        <w:t>, to clarify how entities should classify certain cash receipts and cash</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payments on the statement of cash flows. The new guidance also clarifies how the predominance principle should be applied when cash receipts and cash payments have aspects of more than one class of cash flows. The guidance will be applied retrospectively and is effective for Amneal for the annual period beginning after December 15, 2018. Early adoption is permitted. Amneal early adopted ASU 2016-15 on January 1, 2018 and it did not have an effect on Amneal’s consolidated financial statements.</w:t>
      </w:r>
    </w:p>
    <w:p>
      <w:pPr>
        <w:spacing w:after="0" w:line="185" w:lineRule="exact"/>
        <w:rPr>
          <w:sz w:val="20"/>
          <w:szCs w:val="20"/>
          <w:color w:val="auto"/>
        </w:rPr>
      </w:pPr>
    </w:p>
    <w:p>
      <w:pPr>
        <w:ind w:right="40"/>
        <w:spacing w:after="0" w:line="257" w:lineRule="auto"/>
        <w:rPr>
          <w:sz w:val="20"/>
          <w:szCs w:val="20"/>
          <w:color w:val="auto"/>
        </w:rPr>
      </w:pPr>
      <w:r>
        <w:rPr>
          <w:rFonts w:ascii="Times New Roman" w:cs="Times New Roman" w:eastAsia="Times New Roman" w:hAnsi="Times New Roman"/>
          <w:sz w:val="18"/>
          <w:szCs w:val="18"/>
          <w:color w:val="auto"/>
        </w:rPr>
        <w:t xml:space="preserve">In May 2014, the FASB issued ASU 2014-09, </w:t>
      </w:r>
      <w:r>
        <w:rPr>
          <w:rFonts w:ascii="Times New Roman" w:cs="Times New Roman" w:eastAsia="Times New Roman" w:hAnsi="Times New Roman"/>
          <w:sz w:val="18"/>
          <w:szCs w:val="18"/>
          <w:i w:val="1"/>
          <w:iCs w:val="1"/>
          <w:color w:val="auto"/>
        </w:rPr>
        <w:t>Revenue from Contracts with Customers (Topic 606)</w:t>
      </w:r>
      <w:r>
        <w:rPr>
          <w:rFonts w:ascii="Times New Roman" w:cs="Times New Roman" w:eastAsia="Times New Roman" w:hAnsi="Times New Roman"/>
          <w:sz w:val="18"/>
          <w:szCs w:val="18"/>
          <w:color w:val="auto"/>
        </w:rPr>
        <w:t>. Subsequent to the issuance of Topic 606, the FASB clarified the guidance through several Accounting Standard Updates. This guidance represents a comprehensive new revenue recognition model that requires a company to recognize revenue to depict the transfer of promised goods or services to customers in an amount that reflects the consideration to which that company expects to be entitled to receive in exchange for those goods or services. This update sets forth a new five-step revenue recognition model which replaces the prior revenue recognition guidance in its entirety and is intended to eliminate numerous industry-specific pieces of revenue recognition guidance that have historically existed.</w:t>
      </w:r>
    </w:p>
    <w:p>
      <w:pPr>
        <w:spacing w:after="0" w:line="185" w:lineRule="exact"/>
        <w:rPr>
          <w:sz w:val="20"/>
          <w:szCs w:val="20"/>
          <w:color w:val="auto"/>
        </w:rPr>
      </w:pPr>
    </w:p>
    <w:p>
      <w:pPr>
        <w:ind w:right="220"/>
        <w:spacing w:after="0" w:line="266" w:lineRule="auto"/>
        <w:rPr>
          <w:sz w:val="20"/>
          <w:szCs w:val="20"/>
          <w:color w:val="auto"/>
        </w:rPr>
      </w:pPr>
      <w:r>
        <w:rPr>
          <w:rFonts w:ascii="Times New Roman" w:cs="Times New Roman" w:eastAsia="Times New Roman" w:hAnsi="Times New Roman"/>
          <w:sz w:val="18"/>
          <w:szCs w:val="18"/>
          <w:color w:val="auto"/>
        </w:rPr>
        <w:t>On January 1, 2018, Amneal adopted Accounting Standards Update ("ASU") 2014-09, "Revenue from Contracts with Customers” and associated ASU's (collectively "Topic 606"), using the modified retrospective method, applied to all contracts not completed as of the date of adoption. This method requires the cumulative effect of the adoption to be recognized as an adjustment to opening retained earnings in the period of adoption.</w:t>
      </w:r>
    </w:p>
    <w:p>
      <w:pPr>
        <w:spacing w:after="0" w:line="200" w:lineRule="exact"/>
        <w:rPr>
          <w:sz w:val="20"/>
          <w:szCs w:val="20"/>
          <w:color w:val="auto"/>
        </w:rPr>
      </w:pPr>
    </w:p>
    <w:p>
      <w:pPr>
        <w:spacing w:after="0" w:line="21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11380"/>
          </w:cols>
          <w:pgMar w:left="240" w:top="117" w:right="279" w:bottom="1440" w:gutter="0" w:footer="0" w:header="0"/>
        </w:sectPr>
      </w:pPr>
    </w:p>
    <w:bookmarkStart w:id="15" w:name="page16"/>
    <w:bookmarkEnd w:id="15"/>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(unaudited)</w:t>
      </w:r>
    </w:p>
    <w:p>
      <w:pPr>
        <w:spacing w:after="0" w:line="234"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18"/>
          <w:szCs w:val="18"/>
          <w:color w:val="auto"/>
        </w:rPr>
        <w:t>Amneal recorded a reduction of $3.3 million to the beginning accumulated deficit as of January 1, 2018 due to the cumulative impact of adoption Topic 606. There is an acceleration of revenue for certain product sale arrangements which are designed to include profit share payments upon the customer’s sell-through of certain products purchased from Amneal. Previously under Topic 605, Amneal deferred revenue until its customers sold the product through to their end customers, at which point Amneal considered the profit share payments to be earned and collection reasonably assured. Under Topic 606, an estimate of the profit share payments are included in the transaction price as variable consideration and is recognized at the time Amneal transfers control of the product to its customer. This change resulted in a cumulative-effect adjustment upon adoption of the ASU as of January 1, 2018 which was not material to the financial statements. Refer to Note 3. Revenue Recognition for additional disclosures required by Topic 606.</w:t>
      </w:r>
    </w:p>
    <w:p>
      <w:pPr>
        <w:spacing w:after="0" w:line="189" w:lineRule="exact"/>
        <w:rPr>
          <w:sz w:val="20"/>
          <w:szCs w:val="20"/>
          <w:color w:val="auto"/>
        </w:rPr>
      </w:pPr>
    </w:p>
    <w:p>
      <w:pPr>
        <w:ind w:right="520"/>
        <w:spacing w:after="0" w:line="282" w:lineRule="auto"/>
        <w:rPr>
          <w:sz w:val="20"/>
          <w:szCs w:val="20"/>
          <w:color w:val="auto"/>
        </w:rPr>
      </w:pPr>
      <w:r>
        <w:rPr>
          <w:rFonts w:ascii="Times New Roman" w:cs="Times New Roman" w:eastAsia="Times New Roman" w:hAnsi="Times New Roman"/>
          <w:sz w:val="18"/>
          <w:szCs w:val="18"/>
          <w:color w:val="auto"/>
        </w:rPr>
        <w:t>As a result of adopting the ASU, revenue increased $2.5 million for the three months ended March 31, 2018 and as a result comparison of revenue and opening income between periods are not materially affected by the adoption of the ASU.</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Recently Issued Accounting Pronouncements</w:t>
      </w:r>
    </w:p>
    <w:p>
      <w:pPr>
        <w:spacing w:after="0" w:line="227" w:lineRule="exact"/>
        <w:rPr>
          <w:sz w:val="20"/>
          <w:szCs w:val="20"/>
          <w:color w:val="auto"/>
        </w:rPr>
      </w:pPr>
    </w:p>
    <w:p>
      <w:pPr>
        <w:spacing w:after="0" w:line="254" w:lineRule="auto"/>
        <w:rPr>
          <w:sz w:val="20"/>
          <w:szCs w:val="20"/>
          <w:color w:val="auto"/>
        </w:rPr>
      </w:pPr>
      <w:r>
        <w:rPr>
          <w:rFonts w:ascii="Times New Roman" w:cs="Times New Roman" w:eastAsia="Times New Roman" w:hAnsi="Times New Roman"/>
          <w:sz w:val="18"/>
          <w:szCs w:val="18"/>
          <w:color w:val="auto"/>
        </w:rPr>
        <w:t xml:space="preserve">In February 2017, the FASB issued ASU 2017-05, </w:t>
      </w:r>
      <w:r>
        <w:rPr>
          <w:rFonts w:ascii="Times New Roman" w:cs="Times New Roman" w:eastAsia="Times New Roman" w:hAnsi="Times New Roman"/>
          <w:sz w:val="18"/>
          <w:szCs w:val="18"/>
          <w:i w:val="1"/>
          <w:iCs w:val="1"/>
          <w:color w:val="auto"/>
        </w:rPr>
        <w:t>Other Income—Gains and Losses from the Derecognition of Nonfinancial Assets (Subtopic 610-20)</w:t>
      </w:r>
      <w:r>
        <w:rPr>
          <w:rFonts w:ascii="Times New Roman" w:cs="Times New Roman" w:eastAsia="Times New Roman" w:hAnsi="Times New Roman"/>
          <w:sz w:val="18"/>
          <w:szCs w:val="18"/>
          <w:color w:val="auto"/>
        </w:rPr>
        <w:t>, which provides clarification regarding the scope of the asset derecognition guidance and accounting for partial sales of nonfinancial assets. The update defines an in substance nonfinancial asset and clarifies that an entity should identify each distinct nonfinancial asset or in substance nonfinancial asset promised to a counterparty and derecognize each asset when a counterparty obtains control of it. All businesses and nonprofit activities within the scope of Subtopic 610-20 are excluded from the amendments in this update. This guidance will be effective for annual reporting periods beginning after December 15, 2018, and interim reporting periods within annual reporting periods beginning after December 15, 2019 and is required to be applied at the same time as ASU 2014-09 (described above) is applied. The guidance can be applied using one of two methods: the full retrospective method, which requires the standard to be applied to each prior period presented, or the modified retrospective method, which requires the cumulative effect of adoption to be recognized as an adjustment to opening retained earnings in the period of adoption. Amneal is currently evaluating the impact that the standard will have on its consolidated financial statements.</w:t>
      </w:r>
    </w:p>
    <w:p>
      <w:pPr>
        <w:spacing w:after="0" w:line="186" w:lineRule="exact"/>
        <w:rPr>
          <w:sz w:val="20"/>
          <w:szCs w:val="20"/>
          <w:color w:val="auto"/>
        </w:rPr>
      </w:pPr>
    </w:p>
    <w:p>
      <w:pPr>
        <w:ind w:right="20"/>
        <w:spacing w:after="0" w:line="257" w:lineRule="auto"/>
        <w:rPr>
          <w:sz w:val="20"/>
          <w:szCs w:val="20"/>
          <w:color w:val="auto"/>
        </w:rPr>
      </w:pPr>
      <w:r>
        <w:rPr>
          <w:rFonts w:ascii="Times New Roman" w:cs="Times New Roman" w:eastAsia="Times New Roman" w:hAnsi="Times New Roman"/>
          <w:sz w:val="18"/>
          <w:szCs w:val="18"/>
          <w:color w:val="auto"/>
        </w:rPr>
        <w:t xml:space="preserve">In January 2017, the FASB issued ASU 2017-04, </w:t>
      </w:r>
      <w:r>
        <w:rPr>
          <w:rFonts w:ascii="Times New Roman" w:cs="Times New Roman" w:eastAsia="Times New Roman" w:hAnsi="Times New Roman"/>
          <w:sz w:val="18"/>
          <w:szCs w:val="18"/>
          <w:i w:val="1"/>
          <w:iCs w:val="1"/>
          <w:color w:val="auto"/>
        </w:rPr>
        <w:t>Intangibles—Goodwill and Other (Topic 350): Simplifying the Test for Goodwill Impairment</w:t>
      </w:r>
      <w:r>
        <w:rPr>
          <w:rFonts w:ascii="Times New Roman" w:cs="Times New Roman" w:eastAsia="Times New Roman" w:hAnsi="Times New Roman"/>
          <w:sz w:val="18"/>
          <w:szCs w:val="18"/>
          <w:color w:val="auto"/>
        </w:rPr>
        <w:t xml:space="preserve"> that eliminates the requirement to calculate the implied fair value of goodwill (i.e., Step 2 of today’s goodwill impairment test) to measure a goodwill impairment charge. Instead, entities will record an impairment charge based on the excess of a reporting unit’s carrying amount over its fair value (i.e., measure the charge based on today’s Step 1). The standard will be applied prospectively and is effective for Amneal’s annual and interim impairment tests performed in periods beginning after December 15, 2021. Early adoption is permitted for annual and interim goodwill impairment testing dates after January 1, 2017. Amneal is evaluating the impact of this new guidance on its consolidated financial statements.</w:t>
      </w:r>
    </w:p>
    <w:p>
      <w:pPr>
        <w:spacing w:after="0" w:line="183"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18"/>
          <w:szCs w:val="18"/>
          <w:color w:val="auto"/>
        </w:rPr>
        <w:t xml:space="preserve">In June 2016, the FASB issued ASU 2016-13, </w:t>
      </w:r>
      <w:r>
        <w:rPr>
          <w:rFonts w:ascii="Times New Roman" w:cs="Times New Roman" w:eastAsia="Times New Roman" w:hAnsi="Times New Roman"/>
          <w:sz w:val="18"/>
          <w:szCs w:val="18"/>
          <w:i w:val="1"/>
          <w:iCs w:val="1"/>
          <w:color w:val="auto"/>
        </w:rPr>
        <w:t>Financial Instruments—Credit Losses (Topic 326): Measurement of Credit Losses on Financial Instruments</w:t>
      </w:r>
      <w:r>
        <w:rPr>
          <w:rFonts w:ascii="Times New Roman" w:cs="Times New Roman" w:eastAsia="Times New Roman" w:hAnsi="Times New Roman"/>
          <w:sz w:val="18"/>
          <w:szCs w:val="18"/>
          <w:color w:val="auto"/>
        </w:rPr>
        <w:t>, guidance that changes the impairment model for most financial assets including trade receivables and certain other instruments that are not measured at fair value through net income. The standard will replace today’s “incurred loss” approach with an “expected loss” model for instruments measured at amortized cost and require entities to record allowances for available-for-sale debt securities rather than reduce the carrying amount, as they do today under the other-than-temporary impairment model. It also simplifies the accounting model for purchased credit-impaired debt securities and loans. Entities will apply the standard’s provisions as a cumulative effect adjustment to retained earnings as of the beginning of the first reporting period in which the guidance is effective. The guidance is effective for Amneal for the annual period beginning after December 15, 2019. Amneal is evaluating the impact of this new guidance on its consolidated financial statements.</w:t>
      </w:r>
    </w:p>
    <w:p>
      <w:pPr>
        <w:spacing w:after="0" w:line="200" w:lineRule="exact"/>
        <w:rPr>
          <w:sz w:val="20"/>
          <w:szCs w:val="20"/>
          <w:color w:val="auto"/>
        </w:rPr>
      </w:pPr>
    </w:p>
    <w:p>
      <w:pPr>
        <w:spacing w:after="0" w:line="23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11380"/>
          </w:cols>
          <w:pgMar w:left="240" w:top="117" w:right="279" w:bottom="1440" w:gutter="0" w:footer="0" w:header="0"/>
        </w:sectPr>
      </w:pPr>
    </w:p>
    <w:bookmarkStart w:id="16" w:name="page17"/>
    <w:bookmarkEnd w:id="16"/>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(unaudited)</w:t>
      </w:r>
    </w:p>
    <w:p>
      <w:pPr>
        <w:spacing w:after="0" w:line="232" w:lineRule="exact"/>
        <w:rPr>
          <w:sz w:val="20"/>
          <w:szCs w:val="20"/>
          <w:color w:val="auto"/>
        </w:rPr>
      </w:pPr>
    </w:p>
    <w:p>
      <w:pPr>
        <w:ind w:right="360"/>
        <w:spacing w:after="0" w:line="256" w:lineRule="auto"/>
        <w:rPr>
          <w:sz w:val="20"/>
          <w:szCs w:val="20"/>
          <w:color w:val="auto"/>
        </w:rPr>
      </w:pPr>
      <w:r>
        <w:rPr>
          <w:rFonts w:ascii="Times New Roman" w:cs="Times New Roman" w:eastAsia="Times New Roman" w:hAnsi="Times New Roman"/>
          <w:sz w:val="18"/>
          <w:szCs w:val="18"/>
          <w:color w:val="auto"/>
        </w:rPr>
        <w:t xml:space="preserve">In February 2016, the FASB issued ASU 2016-02, </w:t>
      </w:r>
      <w:r>
        <w:rPr>
          <w:rFonts w:ascii="Times New Roman" w:cs="Times New Roman" w:eastAsia="Times New Roman" w:hAnsi="Times New Roman"/>
          <w:sz w:val="18"/>
          <w:szCs w:val="18"/>
          <w:i w:val="1"/>
          <w:iCs w:val="1"/>
          <w:color w:val="auto"/>
        </w:rPr>
        <w:t>Leases (Topic 842)</w:t>
      </w:r>
      <w:r>
        <w:rPr>
          <w:rFonts w:ascii="Times New Roman" w:cs="Times New Roman" w:eastAsia="Times New Roman" w:hAnsi="Times New Roman"/>
          <w:sz w:val="18"/>
          <w:szCs w:val="18"/>
          <w:color w:val="auto"/>
        </w:rPr>
        <w:t>. The new standard establishes a right-of-use (ROU) model that requires a lessee to record a ROU asset and a lease liability on the balance sheet for all leases with terms longer than 12 months. Leases will be classified as either finance or operating, with classification affecting the pattern of expense recognition in the income statement. The guidance is effective for annual periods beginning after December 15, 2019, and interim periods within annual periods beginning after December 15, 2020, with early adoption permitted. A modified retrospective transition approach is required for lessees for capital and operating leases existing at, or entered into after, the beginning of the earliest comparative period presented in the financial statements, with certain practical expedients available. Amneal is currently evaluating the impact that the standard will have on its consolidated financial statements.</w:t>
      </w:r>
    </w:p>
    <w:p>
      <w:pPr>
        <w:spacing w:after="0" w:line="183" w:lineRule="exact"/>
        <w:rPr>
          <w:sz w:val="20"/>
          <w:szCs w:val="20"/>
          <w:color w:val="auto"/>
        </w:rPr>
      </w:pPr>
    </w:p>
    <w:p>
      <w:pPr>
        <w:ind w:right="80"/>
        <w:spacing w:after="0" w:line="261" w:lineRule="auto"/>
        <w:rPr>
          <w:sz w:val="20"/>
          <w:szCs w:val="20"/>
          <w:color w:val="auto"/>
        </w:rPr>
      </w:pPr>
      <w:r>
        <w:rPr>
          <w:rFonts w:ascii="Times New Roman" w:cs="Times New Roman" w:eastAsia="Times New Roman" w:hAnsi="Times New Roman"/>
          <w:sz w:val="18"/>
          <w:szCs w:val="18"/>
          <w:color w:val="auto"/>
        </w:rPr>
        <w:t>In January 2016, the FASB issued ASU 2016-01, Financial Instruments—</w:t>
      </w:r>
      <w:r>
        <w:rPr>
          <w:rFonts w:ascii="Times New Roman" w:cs="Times New Roman" w:eastAsia="Times New Roman" w:hAnsi="Times New Roman"/>
          <w:sz w:val="18"/>
          <w:szCs w:val="18"/>
          <w:i w:val="1"/>
          <w:iCs w:val="1"/>
          <w:color w:val="auto"/>
        </w:rPr>
        <w:t>Overall (Subtopic 825-10),Recognition and Measurement of Financial Assets and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Financial Liabilities</w:t>
      </w:r>
      <w:r>
        <w:rPr>
          <w:rFonts w:ascii="Times New Roman" w:cs="Times New Roman" w:eastAsia="Times New Roman" w:hAnsi="Times New Roman"/>
          <w:sz w:val="18"/>
          <w:szCs w:val="18"/>
          <w:color w:val="auto"/>
        </w:rPr>
        <w:t>, which addresses certain aspects of recognition, measurement, presentation, and disclosure of financial instruments. The guidance is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effective for annual periods and interim periods within those annual periods beginning after December 15, 2018, and early adoption is not permitted. Amneal is currently evaluating the impact that the standard will have on its consolidated financial statements.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3. Revenue Recognition</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Performance Obligations</w:t>
      </w:r>
    </w:p>
    <w:p>
      <w:pPr>
        <w:spacing w:after="0" w:line="229" w:lineRule="exact"/>
        <w:rPr>
          <w:sz w:val="20"/>
          <w:szCs w:val="20"/>
          <w:color w:val="auto"/>
        </w:rPr>
      </w:pPr>
    </w:p>
    <w:p>
      <w:pPr>
        <w:ind w:right="160"/>
        <w:spacing w:after="0" w:line="258" w:lineRule="auto"/>
        <w:rPr>
          <w:sz w:val="20"/>
          <w:szCs w:val="20"/>
          <w:color w:val="auto"/>
        </w:rPr>
      </w:pPr>
      <w:r>
        <w:rPr>
          <w:rFonts w:ascii="Times New Roman" w:cs="Times New Roman" w:eastAsia="Times New Roman" w:hAnsi="Times New Roman"/>
          <w:sz w:val="18"/>
          <w:szCs w:val="18"/>
          <w:color w:val="auto"/>
        </w:rPr>
        <w:t>Amneal’s performance obligation is the supply of finished generic pharmaceutical products to its customers. Amneal’s customers consist primarily of major wholesalers, retail pharmacies, managed care organizations, purchasing co-ops, hospitals, government agencies and pharmaceutical companies. Amneal’s customer contracts generally consist of both a master agreement, which is signed by Amneal and its customer, and a customer submitted purchase order which is governed by the terms and conditions of the master agreement. Customers purchase product by direct channel sales from Amneal or by indirect channel sales through various distribution channels.</w:t>
      </w:r>
    </w:p>
    <w:p>
      <w:pPr>
        <w:spacing w:after="0" w:line="184"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18"/>
          <w:szCs w:val="18"/>
          <w:color w:val="auto"/>
        </w:rPr>
        <w:t>Revenue is recognized when Amneal transfers control of its products to the customer, which typically occurs at a point-in-time, upon delivery. Substantially all of Amneal’s Net revenues in the first quarter of 2018 relate to products which are transferred to the customer at a point-in-time. For a limited number of arrangements, Amneal follows an over-time recognition model since Amneal’s performance does not create an asset with an alternative use and Amneal has an enforceable right to payment for performance completed to date. For these arrangements, revenue is recognized over-time utilizing an output method based on the number of units produced, which most appropriately reflects Amneal’s performance to date and value transferred to the customer. Less than 1% of Amneal’s Net revenues in the first quarter of 2018 relate to products which are transferred to the customer over-time. In limited cases, Amneal charges the customer a fee for shipping and handling charges, which are considered fulfillment activities, and accordingly, the costs are accrued when the related revenue is recognized.</w:t>
      </w:r>
    </w:p>
    <w:p>
      <w:pPr>
        <w:spacing w:after="0" w:line="185" w:lineRule="exact"/>
        <w:rPr>
          <w:sz w:val="20"/>
          <w:szCs w:val="20"/>
          <w:color w:val="auto"/>
        </w:rPr>
      </w:pPr>
    </w:p>
    <w:p>
      <w:pPr>
        <w:ind w:right="40"/>
        <w:spacing w:after="0" w:line="261" w:lineRule="auto"/>
        <w:rPr>
          <w:sz w:val="20"/>
          <w:szCs w:val="20"/>
          <w:color w:val="auto"/>
        </w:rPr>
      </w:pPr>
      <w:r>
        <w:rPr>
          <w:rFonts w:ascii="Times New Roman" w:cs="Times New Roman" w:eastAsia="Times New Roman" w:hAnsi="Times New Roman"/>
          <w:sz w:val="18"/>
          <w:szCs w:val="18"/>
          <w:color w:val="auto"/>
        </w:rPr>
        <w:t>Amneal offers standard payment terms to its customers and has elected the practical expedient to not adjust the promised amount of consideration for the effects of a significant financing, since the period between when Amneal transfers the product to the customer and when the customer pays for that product is one year or less. Taxes collected from customers relating to product sales and remitted to governmental authorities are excluded from revenues. The consideration amounts due from customers as a result of product sales are subject to variable consideration, as described further below.</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Amneal offers standard product warranties which provide assurance that the product will function as expected and in accordance with specifications.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Customers cannot purchase warranties separately and these warranties do not give rise to a separate performance obligation.</w:t>
      </w:r>
    </w:p>
    <w:p>
      <w:pPr>
        <w:spacing w:after="0" w:line="207" w:lineRule="exact"/>
        <w:rPr>
          <w:sz w:val="20"/>
          <w:szCs w:val="20"/>
          <w:color w:val="auto"/>
        </w:rPr>
      </w:pPr>
    </w:p>
    <w:p>
      <w:pPr>
        <w:ind w:right="80"/>
        <w:spacing w:after="0" w:line="282" w:lineRule="auto"/>
        <w:rPr>
          <w:sz w:val="20"/>
          <w:szCs w:val="20"/>
          <w:color w:val="auto"/>
        </w:rPr>
      </w:pPr>
      <w:r>
        <w:rPr>
          <w:rFonts w:ascii="Times New Roman" w:cs="Times New Roman" w:eastAsia="Times New Roman" w:hAnsi="Times New Roman"/>
          <w:sz w:val="18"/>
          <w:szCs w:val="18"/>
          <w:color w:val="auto"/>
        </w:rPr>
        <w:t>Amneal permits the return of product under certain circumstances, mainly upon product expiration, instances of shipping errors or where product is damaged in transit. Amneal accrues for the customer’s right to return as part of its variable consideration. Refer below for further details.</w:t>
      </w:r>
    </w:p>
    <w:p>
      <w:pPr>
        <w:spacing w:after="0" w:line="200" w:lineRule="exact"/>
        <w:rPr>
          <w:sz w:val="20"/>
          <w:szCs w:val="20"/>
          <w:color w:val="auto"/>
        </w:rPr>
      </w:pPr>
    </w:p>
    <w:p>
      <w:pPr>
        <w:spacing w:after="0" w:line="20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12</w:t>
      </w:r>
    </w:p>
    <w:p>
      <w:pPr>
        <w:sectPr>
          <w:pgSz w:w="11900" w:h="16838" w:orient="portrait"/>
          <w:cols w:equalWidth="0" w:num="1">
            <w:col w:w="11400"/>
          </w:cols>
          <w:pgMar w:left="240" w:top="117" w:right="259" w:bottom="1440" w:gutter="0" w:footer="0" w:header="0"/>
        </w:sectPr>
      </w:pPr>
    </w:p>
    <w:bookmarkStart w:id="17" w:name="page18"/>
    <w:bookmarkEnd w:id="17"/>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(unaudited)</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Variable Consideration</w:t>
      </w:r>
    </w:p>
    <w:p>
      <w:pPr>
        <w:spacing w:after="0" w:line="229" w:lineRule="exact"/>
        <w:rPr>
          <w:sz w:val="20"/>
          <w:szCs w:val="20"/>
          <w:color w:val="auto"/>
        </w:rPr>
      </w:pPr>
    </w:p>
    <w:p>
      <w:pPr>
        <w:ind w:right="300"/>
        <w:spacing w:after="0" w:line="261" w:lineRule="auto"/>
        <w:rPr>
          <w:sz w:val="20"/>
          <w:szCs w:val="20"/>
          <w:color w:val="auto"/>
        </w:rPr>
      </w:pPr>
      <w:r>
        <w:rPr>
          <w:rFonts w:ascii="Times New Roman" w:cs="Times New Roman" w:eastAsia="Times New Roman" w:hAnsi="Times New Roman"/>
          <w:sz w:val="18"/>
          <w:szCs w:val="18"/>
          <w:color w:val="auto"/>
        </w:rPr>
        <w:t>Amneal includes an estimate of variable consideration in its transaction price at the time of sale, when control of the product transfers to the customer. Variable consideration includes but is not limited to: chargebacks, rebates, group purchasing organization ("GPO") fees, prompt payment (cash) discounts, consideration payable to the customer, billbacks, Medicaid and other government pricing programs, price protection and shelf stock adjustments, sales returns, and profit shares.</w:t>
      </w:r>
    </w:p>
    <w:p>
      <w:pPr>
        <w:spacing w:after="0" w:line="180" w:lineRule="exact"/>
        <w:rPr>
          <w:sz w:val="20"/>
          <w:szCs w:val="20"/>
          <w:color w:val="auto"/>
        </w:rPr>
      </w:pPr>
    </w:p>
    <w:p>
      <w:pPr>
        <w:ind w:right="80"/>
        <w:spacing w:after="0" w:line="256" w:lineRule="auto"/>
        <w:rPr>
          <w:sz w:val="20"/>
          <w:szCs w:val="20"/>
          <w:color w:val="auto"/>
        </w:rPr>
      </w:pPr>
      <w:r>
        <w:rPr>
          <w:rFonts w:ascii="Times New Roman" w:cs="Times New Roman" w:eastAsia="Times New Roman" w:hAnsi="Times New Roman"/>
          <w:sz w:val="18"/>
          <w:szCs w:val="18"/>
          <w:color w:val="auto"/>
        </w:rPr>
        <w:t>Amneal estimates its variable consideration using the expected value method, which is the sum of probability-weighted amounts in a range of possible consideration amounts, and represents the method that best predicts the amount of consideration to which Amneal will be entitled to for transferring its products to its customers. Amneal assesses whether or not an estimate of its variable consideration is constrained and has determined that the constraint does not apply, since it is probable that a significant reversal in the amount of cumulative revenue will not occur in the future when the uncertainty associated with the variable consideration is subsequently resolved. Amneal’s estimates for variable consideration are adjusted as required at each reporting period for specific known developments that may result in a change in the amount of total consideration it expects to receive.</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Chargebacks</w:t>
      </w:r>
    </w:p>
    <w:p>
      <w:pPr>
        <w:spacing w:after="0" w:line="227" w:lineRule="exact"/>
        <w:rPr>
          <w:sz w:val="20"/>
          <w:szCs w:val="20"/>
          <w:color w:val="auto"/>
        </w:rPr>
      </w:pPr>
    </w:p>
    <w:p>
      <w:pPr>
        <w:spacing w:after="0" w:line="261" w:lineRule="auto"/>
        <w:rPr>
          <w:sz w:val="20"/>
          <w:szCs w:val="20"/>
          <w:color w:val="auto"/>
        </w:rPr>
      </w:pPr>
      <w:r>
        <w:rPr>
          <w:rFonts w:ascii="Times New Roman" w:cs="Times New Roman" w:eastAsia="Times New Roman" w:hAnsi="Times New Roman"/>
          <w:sz w:val="18"/>
          <w:szCs w:val="18"/>
          <w:color w:val="auto"/>
        </w:rPr>
        <w:t>In the case an indirect customer purchases product from their preferred wholesaler instead of directly from Amneal, and the contract price charged to the indirect customer is lower than the wholesaler pricing, Amneal pays the direct customer (wholesaler) a chargeback for the price differential. Amneal estimates its chargeback accrual based on its estimates of the level of inventory of its products in the distribution channel that remain subject to chargebacks and historical chargeback rates. The estimate of the level of products in the distribution channel is based primarily on data provided by key customers.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Rebates</w:t>
      </w:r>
    </w:p>
    <w:p>
      <w:pPr>
        <w:spacing w:after="0" w:line="227" w:lineRule="exact"/>
        <w:rPr>
          <w:sz w:val="20"/>
          <w:szCs w:val="20"/>
          <w:color w:val="auto"/>
        </w:rPr>
      </w:pPr>
    </w:p>
    <w:p>
      <w:pPr>
        <w:ind w:right="140"/>
        <w:spacing w:after="0" w:line="266" w:lineRule="auto"/>
        <w:rPr>
          <w:sz w:val="20"/>
          <w:szCs w:val="20"/>
          <w:color w:val="auto"/>
        </w:rPr>
      </w:pPr>
      <w:r>
        <w:rPr>
          <w:rFonts w:ascii="Times New Roman" w:cs="Times New Roman" w:eastAsia="Times New Roman" w:hAnsi="Times New Roman"/>
          <w:sz w:val="18"/>
          <w:szCs w:val="18"/>
          <w:color w:val="auto"/>
        </w:rPr>
        <w:t>Amneal pays fixed or volume-based rebates to its customers based on a fixed percentage of product sales or based on the achievement of a specified level of purchases. Amneal’s rebate accruals are based on actual net sales, contractual rebate rates negotiated with customers, and expected purchase volumes / corresponding tiers based on actual sales to date and forecasted amounts.</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GPO fees</w:t>
      </w:r>
    </w:p>
    <w:p>
      <w:pPr>
        <w:spacing w:after="0" w:line="227" w:lineRule="exact"/>
        <w:rPr>
          <w:sz w:val="20"/>
          <w:szCs w:val="20"/>
          <w:color w:val="auto"/>
        </w:rPr>
      </w:pPr>
    </w:p>
    <w:p>
      <w:pPr>
        <w:jc w:val="both"/>
        <w:ind w:right="100"/>
        <w:spacing w:after="0" w:line="266" w:lineRule="auto"/>
        <w:rPr>
          <w:sz w:val="20"/>
          <w:szCs w:val="20"/>
          <w:color w:val="auto"/>
        </w:rPr>
      </w:pPr>
      <w:r>
        <w:rPr>
          <w:rFonts w:ascii="Times New Roman" w:cs="Times New Roman" w:eastAsia="Times New Roman" w:hAnsi="Times New Roman"/>
          <w:sz w:val="18"/>
          <w:szCs w:val="18"/>
          <w:color w:val="auto"/>
        </w:rPr>
        <w:t>Amneal pays fees to GPO’s for administrative services that the GPO’s perform in connection with the purchases of product by the GPO participants who are Amneal’s customers. Amneal’s GPO fee accruals are based on actual net sales, contractual fee rates negotiated with GPO’s and the mix of the products in the distribution channel that remain subject to GPO fees.</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Prompt payment (cash) discounts</w:t>
      </w:r>
    </w:p>
    <w:p>
      <w:pPr>
        <w:spacing w:after="0" w:line="227" w:lineRule="exact"/>
        <w:rPr>
          <w:sz w:val="20"/>
          <w:szCs w:val="20"/>
          <w:color w:val="auto"/>
        </w:rPr>
      </w:pPr>
    </w:p>
    <w:p>
      <w:pPr>
        <w:ind w:right="20"/>
        <w:spacing w:after="0" w:line="313" w:lineRule="auto"/>
        <w:rPr>
          <w:sz w:val="20"/>
          <w:szCs w:val="20"/>
          <w:color w:val="auto"/>
        </w:rPr>
      </w:pPr>
      <w:r>
        <w:rPr>
          <w:rFonts w:ascii="Times New Roman" w:cs="Times New Roman" w:eastAsia="Times New Roman" w:hAnsi="Times New Roman"/>
          <w:sz w:val="17"/>
          <w:szCs w:val="17"/>
          <w:color w:val="auto"/>
        </w:rPr>
        <w:t>Amneal provides customers with prompt payment discounts which may result in adjustments to the price that is invoiced for the product transferred, in the case that payments are made within a defined period. Amneal’s prompt payment discount accruals are based on actual net sales and contractual discount rates.</w:t>
      </w:r>
    </w:p>
    <w:p>
      <w:pPr>
        <w:spacing w:after="0" w:line="1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Consideration payable to the customer</w:t>
      </w:r>
    </w:p>
    <w:p>
      <w:pPr>
        <w:spacing w:after="0" w:line="227" w:lineRule="exact"/>
        <w:rPr>
          <w:sz w:val="20"/>
          <w:szCs w:val="20"/>
          <w:color w:val="auto"/>
        </w:rPr>
      </w:pPr>
    </w:p>
    <w:p>
      <w:pPr>
        <w:jc w:val="both"/>
        <w:ind w:right="240"/>
        <w:spacing w:after="0" w:line="266" w:lineRule="auto"/>
        <w:rPr>
          <w:sz w:val="20"/>
          <w:szCs w:val="20"/>
          <w:color w:val="auto"/>
        </w:rPr>
      </w:pPr>
      <w:r>
        <w:rPr>
          <w:rFonts w:ascii="Times New Roman" w:cs="Times New Roman" w:eastAsia="Times New Roman" w:hAnsi="Times New Roman"/>
          <w:sz w:val="18"/>
          <w:szCs w:val="18"/>
          <w:color w:val="auto"/>
        </w:rPr>
        <w:t>Amneal pays administrative and service fees to its customers based on a fixed percentage of the product price. These fees are not in exchange for a distinct good or service and therefore are recognized as a reduction of the transaction price. Amneal accrues for these fees based on actual net sales, contractual fee rates negotiated with the customer and the mix of the products in the distribution channel that remain subject to fees.</w:t>
      </w: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11420"/>
          </w:cols>
          <w:pgMar w:left="240" w:top="117" w:right="239" w:bottom="1440" w:gutter="0" w:footer="0" w:header="0"/>
        </w:sectPr>
      </w:pPr>
    </w:p>
    <w:bookmarkStart w:id="18" w:name="page19"/>
    <w:bookmarkEnd w:id="18"/>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(unaudited)</w:t>
      </w:r>
    </w:p>
    <w:p>
      <w:pPr>
        <w:spacing w:after="0" w:line="23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Billbacks</w:t>
      </w:r>
    </w:p>
    <w:p>
      <w:pPr>
        <w:spacing w:after="0" w:line="227" w:lineRule="exact"/>
        <w:rPr>
          <w:sz w:val="20"/>
          <w:szCs w:val="20"/>
          <w:color w:val="auto"/>
        </w:rPr>
      </w:pPr>
    </w:p>
    <w:p>
      <w:pPr>
        <w:ind w:right="80"/>
        <w:spacing w:after="0" w:line="261" w:lineRule="auto"/>
        <w:rPr>
          <w:sz w:val="20"/>
          <w:szCs w:val="20"/>
          <w:color w:val="auto"/>
        </w:rPr>
      </w:pPr>
      <w:r>
        <w:rPr>
          <w:rFonts w:ascii="Times New Roman" w:cs="Times New Roman" w:eastAsia="Times New Roman" w:hAnsi="Times New Roman"/>
          <w:sz w:val="18"/>
          <w:szCs w:val="18"/>
          <w:color w:val="auto"/>
        </w:rPr>
        <w:t>In the case an indirect customer purchases product from their preferred wholesaler instead of directly from Amneal, and the contract price charged to the indirect customer is higher than contractual pricing, Amneal pays the indirect customer a billback for the price differential. Amneal estimates its billback accrual based on its estimates of the level of inventory of its products in the distribution channel that remain subject to billbacks and historical billback rates. The estimate of the level of products in the distribution channel is based primarily on data provided by key customers.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Medicaid and other government pricing programs</w:t>
      </w:r>
    </w:p>
    <w:p>
      <w:pPr>
        <w:spacing w:after="0" w:line="227"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Amneal complies with required rebates mandated by law under Medicaid and other government pricing programs. Amneal estimates its government pricing accruals based on monthly sales, historical experience of claims submitted by the various states and jurisdictions, historical rates and estimated lag time of the rebate invoices.</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Price protection and shelf stock adjustments</w:t>
      </w:r>
    </w:p>
    <w:p>
      <w:pPr>
        <w:spacing w:after="0" w:line="227" w:lineRule="exact"/>
        <w:rPr>
          <w:sz w:val="20"/>
          <w:szCs w:val="20"/>
          <w:color w:val="auto"/>
        </w:rPr>
      </w:pPr>
    </w:p>
    <w:p>
      <w:pPr>
        <w:ind w:right="300"/>
        <w:spacing w:after="0" w:line="258" w:lineRule="auto"/>
        <w:rPr>
          <w:sz w:val="20"/>
          <w:szCs w:val="20"/>
          <w:color w:val="auto"/>
        </w:rPr>
      </w:pPr>
      <w:r>
        <w:rPr>
          <w:rFonts w:ascii="Times New Roman" w:cs="Times New Roman" w:eastAsia="Times New Roman" w:hAnsi="Times New Roman"/>
          <w:sz w:val="18"/>
          <w:szCs w:val="18"/>
          <w:color w:val="auto"/>
        </w:rPr>
        <w:t>Amneal provides customers with price protection and shelf stock adjustments which may result in an adjustment to the price charged for the product transferred, based on differences between old and new prices which may be applied to the customer’s on-hand inventory at the time of the price change. Amneal accrues for these adjustments when its expected value of an adjustment is greater than zero, based on contractual pricing, actual net sales, accrual rates based on historical average rates, and estimates of the level of inventory of its products in the distribution channel that remain subject to these adjustments. The estimate of the level of products in the distribution channel is based primarily on data provided by key customers.</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Sales returns</w:t>
      </w:r>
    </w:p>
    <w:p>
      <w:pPr>
        <w:spacing w:after="0" w:line="227" w:lineRule="exact"/>
        <w:rPr>
          <w:sz w:val="20"/>
          <w:szCs w:val="20"/>
          <w:color w:val="auto"/>
        </w:rPr>
      </w:pPr>
    </w:p>
    <w:p>
      <w:pPr>
        <w:ind w:right="60"/>
        <w:spacing w:after="0" w:line="261" w:lineRule="auto"/>
        <w:rPr>
          <w:sz w:val="20"/>
          <w:szCs w:val="20"/>
          <w:color w:val="auto"/>
        </w:rPr>
      </w:pPr>
      <w:r>
        <w:rPr>
          <w:rFonts w:ascii="Times New Roman" w:cs="Times New Roman" w:eastAsia="Times New Roman" w:hAnsi="Times New Roman"/>
          <w:sz w:val="18"/>
          <w:szCs w:val="18"/>
          <w:color w:val="auto"/>
        </w:rPr>
        <w:t>Amneal permits the return of product under certain circumstances, mainly upon product expiration, instances of shipping errors or where product is damaged in transit, and occurrences of product recalls. Amneal’s product returns accrual is primarily based on estimates of future product returns based generally on actual net sales, estimates of the level of inventory of its products in the distribution channel that remain subject to returns, estimated lag time of returns and historical return rates. The estimate of the level of products in the distribution channel is based primarily on data provided by key customers.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Profit Shares</w:t>
      </w:r>
    </w:p>
    <w:p>
      <w:pPr>
        <w:spacing w:after="0" w:line="227" w:lineRule="exact"/>
        <w:rPr>
          <w:sz w:val="20"/>
          <w:szCs w:val="20"/>
          <w:color w:val="auto"/>
        </w:rPr>
      </w:pPr>
    </w:p>
    <w:p>
      <w:pPr>
        <w:ind w:right="40"/>
        <w:spacing w:after="0" w:line="261" w:lineRule="auto"/>
        <w:rPr>
          <w:sz w:val="20"/>
          <w:szCs w:val="20"/>
          <w:color w:val="auto"/>
        </w:rPr>
      </w:pPr>
      <w:r>
        <w:rPr>
          <w:rFonts w:ascii="Times New Roman" w:cs="Times New Roman" w:eastAsia="Times New Roman" w:hAnsi="Times New Roman"/>
          <w:sz w:val="18"/>
          <w:szCs w:val="18"/>
          <w:color w:val="auto"/>
        </w:rPr>
        <w:t>For certain product sale arrangements, Amneal earns a profit share upon the customer’s sell-through of the product purchased from Amneal. Amneal estimates its profit shares based on actual net sales, estimates of the level of inventory of its products in the distribution channel that remain subject to profit shares, and historical rates of profit shares earned. The estimate of the level of products in the distribution channel is based primarily on data provided by key customers.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Contract Balances</w:t>
      </w:r>
    </w:p>
    <w:p>
      <w:pPr>
        <w:spacing w:after="0" w:line="229" w:lineRule="exact"/>
        <w:rPr>
          <w:sz w:val="20"/>
          <w:szCs w:val="20"/>
          <w:color w:val="auto"/>
        </w:rPr>
      </w:pPr>
    </w:p>
    <w:p>
      <w:pPr>
        <w:ind w:right="280"/>
        <w:spacing w:after="0" w:line="282" w:lineRule="auto"/>
        <w:rPr>
          <w:sz w:val="20"/>
          <w:szCs w:val="20"/>
          <w:color w:val="auto"/>
        </w:rPr>
      </w:pPr>
      <w:r>
        <w:rPr>
          <w:rFonts w:ascii="Times New Roman" w:cs="Times New Roman" w:eastAsia="Times New Roman" w:hAnsi="Times New Roman"/>
          <w:sz w:val="18"/>
          <w:szCs w:val="18"/>
          <w:color w:val="auto"/>
        </w:rPr>
        <w:t>The contract asset balance was $2.5 million as of March 31, 2018, including $0.4 million in Prepaid expenses and other current assets, and $2.1 million in Related-party receivables.</w:t>
      </w:r>
    </w:p>
    <w:p>
      <w:pPr>
        <w:spacing w:after="0" w:line="200" w:lineRule="exact"/>
        <w:rPr>
          <w:sz w:val="20"/>
          <w:szCs w:val="20"/>
          <w:color w:val="auto"/>
        </w:rPr>
      </w:pPr>
    </w:p>
    <w:p>
      <w:pPr>
        <w:spacing w:after="0" w:line="20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14</w:t>
      </w:r>
    </w:p>
    <w:p>
      <w:pPr>
        <w:sectPr>
          <w:pgSz w:w="11900" w:h="16838" w:orient="portrait"/>
          <w:cols w:equalWidth="0" w:num="1">
            <w:col w:w="11380"/>
          </w:cols>
          <w:pgMar w:left="240" w:top="117" w:right="279" w:bottom="1440" w:gutter="0" w:footer="0" w:header="0"/>
        </w:sectPr>
      </w:pPr>
    </w:p>
    <w:bookmarkStart w:id="19" w:name="page20"/>
    <w:bookmarkEnd w:id="19"/>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(unaudited)</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4. Trade Accounts Receivable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Trade accounts receivable is comprised of the following (in thousands):</w:t>
      </w:r>
    </w:p>
    <w:p>
      <w:pPr>
        <w:spacing w:after="0" w:line="383" w:lineRule="exact"/>
        <w:rPr>
          <w:sz w:val="20"/>
          <w:szCs w:val="20"/>
          <w:color w:val="auto"/>
        </w:rPr>
      </w:pPr>
    </w:p>
    <w:tbl>
      <w:tblPr>
        <w:tblLayout w:type="fixed"/>
        <w:tblInd w:w="560" w:type="dxa"/>
        <w:tblCellMar>
          <w:top w:w="0" w:type="dxa"/>
          <w:left w:w="0" w:type="dxa"/>
          <w:bottom w:w="0" w:type="dxa"/>
          <w:right w:w="0" w:type="dxa"/>
        </w:tblCellMar>
      </w:tblPr>
      <w:tr>
        <w:trPr>
          <w:trHeight w:val="238"/>
        </w:trPr>
        <w:tc>
          <w:tcPr>
            <w:tcW w:w="53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800" w:type="dxa"/>
            <w:vAlign w:val="bottom"/>
            <w:gridSpan w:val="2"/>
          </w:tcPr>
          <w:p>
            <w:pPr>
              <w:ind w:left="140"/>
              <w:spacing w:after="0"/>
              <w:rPr>
                <w:sz w:val="20"/>
                <w:szCs w:val="20"/>
                <w:color w:val="auto"/>
              </w:rPr>
            </w:pPr>
            <w:r>
              <w:rPr>
                <w:rFonts w:ascii="Times New Roman" w:cs="Times New Roman" w:eastAsia="Times New Roman" w:hAnsi="Times New Roman"/>
                <w:sz w:val="18"/>
                <w:szCs w:val="18"/>
                <w:b w:val="1"/>
                <w:bCs w:val="1"/>
                <w:color w:val="auto"/>
              </w:rPr>
              <w:t>March 31, 2018</w:t>
            </w:r>
          </w:p>
        </w:tc>
        <w:tc>
          <w:tcPr>
            <w:tcW w:w="260" w:type="dxa"/>
            <w:vAlign w:val="bottom"/>
          </w:tcPr>
          <w:p>
            <w:pPr>
              <w:spacing w:after="0"/>
              <w:rPr>
                <w:sz w:val="20"/>
                <w:szCs w:val="20"/>
                <w:color w:val="auto"/>
              </w:rPr>
            </w:pPr>
          </w:p>
        </w:tc>
        <w:tc>
          <w:tcPr>
            <w:tcW w:w="1980" w:type="dxa"/>
            <w:vAlign w:val="bottom"/>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December 31, 2017</w:t>
            </w:r>
          </w:p>
        </w:tc>
      </w:tr>
      <w:tr>
        <w:trPr>
          <w:trHeight w:val="27"/>
        </w:trPr>
        <w:tc>
          <w:tcPr>
            <w:tcW w:w="534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980" w:type="dxa"/>
            <w:vAlign w:val="bottom"/>
            <w:tcBorders>
              <w:bottom w:val="single" w:sz="8" w:color="auto"/>
            </w:tcBorders>
          </w:tcPr>
          <w:p>
            <w:pPr>
              <w:spacing w:after="0"/>
              <w:rPr>
                <w:sz w:val="2"/>
                <w:szCs w:val="2"/>
                <w:color w:val="auto"/>
              </w:rPr>
            </w:pPr>
          </w:p>
        </w:tc>
      </w:tr>
      <w:tr>
        <w:trPr>
          <w:trHeight w:val="237"/>
        </w:trPr>
        <w:tc>
          <w:tcPr>
            <w:tcW w:w="53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Gross trade accounts receivable</w:t>
            </w:r>
          </w:p>
        </w:tc>
        <w:tc>
          <w:tcPr>
            <w:tcW w:w="2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7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755,814</w:t>
            </w:r>
          </w:p>
        </w:tc>
        <w:tc>
          <w:tcPr>
            <w:tcW w:w="100" w:type="dxa"/>
            <w:vAlign w:val="bottom"/>
          </w:tcPr>
          <w:p>
            <w:pPr>
              <w:spacing w:after="0"/>
              <w:rPr>
                <w:sz w:val="20"/>
                <w:szCs w:val="20"/>
                <w:color w:val="auto"/>
              </w:rPr>
            </w:pP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9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827,302</w:t>
            </w:r>
          </w:p>
        </w:tc>
      </w:tr>
      <w:tr>
        <w:trPr>
          <w:trHeight w:val="27"/>
        </w:trPr>
        <w:tc>
          <w:tcPr>
            <w:tcW w:w="5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980" w:type="dxa"/>
            <w:vAlign w:val="bottom"/>
          </w:tcPr>
          <w:p>
            <w:pPr>
              <w:spacing w:after="0"/>
              <w:rPr>
                <w:sz w:val="2"/>
                <w:szCs w:val="2"/>
                <w:color w:val="auto"/>
              </w:rPr>
            </w:pPr>
          </w:p>
        </w:tc>
      </w:tr>
      <w:tr>
        <w:trPr>
          <w:trHeight w:val="250"/>
        </w:trPr>
        <w:tc>
          <w:tcPr>
            <w:tcW w:w="53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Allowance for doubtful accounts</w:t>
            </w:r>
          </w:p>
        </w:tc>
        <w:tc>
          <w:tcPr>
            <w:tcW w:w="24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(1,917)</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98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(1,824)</w:t>
            </w:r>
          </w:p>
        </w:tc>
      </w:tr>
      <w:tr>
        <w:trPr>
          <w:trHeight w:val="243"/>
        </w:trPr>
        <w:tc>
          <w:tcPr>
            <w:tcW w:w="53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Contract charge-backs and sales volume allowances</w:t>
            </w:r>
          </w:p>
        </w:tc>
        <w:tc>
          <w:tcPr>
            <w:tcW w:w="240" w:type="dxa"/>
            <w:vAlign w:val="bottom"/>
          </w:tcPr>
          <w:p>
            <w:pPr>
              <w:spacing w:after="0"/>
              <w:rPr>
                <w:sz w:val="21"/>
                <w:szCs w:val="21"/>
                <w:color w:val="auto"/>
              </w:rPr>
            </w:pPr>
          </w:p>
        </w:tc>
        <w:tc>
          <w:tcPr>
            <w:tcW w:w="17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(389,302)</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9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(453,703)</w:t>
            </w:r>
          </w:p>
        </w:tc>
      </w:tr>
      <w:tr>
        <w:trPr>
          <w:trHeight w:val="27"/>
        </w:trPr>
        <w:tc>
          <w:tcPr>
            <w:tcW w:w="5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980" w:type="dxa"/>
            <w:vAlign w:val="bottom"/>
          </w:tcPr>
          <w:p>
            <w:pPr>
              <w:spacing w:after="0"/>
              <w:rPr>
                <w:sz w:val="2"/>
                <w:szCs w:val="2"/>
                <w:color w:val="auto"/>
              </w:rPr>
            </w:pPr>
          </w:p>
        </w:tc>
      </w:tr>
      <w:tr>
        <w:trPr>
          <w:trHeight w:val="270"/>
        </w:trPr>
        <w:tc>
          <w:tcPr>
            <w:tcW w:w="53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Cash discount allowances</w:t>
            </w:r>
          </w:p>
        </w:tc>
        <w:tc>
          <w:tcPr>
            <w:tcW w:w="240" w:type="dxa"/>
            <w:vAlign w:val="bottom"/>
            <w:tcBorders>
              <w:bottom w:val="single" w:sz="8" w:color="CCEEFF"/>
            </w:tcBorders>
            <w:shd w:val="clear" w:color="auto" w:fill="CCEEFF"/>
          </w:tcPr>
          <w:p>
            <w:pPr>
              <w:spacing w:after="0"/>
              <w:rPr>
                <w:sz w:val="23"/>
                <w:szCs w:val="23"/>
                <w:color w:val="auto"/>
              </w:rPr>
            </w:pPr>
          </w:p>
        </w:tc>
        <w:tc>
          <w:tcPr>
            <w:tcW w:w="17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(17,915)</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98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(20,408)</w:t>
            </w:r>
          </w:p>
        </w:tc>
      </w:tr>
      <w:tr>
        <w:trPr>
          <w:trHeight w:val="257"/>
        </w:trPr>
        <w:tc>
          <w:tcPr>
            <w:tcW w:w="53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Trade accounts receivable – net</w:t>
            </w: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7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346,680</w:t>
            </w:r>
          </w:p>
        </w:tc>
        <w:tc>
          <w:tcPr>
            <w:tcW w:w="100" w:type="dxa"/>
            <w:vAlign w:val="bottom"/>
          </w:tcPr>
          <w:p>
            <w:pPr>
              <w:spacing w:after="0"/>
              <w:rPr>
                <w:sz w:val="22"/>
                <w:szCs w:val="22"/>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98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351,367</w:t>
            </w:r>
          </w:p>
        </w:tc>
      </w:tr>
      <w:tr>
        <w:trPr>
          <w:trHeight w:val="20"/>
        </w:trPr>
        <w:tc>
          <w:tcPr>
            <w:tcW w:w="53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98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For the three months ended March 31, 2018, Amneal’s top four customers represented individually net revenues exceeding 10% or more of total net revenues, respectively, 28%, 13%, 12%, and 12%. For the three months ended March 31, 2017, Amneal’s top three customers represented individually net revenues exceeding 10% or more of total net revenues, respectively, 20%, 15%, and 14%.</w:t>
      </w:r>
    </w:p>
    <w:p>
      <w:pPr>
        <w:spacing w:after="0" w:line="176" w:lineRule="exact"/>
        <w:rPr>
          <w:sz w:val="20"/>
          <w:szCs w:val="20"/>
          <w:color w:val="auto"/>
        </w:rPr>
      </w:pPr>
    </w:p>
    <w:p>
      <w:pPr>
        <w:ind w:right="340"/>
        <w:spacing w:after="0" w:line="266" w:lineRule="auto"/>
        <w:rPr>
          <w:sz w:val="20"/>
          <w:szCs w:val="20"/>
          <w:color w:val="auto"/>
        </w:rPr>
      </w:pPr>
      <w:r>
        <w:rPr>
          <w:rFonts w:ascii="Times New Roman" w:cs="Times New Roman" w:eastAsia="Times New Roman" w:hAnsi="Times New Roman"/>
          <w:sz w:val="18"/>
          <w:szCs w:val="18"/>
          <w:color w:val="auto"/>
        </w:rPr>
        <w:t>Receivables from customers representing 10% or more of Amneal’s gross trade accounts receivable reflected three customers at March 31, 2018, equal to 44%, 27%, and 15%, respectively. Receivables from customers representing 10% or more of Amneal’s gross trade accounts receivable reflected three customers at December 31, 2017, equal to 36%, 27%, and 19%, respectively.</w:t>
      </w:r>
    </w:p>
    <w:p>
      <w:pPr>
        <w:spacing w:after="0" w:line="176" w:lineRule="exact"/>
        <w:rPr>
          <w:sz w:val="20"/>
          <w:szCs w:val="20"/>
          <w:color w:val="auto"/>
        </w:rPr>
      </w:pPr>
    </w:p>
    <w:p>
      <w:pPr>
        <w:ind w:right="180"/>
        <w:spacing w:after="0" w:line="282" w:lineRule="auto"/>
        <w:rPr>
          <w:sz w:val="20"/>
          <w:szCs w:val="20"/>
          <w:color w:val="auto"/>
        </w:rPr>
      </w:pPr>
      <w:r>
        <w:rPr>
          <w:rFonts w:ascii="Times New Roman" w:cs="Times New Roman" w:eastAsia="Times New Roman" w:hAnsi="Times New Roman"/>
          <w:sz w:val="18"/>
          <w:szCs w:val="18"/>
          <w:color w:val="auto"/>
        </w:rPr>
        <w:t>One product represented 10% or more of Amneal’s total net revenues which was 15% for the three months ended March 31, 2018. One product represented 10% or more of Amneal’s total net revenues which was 13% for the three months ended March 31, 2017.</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5. Inventories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Inventories are comprised of the following (in thousands):</w:t>
      </w:r>
    </w:p>
    <w:p>
      <w:pPr>
        <w:spacing w:after="0" w:line="383" w:lineRule="exact"/>
        <w:rPr>
          <w:sz w:val="20"/>
          <w:szCs w:val="20"/>
          <w:color w:val="auto"/>
        </w:rPr>
      </w:pPr>
    </w:p>
    <w:tbl>
      <w:tblPr>
        <w:tblLayout w:type="fixed"/>
        <w:tblInd w:w="560" w:type="dxa"/>
        <w:tblCellMar>
          <w:top w:w="0" w:type="dxa"/>
          <w:left w:w="0" w:type="dxa"/>
          <w:bottom w:w="0" w:type="dxa"/>
          <w:right w:w="0" w:type="dxa"/>
        </w:tblCellMar>
      </w:tblPr>
      <w:tr>
        <w:trPr>
          <w:trHeight w:val="238"/>
        </w:trPr>
        <w:tc>
          <w:tcPr>
            <w:tcW w:w="318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92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March 31, 2018</w:t>
            </w:r>
          </w:p>
        </w:tc>
        <w:tc>
          <w:tcPr>
            <w:tcW w:w="340" w:type="dxa"/>
            <w:vAlign w:val="bottom"/>
          </w:tcPr>
          <w:p>
            <w:pPr>
              <w:spacing w:after="0"/>
              <w:rPr>
                <w:sz w:val="20"/>
                <w:szCs w:val="20"/>
                <w:color w:val="auto"/>
              </w:rPr>
            </w:pPr>
          </w:p>
        </w:tc>
        <w:tc>
          <w:tcPr>
            <w:tcW w:w="1920" w:type="dxa"/>
            <w:vAlign w:val="bottom"/>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December 31, 2017</w:t>
            </w:r>
          </w:p>
        </w:tc>
        <w:tc>
          <w:tcPr>
            <w:tcW w:w="0" w:type="dxa"/>
            <w:vAlign w:val="bottom"/>
          </w:tcPr>
          <w:p>
            <w:pPr>
              <w:spacing w:after="0"/>
              <w:rPr>
                <w:sz w:val="1"/>
                <w:szCs w:val="1"/>
                <w:color w:val="auto"/>
              </w:rPr>
            </w:pPr>
          </w:p>
        </w:tc>
      </w:tr>
      <w:tr>
        <w:trPr>
          <w:trHeight w:val="27"/>
        </w:trPr>
        <w:tc>
          <w:tcPr>
            <w:tcW w:w="318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Raw materials</w:t>
            </w:r>
          </w:p>
        </w:tc>
        <w:tc>
          <w:tcPr>
            <w:tcW w:w="19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180" w:type="dxa"/>
            <w:vAlign w:val="bottom"/>
            <w:vMerge w:val="continue"/>
          </w:tcPr>
          <w:p>
            <w:pPr>
              <w:spacing w:after="0"/>
              <w:rPr>
                <w:sz w:val="20"/>
                <w:szCs w:val="20"/>
                <w:color w:val="auto"/>
              </w:rPr>
            </w:pPr>
          </w:p>
        </w:tc>
        <w:tc>
          <w:tcPr>
            <w:tcW w:w="22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155,307</w:t>
            </w:r>
          </w:p>
        </w:tc>
        <w:tc>
          <w:tcPr>
            <w:tcW w:w="280" w:type="dxa"/>
            <w:vAlign w:val="bottom"/>
          </w:tcPr>
          <w:p>
            <w:pPr>
              <w:spacing w:after="0"/>
              <w:rPr>
                <w:sz w:val="20"/>
                <w:szCs w:val="20"/>
                <w:color w:val="auto"/>
              </w:rPr>
            </w:pPr>
          </w:p>
        </w:tc>
        <w:tc>
          <w:tcPr>
            <w:tcW w:w="34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9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140,051</w:t>
            </w:r>
          </w:p>
        </w:tc>
        <w:tc>
          <w:tcPr>
            <w:tcW w:w="0" w:type="dxa"/>
            <w:vAlign w:val="bottom"/>
          </w:tcPr>
          <w:p>
            <w:pPr>
              <w:spacing w:after="0"/>
              <w:rPr>
                <w:sz w:val="1"/>
                <w:szCs w:val="1"/>
                <w:color w:val="auto"/>
              </w:rPr>
            </w:pPr>
          </w:p>
        </w:tc>
      </w:tr>
      <w:tr>
        <w:trPr>
          <w:trHeight w:val="27"/>
        </w:trPr>
        <w:tc>
          <w:tcPr>
            <w:tcW w:w="3180" w:type="dxa"/>
            <w:vAlign w:val="bottom"/>
          </w:tcPr>
          <w:p>
            <w:pPr>
              <w:spacing w:after="0"/>
              <w:rPr>
                <w:sz w:val="2"/>
                <w:szCs w:val="2"/>
                <w:color w:val="auto"/>
              </w:rPr>
            </w:pPr>
          </w:p>
        </w:tc>
        <w:tc>
          <w:tcPr>
            <w:tcW w:w="19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1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Work-in-progress</w:t>
            </w:r>
          </w:p>
        </w:tc>
        <w:tc>
          <w:tcPr>
            <w:tcW w:w="19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50,177</w:t>
            </w:r>
          </w:p>
        </w:tc>
        <w:tc>
          <w:tcPr>
            <w:tcW w:w="2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9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38,146</w:t>
            </w:r>
          </w:p>
        </w:tc>
        <w:tc>
          <w:tcPr>
            <w:tcW w:w="0" w:type="dxa"/>
            <w:vAlign w:val="bottom"/>
          </w:tcPr>
          <w:p>
            <w:pPr>
              <w:spacing w:after="0"/>
              <w:rPr>
                <w:sz w:val="1"/>
                <w:szCs w:val="1"/>
                <w:color w:val="auto"/>
              </w:rPr>
            </w:pPr>
          </w:p>
        </w:tc>
      </w:tr>
      <w:tr>
        <w:trPr>
          <w:trHeight w:val="243"/>
        </w:trPr>
        <w:tc>
          <w:tcPr>
            <w:tcW w:w="3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Finished goods</w:t>
            </w:r>
          </w:p>
        </w:tc>
        <w:tc>
          <w:tcPr>
            <w:tcW w:w="19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6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122,402</w:t>
            </w:r>
          </w:p>
        </w:tc>
        <w:tc>
          <w:tcPr>
            <w:tcW w:w="2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9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105,841</w:t>
            </w:r>
          </w:p>
        </w:tc>
        <w:tc>
          <w:tcPr>
            <w:tcW w:w="0" w:type="dxa"/>
            <w:vAlign w:val="bottom"/>
          </w:tcPr>
          <w:p>
            <w:pPr>
              <w:spacing w:after="0"/>
              <w:rPr>
                <w:sz w:val="1"/>
                <w:szCs w:val="1"/>
                <w:color w:val="auto"/>
              </w:rPr>
            </w:pPr>
          </w:p>
        </w:tc>
      </w:tr>
      <w:tr>
        <w:trPr>
          <w:trHeight w:val="27"/>
        </w:trPr>
        <w:tc>
          <w:tcPr>
            <w:tcW w:w="3180" w:type="dxa"/>
            <w:vAlign w:val="bottom"/>
            <w:tcBorders>
              <w:bottom w:val="single" w:sz="8" w:color="CCEEFF"/>
            </w:tcBorders>
          </w:tcPr>
          <w:p>
            <w:pPr>
              <w:spacing w:after="0"/>
              <w:rPr>
                <w:sz w:val="2"/>
                <w:szCs w:val="2"/>
                <w:color w:val="auto"/>
              </w:rPr>
            </w:pPr>
          </w:p>
        </w:tc>
        <w:tc>
          <w:tcPr>
            <w:tcW w:w="19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2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1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Inventories</w:t>
            </w:r>
          </w:p>
        </w:tc>
        <w:tc>
          <w:tcPr>
            <w:tcW w:w="2260" w:type="dxa"/>
            <w:vAlign w:val="bottom"/>
            <w:tcBorders>
              <w:bottom w:val="single" w:sz="8" w:color="CCEEFF"/>
            </w:tcBorders>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6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327,886</w:t>
            </w:r>
          </w:p>
        </w:tc>
        <w:tc>
          <w:tcPr>
            <w:tcW w:w="28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9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284,038</w:t>
            </w:r>
          </w:p>
        </w:tc>
        <w:tc>
          <w:tcPr>
            <w:tcW w:w="0" w:type="dxa"/>
            <w:vAlign w:val="bottom"/>
          </w:tcPr>
          <w:p>
            <w:pPr>
              <w:spacing w:after="0"/>
              <w:rPr>
                <w:sz w:val="1"/>
                <w:szCs w:val="1"/>
                <w:color w:val="auto"/>
              </w:rPr>
            </w:pPr>
          </w:p>
        </w:tc>
      </w:tr>
      <w:tr>
        <w:trPr>
          <w:trHeight w:val="20"/>
        </w:trPr>
        <w:tc>
          <w:tcPr>
            <w:tcW w:w="3180" w:type="dxa"/>
            <w:vAlign w:val="bottom"/>
            <w:tcBorders>
              <w:top w:val="single" w:sz="8" w:color="CCEEFF"/>
            </w:tcBorders>
          </w:tcPr>
          <w:p>
            <w:pPr>
              <w:spacing w:after="0" w:line="20" w:lineRule="exact"/>
              <w:rPr>
                <w:sz w:val="1"/>
                <w:szCs w:val="1"/>
                <w:color w:val="auto"/>
              </w:rPr>
            </w:pPr>
          </w:p>
        </w:tc>
        <w:tc>
          <w:tcPr>
            <w:tcW w:w="19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9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6"/>
        </w:trPr>
        <w:tc>
          <w:tcPr>
            <w:tcW w:w="3180" w:type="dxa"/>
            <w:vAlign w:val="bottom"/>
          </w:tcPr>
          <w:p>
            <w:pPr>
              <w:spacing w:after="0"/>
              <w:rPr>
                <w:sz w:val="24"/>
                <w:szCs w:val="24"/>
                <w:color w:val="auto"/>
              </w:rPr>
            </w:pPr>
          </w:p>
        </w:tc>
        <w:tc>
          <w:tcPr>
            <w:tcW w:w="22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15</w:t>
            </w:r>
          </w:p>
        </w:tc>
        <w:tc>
          <w:tcPr>
            <w:tcW w:w="16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00"/>
          </w:cols>
          <w:pgMar w:left="240" w:top="117" w:right="259" w:bottom="1440" w:gutter="0" w:footer="0" w:header="0"/>
        </w:sectPr>
      </w:pPr>
    </w:p>
    <w:bookmarkStart w:id="20" w:name="page21"/>
    <w:bookmarkEnd w:id="20"/>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(unaudited)</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6. Property, Plant, and Equipment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Property, plant, and equipment is comprised of the following (in thousands):</w:t>
      </w:r>
    </w:p>
    <w:p>
      <w:pPr>
        <w:spacing w:after="0" w:line="383" w:lineRule="exact"/>
        <w:rPr>
          <w:sz w:val="20"/>
          <w:szCs w:val="20"/>
          <w:color w:val="auto"/>
        </w:rPr>
      </w:pPr>
    </w:p>
    <w:tbl>
      <w:tblPr>
        <w:tblLayout w:type="fixed"/>
        <w:tblInd w:w="560" w:type="dxa"/>
        <w:tblCellMar>
          <w:top w:w="0" w:type="dxa"/>
          <w:left w:w="0" w:type="dxa"/>
          <w:bottom w:w="0" w:type="dxa"/>
          <w:right w:w="0" w:type="dxa"/>
        </w:tblCellMar>
      </w:tblPr>
      <w:tr>
        <w:trPr>
          <w:trHeight w:val="238"/>
        </w:trPr>
        <w:tc>
          <w:tcPr>
            <w:tcW w:w="5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900" w:type="dxa"/>
            <w:vAlign w:val="bottom"/>
            <w:gridSpan w:val="2"/>
          </w:tcPr>
          <w:p>
            <w:pPr>
              <w:ind w:left="100"/>
              <w:spacing w:after="0"/>
              <w:rPr>
                <w:sz w:val="20"/>
                <w:szCs w:val="20"/>
                <w:color w:val="auto"/>
              </w:rPr>
            </w:pPr>
            <w:r>
              <w:rPr>
                <w:rFonts w:ascii="Times New Roman" w:cs="Times New Roman" w:eastAsia="Times New Roman" w:hAnsi="Times New Roman"/>
                <w:sz w:val="18"/>
                <w:szCs w:val="18"/>
                <w:b w:val="1"/>
                <w:bCs w:val="1"/>
                <w:color w:val="auto"/>
              </w:rPr>
              <w:t>March 31, 2018</w:t>
            </w:r>
          </w:p>
        </w:tc>
        <w:tc>
          <w:tcPr>
            <w:tcW w:w="280" w:type="dxa"/>
            <w:vAlign w:val="bottom"/>
          </w:tcPr>
          <w:p>
            <w:pPr>
              <w:spacing w:after="0"/>
              <w:rPr>
                <w:sz w:val="20"/>
                <w:szCs w:val="20"/>
                <w:color w:val="auto"/>
              </w:rPr>
            </w:pPr>
          </w:p>
        </w:tc>
        <w:tc>
          <w:tcPr>
            <w:tcW w:w="1980" w:type="dxa"/>
            <w:vAlign w:val="bottom"/>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December 31, 2017</w:t>
            </w:r>
          </w:p>
        </w:tc>
        <w:tc>
          <w:tcPr>
            <w:tcW w:w="0" w:type="dxa"/>
            <w:vAlign w:val="bottom"/>
          </w:tcPr>
          <w:p>
            <w:pPr>
              <w:spacing w:after="0"/>
              <w:rPr>
                <w:sz w:val="1"/>
                <w:szCs w:val="1"/>
                <w:color w:val="auto"/>
              </w:rPr>
            </w:pPr>
          </w:p>
        </w:tc>
      </w:tr>
      <w:tr>
        <w:trPr>
          <w:trHeight w:val="27"/>
        </w:trPr>
        <w:tc>
          <w:tcPr>
            <w:tcW w:w="522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Land</w:t>
            </w:r>
          </w:p>
        </w:tc>
        <w:tc>
          <w:tcPr>
            <w:tcW w:w="26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220" w:type="dxa"/>
            <w:vAlign w:val="bottom"/>
            <w:vMerge w:val="continue"/>
          </w:tcPr>
          <w:p>
            <w:pPr>
              <w:spacing w:after="0"/>
              <w:rPr>
                <w:sz w:val="20"/>
                <w:szCs w:val="20"/>
                <w:color w:val="auto"/>
              </w:rPr>
            </w:pPr>
          </w:p>
        </w:tc>
        <w:tc>
          <w:tcPr>
            <w:tcW w:w="2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7,332</w:t>
            </w:r>
          </w:p>
        </w:tc>
        <w:tc>
          <w:tcPr>
            <w:tcW w:w="280" w:type="dxa"/>
            <w:vAlign w:val="bottom"/>
          </w:tcPr>
          <w:p>
            <w:pPr>
              <w:spacing w:after="0"/>
              <w:rPr>
                <w:sz w:val="20"/>
                <w:szCs w:val="20"/>
                <w:color w:val="auto"/>
              </w:rPr>
            </w:pPr>
          </w:p>
        </w:tc>
        <w:tc>
          <w:tcPr>
            <w:tcW w:w="2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5,275</w:t>
            </w:r>
          </w:p>
        </w:tc>
        <w:tc>
          <w:tcPr>
            <w:tcW w:w="0" w:type="dxa"/>
            <w:vAlign w:val="bottom"/>
          </w:tcPr>
          <w:p>
            <w:pPr>
              <w:spacing w:after="0"/>
              <w:rPr>
                <w:sz w:val="1"/>
                <w:szCs w:val="1"/>
                <w:color w:val="auto"/>
              </w:rPr>
            </w:pPr>
          </w:p>
        </w:tc>
      </w:tr>
      <w:tr>
        <w:trPr>
          <w:trHeight w:val="27"/>
        </w:trPr>
        <w:tc>
          <w:tcPr>
            <w:tcW w:w="5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2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Buildings</w:t>
            </w:r>
          </w:p>
        </w:tc>
        <w:tc>
          <w:tcPr>
            <w:tcW w:w="26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227,525</w:t>
            </w:r>
          </w:p>
        </w:tc>
        <w:tc>
          <w:tcPr>
            <w:tcW w:w="2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227,864</w:t>
            </w:r>
          </w:p>
        </w:tc>
        <w:tc>
          <w:tcPr>
            <w:tcW w:w="0" w:type="dxa"/>
            <w:vAlign w:val="bottom"/>
          </w:tcPr>
          <w:p>
            <w:pPr>
              <w:spacing w:after="0"/>
              <w:rPr>
                <w:sz w:val="1"/>
                <w:szCs w:val="1"/>
                <w:color w:val="auto"/>
              </w:rPr>
            </w:pPr>
          </w:p>
        </w:tc>
      </w:tr>
      <w:tr>
        <w:trPr>
          <w:trHeight w:val="243"/>
        </w:trPr>
        <w:tc>
          <w:tcPr>
            <w:tcW w:w="5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Leasehold improvements</w:t>
            </w:r>
          </w:p>
        </w:tc>
        <w:tc>
          <w:tcPr>
            <w:tcW w:w="26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74,462</w:t>
            </w:r>
          </w:p>
        </w:tc>
        <w:tc>
          <w:tcPr>
            <w:tcW w:w="2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70,354</w:t>
            </w:r>
          </w:p>
        </w:tc>
        <w:tc>
          <w:tcPr>
            <w:tcW w:w="0" w:type="dxa"/>
            <w:vAlign w:val="bottom"/>
          </w:tcPr>
          <w:p>
            <w:pPr>
              <w:spacing w:after="0"/>
              <w:rPr>
                <w:sz w:val="1"/>
                <w:szCs w:val="1"/>
                <w:color w:val="auto"/>
              </w:rPr>
            </w:pPr>
          </w:p>
        </w:tc>
      </w:tr>
      <w:tr>
        <w:trPr>
          <w:trHeight w:val="27"/>
        </w:trPr>
        <w:tc>
          <w:tcPr>
            <w:tcW w:w="5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2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Machinery and equipment</w:t>
            </w:r>
          </w:p>
        </w:tc>
        <w:tc>
          <w:tcPr>
            <w:tcW w:w="26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273,364</w:t>
            </w:r>
          </w:p>
        </w:tc>
        <w:tc>
          <w:tcPr>
            <w:tcW w:w="2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260,637</w:t>
            </w:r>
          </w:p>
        </w:tc>
        <w:tc>
          <w:tcPr>
            <w:tcW w:w="0" w:type="dxa"/>
            <w:vAlign w:val="bottom"/>
          </w:tcPr>
          <w:p>
            <w:pPr>
              <w:spacing w:after="0"/>
              <w:rPr>
                <w:sz w:val="1"/>
                <w:szCs w:val="1"/>
                <w:color w:val="auto"/>
              </w:rPr>
            </w:pPr>
          </w:p>
        </w:tc>
      </w:tr>
      <w:tr>
        <w:trPr>
          <w:trHeight w:val="243"/>
        </w:trPr>
        <w:tc>
          <w:tcPr>
            <w:tcW w:w="5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Furniture and fixtures</w:t>
            </w:r>
          </w:p>
        </w:tc>
        <w:tc>
          <w:tcPr>
            <w:tcW w:w="26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9,878</w:t>
            </w:r>
          </w:p>
        </w:tc>
        <w:tc>
          <w:tcPr>
            <w:tcW w:w="2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18,415</w:t>
            </w:r>
          </w:p>
        </w:tc>
        <w:tc>
          <w:tcPr>
            <w:tcW w:w="0" w:type="dxa"/>
            <w:vAlign w:val="bottom"/>
          </w:tcPr>
          <w:p>
            <w:pPr>
              <w:spacing w:after="0"/>
              <w:rPr>
                <w:sz w:val="1"/>
                <w:szCs w:val="1"/>
                <w:color w:val="auto"/>
              </w:rPr>
            </w:pPr>
          </w:p>
        </w:tc>
      </w:tr>
      <w:tr>
        <w:trPr>
          <w:trHeight w:val="27"/>
        </w:trPr>
        <w:tc>
          <w:tcPr>
            <w:tcW w:w="5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2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Vehicles</w:t>
            </w:r>
          </w:p>
        </w:tc>
        <w:tc>
          <w:tcPr>
            <w:tcW w:w="26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1,537</w:t>
            </w:r>
          </w:p>
        </w:tc>
        <w:tc>
          <w:tcPr>
            <w:tcW w:w="2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1,517</w:t>
            </w:r>
          </w:p>
        </w:tc>
        <w:tc>
          <w:tcPr>
            <w:tcW w:w="0" w:type="dxa"/>
            <w:vAlign w:val="bottom"/>
          </w:tcPr>
          <w:p>
            <w:pPr>
              <w:spacing w:after="0"/>
              <w:rPr>
                <w:sz w:val="1"/>
                <w:szCs w:val="1"/>
                <w:color w:val="auto"/>
              </w:rPr>
            </w:pPr>
          </w:p>
        </w:tc>
      </w:tr>
      <w:tr>
        <w:trPr>
          <w:trHeight w:val="243"/>
        </w:trPr>
        <w:tc>
          <w:tcPr>
            <w:tcW w:w="5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Computer equipment</w:t>
            </w:r>
          </w:p>
        </w:tc>
        <w:tc>
          <w:tcPr>
            <w:tcW w:w="26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28,750</w:t>
            </w:r>
          </w:p>
        </w:tc>
        <w:tc>
          <w:tcPr>
            <w:tcW w:w="2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26,831</w:t>
            </w:r>
          </w:p>
        </w:tc>
        <w:tc>
          <w:tcPr>
            <w:tcW w:w="0" w:type="dxa"/>
            <w:vAlign w:val="bottom"/>
          </w:tcPr>
          <w:p>
            <w:pPr>
              <w:spacing w:after="0"/>
              <w:rPr>
                <w:sz w:val="1"/>
                <w:szCs w:val="1"/>
                <w:color w:val="auto"/>
              </w:rPr>
            </w:pPr>
          </w:p>
        </w:tc>
      </w:tr>
      <w:tr>
        <w:trPr>
          <w:trHeight w:val="27"/>
        </w:trPr>
        <w:tc>
          <w:tcPr>
            <w:tcW w:w="5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22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Construction in progress</w:t>
            </w:r>
          </w:p>
        </w:tc>
        <w:tc>
          <w:tcPr>
            <w:tcW w:w="260" w:type="dxa"/>
            <w:vAlign w:val="bottom"/>
            <w:tcBorders>
              <w:bottom w:val="single" w:sz="8" w:color="CCEEFF"/>
            </w:tcBorders>
            <w:shd w:val="clear" w:color="auto" w:fill="CCEEFF"/>
          </w:tcPr>
          <w:p>
            <w:pPr>
              <w:spacing w:after="0"/>
              <w:rPr>
                <w:sz w:val="23"/>
                <w:szCs w:val="23"/>
                <w:color w:val="auto"/>
              </w:rPr>
            </w:pPr>
          </w:p>
        </w:tc>
        <w:tc>
          <w:tcPr>
            <w:tcW w:w="16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33,829</w:t>
            </w:r>
          </w:p>
        </w:tc>
        <w:tc>
          <w:tcPr>
            <w:tcW w:w="28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32,235</w:t>
            </w:r>
          </w:p>
        </w:tc>
        <w:tc>
          <w:tcPr>
            <w:tcW w:w="0" w:type="dxa"/>
            <w:vAlign w:val="bottom"/>
          </w:tcPr>
          <w:p>
            <w:pPr>
              <w:spacing w:after="0"/>
              <w:rPr>
                <w:sz w:val="1"/>
                <w:szCs w:val="1"/>
                <w:color w:val="auto"/>
              </w:rPr>
            </w:pPr>
          </w:p>
        </w:tc>
      </w:tr>
      <w:tr>
        <w:trPr>
          <w:trHeight w:val="237"/>
        </w:trPr>
        <w:tc>
          <w:tcPr>
            <w:tcW w:w="5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 property, plant, and equipment</w:t>
            </w:r>
          </w:p>
        </w:tc>
        <w:tc>
          <w:tcPr>
            <w:tcW w:w="260" w:type="dxa"/>
            <w:vAlign w:val="bottom"/>
            <w:tcBorders>
              <w:top w:val="single" w:sz="8" w:color="auto"/>
            </w:tcBorders>
          </w:tcPr>
          <w:p>
            <w:pPr>
              <w:spacing w:after="0"/>
              <w:rPr>
                <w:sz w:val="20"/>
                <w:szCs w:val="20"/>
                <w:color w:val="auto"/>
              </w:rPr>
            </w:pPr>
          </w:p>
        </w:tc>
        <w:tc>
          <w:tcPr>
            <w:tcW w:w="16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656,677</w:t>
            </w:r>
          </w:p>
        </w:tc>
        <w:tc>
          <w:tcPr>
            <w:tcW w:w="28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9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643,128</w:t>
            </w:r>
          </w:p>
        </w:tc>
        <w:tc>
          <w:tcPr>
            <w:tcW w:w="0" w:type="dxa"/>
            <w:vAlign w:val="bottom"/>
          </w:tcPr>
          <w:p>
            <w:pPr>
              <w:spacing w:after="0"/>
              <w:rPr>
                <w:sz w:val="1"/>
                <w:szCs w:val="1"/>
                <w:color w:val="auto"/>
              </w:rPr>
            </w:pPr>
          </w:p>
        </w:tc>
      </w:tr>
      <w:tr>
        <w:trPr>
          <w:trHeight w:val="27"/>
        </w:trPr>
        <w:tc>
          <w:tcPr>
            <w:tcW w:w="5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22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Less accumulated depreciation</w:t>
            </w:r>
          </w:p>
        </w:tc>
        <w:tc>
          <w:tcPr>
            <w:tcW w:w="260" w:type="dxa"/>
            <w:vAlign w:val="bottom"/>
            <w:tcBorders>
              <w:bottom w:val="single" w:sz="8" w:color="CCEEFF"/>
            </w:tcBorders>
            <w:shd w:val="clear" w:color="auto" w:fill="CCEEFF"/>
          </w:tcPr>
          <w:p>
            <w:pPr>
              <w:spacing w:after="0"/>
              <w:rPr>
                <w:sz w:val="23"/>
                <w:szCs w:val="23"/>
                <w:color w:val="auto"/>
              </w:rPr>
            </w:pPr>
          </w:p>
        </w:tc>
        <w:tc>
          <w:tcPr>
            <w:tcW w:w="16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(166,730)</w:t>
            </w:r>
          </w:p>
        </w:tc>
        <w:tc>
          <w:tcPr>
            <w:tcW w:w="28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(156,370)</w:t>
            </w:r>
          </w:p>
        </w:tc>
        <w:tc>
          <w:tcPr>
            <w:tcW w:w="0" w:type="dxa"/>
            <w:vAlign w:val="bottom"/>
          </w:tcPr>
          <w:p>
            <w:pPr>
              <w:spacing w:after="0"/>
              <w:rPr>
                <w:sz w:val="1"/>
                <w:szCs w:val="1"/>
                <w:color w:val="auto"/>
              </w:rPr>
            </w:pPr>
          </w:p>
        </w:tc>
      </w:tr>
      <w:tr>
        <w:trPr>
          <w:trHeight w:val="257"/>
        </w:trPr>
        <w:tc>
          <w:tcPr>
            <w:tcW w:w="5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Property, plant, and equipment – net</w:t>
            </w:r>
          </w:p>
        </w:tc>
        <w:tc>
          <w:tcPr>
            <w:tcW w:w="26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489,947</w:t>
            </w:r>
          </w:p>
        </w:tc>
        <w:tc>
          <w:tcPr>
            <w:tcW w:w="280" w:type="dxa"/>
            <w:vAlign w:val="bottom"/>
          </w:tcPr>
          <w:p>
            <w:pPr>
              <w:spacing w:after="0"/>
              <w:rPr>
                <w:sz w:val="22"/>
                <w:szCs w:val="22"/>
                <w:color w:val="auto"/>
              </w:rPr>
            </w:pPr>
          </w:p>
        </w:tc>
        <w:tc>
          <w:tcPr>
            <w:tcW w:w="28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486,758</w:t>
            </w:r>
          </w:p>
        </w:tc>
        <w:tc>
          <w:tcPr>
            <w:tcW w:w="0" w:type="dxa"/>
            <w:vAlign w:val="bottom"/>
          </w:tcPr>
          <w:p>
            <w:pPr>
              <w:spacing w:after="0"/>
              <w:rPr>
                <w:sz w:val="1"/>
                <w:szCs w:val="1"/>
                <w:color w:val="auto"/>
              </w:rPr>
            </w:pPr>
          </w:p>
        </w:tc>
      </w:tr>
      <w:tr>
        <w:trPr>
          <w:trHeight w:val="20"/>
        </w:trPr>
        <w:tc>
          <w:tcPr>
            <w:tcW w:w="52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right="20"/>
        <w:spacing w:after="0" w:line="266" w:lineRule="auto"/>
        <w:rPr>
          <w:sz w:val="20"/>
          <w:szCs w:val="20"/>
          <w:color w:val="auto"/>
        </w:rPr>
      </w:pPr>
      <w:r>
        <w:rPr>
          <w:rFonts w:ascii="Times New Roman" w:cs="Times New Roman" w:eastAsia="Times New Roman" w:hAnsi="Times New Roman"/>
          <w:sz w:val="18"/>
          <w:szCs w:val="18"/>
          <w:color w:val="auto"/>
        </w:rPr>
        <w:t>During the three months ended March 31, 2018 and 2017, Amneal invested $19.5 million and $24.8 million, respectively, in global property, plant and equipment. This significant investment relates primarily to the production capacity expansion of certain facilities in the U.S., India and Ireland for growth of existing and new dosage form capabilities.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Depreciation for the three months ended March 31, 2018 and 2017 was $13.0 million and $9.7 million, respectively.</w:t>
      </w:r>
    </w:p>
    <w:p>
      <w:pPr>
        <w:spacing w:after="0" w:line="225" w:lineRule="exact"/>
        <w:rPr>
          <w:sz w:val="20"/>
          <w:szCs w:val="20"/>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Interest capitalized and included in property, plant, and equipment for the three months ended March 31, 2018 and 2017 was $0.2 million and $1.2 million, respectively.</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There were no impairments of property, plant, and equipment for the three months ended March 31, 2018 and 2017.</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7. Fair Value Measurements of Financial Instruments</w:t>
      </w:r>
    </w:p>
    <w:p>
      <w:pPr>
        <w:spacing w:after="0" w:line="229" w:lineRule="exact"/>
        <w:rPr>
          <w:sz w:val="20"/>
          <w:szCs w:val="20"/>
          <w:color w:val="auto"/>
        </w:rPr>
      </w:pPr>
    </w:p>
    <w:p>
      <w:pPr>
        <w:ind w:right="140"/>
        <w:spacing w:after="0" w:line="261" w:lineRule="auto"/>
        <w:rPr>
          <w:sz w:val="20"/>
          <w:szCs w:val="20"/>
          <w:color w:val="auto"/>
        </w:rPr>
      </w:pPr>
      <w:r>
        <w:rPr>
          <w:rFonts w:ascii="Times New Roman" w:cs="Times New Roman" w:eastAsia="Times New Roman" w:hAnsi="Times New Roman"/>
          <w:sz w:val="18"/>
          <w:szCs w:val="18"/>
          <w:color w:val="auto"/>
        </w:rPr>
        <w:t>Fair value is the exit price that would be received to sell an asset or paid to transfer a liability. Fair value is a market-based measurement that should be determined using assumptions that market participants would use in pricing an asset or liability. Valuation techniques used to measure fair value should maximize the use of observable inputs and minimize the use of unobservable inputs. To measure fair value, Amneal uses the following fair value hierarchy based on three levels of inputs, of which the first two are considered observable and the last unobservable:</w:t>
      </w:r>
    </w:p>
    <w:p>
      <w:pPr>
        <w:spacing w:after="0" w:line="17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i w:val="1"/>
          <w:iCs w:val="1"/>
          <w:color w:val="auto"/>
        </w:rPr>
        <w:t xml:space="preserve">Level 1 </w:t>
      </w:r>
      <w:r>
        <w:rPr>
          <w:rFonts w:ascii="Times New Roman" w:cs="Times New Roman" w:eastAsia="Times New Roman" w:hAnsi="Times New Roman"/>
          <w:sz w:val="18"/>
          <w:szCs w:val="18"/>
          <w:color w:val="auto"/>
        </w:rPr>
        <w:t>– Quoted prices in active markets for identical assets or liabilities.</w:t>
      </w:r>
    </w:p>
    <w:p>
      <w:pPr>
        <w:spacing w:after="0" w:line="225" w:lineRule="exact"/>
        <w:rPr>
          <w:sz w:val="20"/>
          <w:szCs w:val="20"/>
          <w:color w:val="auto"/>
        </w:rPr>
      </w:pPr>
    </w:p>
    <w:p>
      <w:pPr>
        <w:ind w:left="1380" w:hanging="728"/>
        <w:spacing w:after="0" w:line="267" w:lineRule="auto"/>
        <w:rPr>
          <w:sz w:val="20"/>
          <w:szCs w:val="20"/>
          <w:color w:val="auto"/>
        </w:rPr>
      </w:pPr>
      <w:r>
        <w:rPr>
          <w:rFonts w:ascii="Times New Roman" w:cs="Times New Roman" w:eastAsia="Times New Roman" w:hAnsi="Times New Roman"/>
          <w:sz w:val="18"/>
          <w:szCs w:val="18"/>
          <w:i w:val="1"/>
          <w:iCs w:val="1"/>
          <w:color w:val="auto"/>
        </w:rPr>
        <w:t xml:space="preserve">Level 2 – </w:t>
      </w:r>
      <w:r>
        <w:rPr>
          <w:rFonts w:ascii="Times New Roman" w:cs="Times New Roman" w:eastAsia="Times New Roman" w:hAnsi="Times New Roman"/>
          <w:sz w:val="18"/>
          <w:szCs w:val="18"/>
          <w:color w:val="auto"/>
        </w:rPr>
        <w:t>Inputs other than Level 1 that are observable for the asset or liability, either directly or indirectly, such as quoted prices for similar assets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and liabilities in active markets; quoted prices for identical or similar assets or liabilities in markets that are not active; or other inputs that are observable or can be corroborated by observable market data by correlation or other means.</w:t>
      </w:r>
    </w:p>
    <w:p>
      <w:pPr>
        <w:spacing w:after="0" w:line="174" w:lineRule="exact"/>
        <w:rPr>
          <w:sz w:val="20"/>
          <w:szCs w:val="20"/>
          <w:color w:val="auto"/>
        </w:rPr>
      </w:pPr>
    </w:p>
    <w:p>
      <w:pPr>
        <w:jc w:val="both"/>
        <w:ind w:left="1380" w:right="200" w:hanging="728"/>
        <w:spacing w:after="0" w:line="267" w:lineRule="auto"/>
        <w:rPr>
          <w:sz w:val="20"/>
          <w:szCs w:val="20"/>
          <w:color w:val="auto"/>
        </w:rPr>
      </w:pPr>
      <w:r>
        <w:rPr>
          <w:rFonts w:ascii="Times New Roman" w:cs="Times New Roman" w:eastAsia="Times New Roman" w:hAnsi="Times New Roman"/>
          <w:sz w:val="18"/>
          <w:szCs w:val="18"/>
          <w:i w:val="1"/>
          <w:iCs w:val="1"/>
          <w:color w:val="auto"/>
        </w:rPr>
        <w:t xml:space="preserve">Level 3 </w:t>
      </w:r>
      <w:r>
        <w:rPr>
          <w:rFonts w:ascii="Times New Roman" w:cs="Times New Roman" w:eastAsia="Times New Roman" w:hAnsi="Times New Roman"/>
          <w:sz w:val="18"/>
          <w:szCs w:val="18"/>
          <w:color w:val="auto"/>
        </w:rPr>
        <w:t>– Unobservable inputs that are supported by little or no market activity and that are significant to the fair value of the assets or liabilities.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Value is determined using pricing models, discounted cash flow methodologies, or similar techniques and also includes instruments for which the determination of fair value requires significant judgment or estimation.</w:t>
      </w:r>
    </w:p>
    <w:p>
      <w:pPr>
        <w:spacing w:after="0" w:line="200" w:lineRule="exact"/>
        <w:rPr>
          <w:sz w:val="20"/>
          <w:szCs w:val="20"/>
          <w:color w:val="auto"/>
        </w:rPr>
      </w:pPr>
    </w:p>
    <w:p>
      <w:pPr>
        <w:spacing w:after="0" w:line="21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16</w:t>
      </w:r>
    </w:p>
    <w:p>
      <w:pPr>
        <w:sectPr>
          <w:pgSz w:w="11900" w:h="16838" w:orient="portrait"/>
          <w:cols w:equalWidth="0" w:num="1">
            <w:col w:w="11300"/>
          </w:cols>
          <w:pgMar w:left="240" w:top="117" w:right="359" w:bottom="1440" w:gutter="0" w:footer="0" w:header="0"/>
        </w:sectPr>
      </w:pPr>
    </w:p>
    <w:bookmarkStart w:id="21" w:name="page22"/>
    <w:bookmarkEnd w:id="21"/>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(unaudited)</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Assets and Liabilities Measured at Fair Value on a Recurring Basis</w:t>
      </w:r>
    </w:p>
    <w:p>
      <w:pPr>
        <w:spacing w:after="0" w:line="229"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Amneal evaluates its financial assets and liabilities subject to fair value measurements on a recurring basis to determine the appropriate level of classification for each reporting period. The following table sets forth Amneal’s financial assets and liabilities that were measured at fair value on a recurring basis as of March 31, 2018 and December 31, 2017 (in thousands):</w:t>
      </w:r>
    </w:p>
    <w:p>
      <w:pPr>
        <w:spacing w:after="0" w:line="334" w:lineRule="exact"/>
        <w:rPr>
          <w:sz w:val="20"/>
          <w:szCs w:val="20"/>
          <w:color w:val="auto"/>
        </w:rPr>
      </w:pPr>
    </w:p>
    <w:p>
      <w:pPr>
        <w:ind w:left="5440"/>
        <w:spacing w:after="0"/>
        <w:tabs>
          <w:tab w:leader="none" w:pos="6940" w:val="left"/>
          <w:tab w:leader="none" w:pos="8340" w:val="left"/>
          <w:tab w:leader="none" w:pos="9720" w:val="left"/>
        </w:tabs>
        <w:rPr>
          <w:sz w:val="20"/>
          <w:szCs w:val="20"/>
          <w:color w:val="auto"/>
        </w:rPr>
      </w:pPr>
      <w:r>
        <w:rPr>
          <w:rFonts w:ascii="Times New Roman" w:cs="Times New Roman" w:eastAsia="Times New Roman" w:hAnsi="Times New Roman"/>
          <w:sz w:val="18"/>
          <w:szCs w:val="18"/>
          <w:b w:val="1"/>
          <w:bCs w:val="1"/>
          <w:color w:val="auto"/>
        </w:rPr>
        <w:t>Fair Value</w:t>
      </w:r>
      <w:r>
        <w:rPr>
          <w:sz w:val="20"/>
          <w:szCs w:val="20"/>
          <w:color w:val="auto"/>
        </w:rPr>
        <w:tab/>
      </w:r>
      <w:r>
        <w:rPr>
          <w:rFonts w:ascii="Times New Roman" w:cs="Times New Roman" w:eastAsia="Times New Roman" w:hAnsi="Times New Roman"/>
          <w:sz w:val="18"/>
          <w:szCs w:val="18"/>
          <w:b w:val="1"/>
          <w:bCs w:val="1"/>
          <w:color w:val="auto"/>
        </w:rPr>
        <w:t>Level 1</w:t>
      </w:r>
      <w:r>
        <w:rPr>
          <w:sz w:val="20"/>
          <w:szCs w:val="20"/>
          <w:color w:val="auto"/>
        </w:rPr>
        <w:tab/>
      </w:r>
      <w:r>
        <w:rPr>
          <w:rFonts w:ascii="Times New Roman" w:cs="Times New Roman" w:eastAsia="Times New Roman" w:hAnsi="Times New Roman"/>
          <w:sz w:val="18"/>
          <w:szCs w:val="18"/>
          <w:b w:val="1"/>
          <w:bCs w:val="1"/>
          <w:color w:val="auto"/>
        </w:rPr>
        <w:t>Level 2</w:t>
      </w:r>
      <w:r>
        <w:rPr>
          <w:sz w:val="20"/>
          <w:szCs w:val="20"/>
          <w:color w:val="auto"/>
        </w:rPr>
        <w:tab/>
      </w:r>
      <w:r>
        <w:rPr>
          <w:rFonts w:ascii="Times New Roman" w:cs="Times New Roman" w:eastAsia="Times New Roman" w:hAnsi="Times New Roman"/>
          <w:sz w:val="18"/>
          <w:szCs w:val="18"/>
          <w:b w:val="1"/>
          <w:bCs w:val="1"/>
          <w:color w:val="auto"/>
        </w:rPr>
        <w:t>Level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3272790</wp:posOffset>
            </wp:positionH>
            <wp:positionV relativeFrom="paragraph">
              <wp:posOffset>36830</wp:posOffset>
            </wp:positionV>
            <wp:extent cx="353314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533140" cy="8890"/>
                    </a:xfrm>
                    <a:prstGeom prst="rect">
                      <a:avLst/>
                    </a:prstGeom>
                    <a:noFill/>
                  </pic:spPr>
                </pic:pic>
              </a:graphicData>
            </a:graphic>
          </wp:anchor>
        </w:drawing>
      </w:r>
    </w:p>
    <w:p>
      <w:pPr>
        <w:spacing w:after="0" w:line="43"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18"/>
          <w:szCs w:val="18"/>
          <w:b w:val="1"/>
          <w:bCs w:val="1"/>
          <w:color w:val="auto"/>
        </w:rPr>
        <w:t>March 31,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347980</wp:posOffset>
            </wp:positionH>
            <wp:positionV relativeFrom="paragraph">
              <wp:posOffset>45720</wp:posOffset>
            </wp:positionV>
            <wp:extent cx="6457315" cy="1714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457315" cy="171450"/>
                    </a:xfrm>
                    <a:prstGeom prst="rect">
                      <a:avLst/>
                    </a:prstGeom>
                    <a:noFill/>
                  </pic:spPr>
                </pic:pic>
              </a:graphicData>
            </a:graphic>
          </wp:anchor>
        </w:drawing>
      </w:r>
    </w:p>
    <w:p>
      <w:pPr>
        <w:spacing w:after="0" w:line="61"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18"/>
          <w:szCs w:val="18"/>
          <w:color w:val="auto"/>
        </w:rPr>
        <w:t>Liabilities:</w:t>
      </w:r>
    </w:p>
    <w:p>
      <w:pPr>
        <w:spacing w:after="0" w:line="63" w:lineRule="exact"/>
        <w:rPr>
          <w:sz w:val="20"/>
          <w:szCs w:val="20"/>
          <w:color w:val="auto"/>
        </w:rPr>
      </w:pPr>
    </w:p>
    <w:p>
      <w:pPr>
        <w:ind w:left="760"/>
        <w:spacing w:after="0"/>
        <w:tabs>
          <w:tab w:leader="none" w:pos="5260" w:val="left"/>
          <w:tab w:leader="none" w:pos="6160" w:val="left"/>
          <w:tab w:leader="none" w:pos="6660" w:val="left"/>
          <w:tab w:leader="none" w:pos="7640" w:val="left"/>
          <w:tab w:leader="none" w:pos="8060" w:val="left"/>
          <w:tab w:leader="none" w:pos="9040" w:val="left"/>
          <w:tab w:leader="none" w:pos="9440" w:val="left"/>
          <w:tab w:leader="none" w:pos="10340" w:val="left"/>
        </w:tabs>
        <w:rPr>
          <w:sz w:val="20"/>
          <w:szCs w:val="20"/>
          <w:color w:val="auto"/>
        </w:rPr>
      </w:pPr>
      <w:r>
        <w:rPr>
          <w:rFonts w:ascii="Times New Roman" w:cs="Times New Roman" w:eastAsia="Times New Roman" w:hAnsi="Times New Roman"/>
          <w:sz w:val="18"/>
          <w:szCs w:val="18"/>
          <w:color w:val="auto"/>
        </w:rPr>
        <w:t>Acquisition-related contingent consideration</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267</w:t>
        <w:tab/>
        <w:t>$</w:t>
      </w:r>
      <w:r>
        <w:rPr>
          <w:sz w:val="20"/>
          <w:szCs w:val="20"/>
          <w:color w:val="auto"/>
        </w:rPr>
        <w:tab/>
      </w:r>
      <w:r>
        <w:rPr>
          <w:rFonts w:ascii="Times New Roman" w:cs="Times New Roman" w:eastAsia="Times New Roman" w:hAnsi="Times New Roman"/>
          <w:sz w:val="18"/>
          <w:szCs w:val="18"/>
          <w:color w:val="auto"/>
        </w:rPr>
        <w:t>—</w:t>
        <w:tab/>
        <w:t>$</w:t>
      </w:r>
      <w:r>
        <w:rPr>
          <w:sz w:val="20"/>
          <w:szCs w:val="20"/>
          <w:color w:val="auto"/>
        </w:rPr>
        <w:tab/>
      </w:r>
      <w:r>
        <w:rPr>
          <w:rFonts w:ascii="Times New Roman" w:cs="Times New Roman" w:eastAsia="Times New Roman" w:hAnsi="Times New Roman"/>
          <w:sz w:val="18"/>
          <w:szCs w:val="18"/>
          <w:color w:val="auto"/>
        </w:rPr>
        <w:t>—</w:t>
        <w:tab/>
        <w:t>$</w:t>
      </w:r>
      <w:r>
        <w:rPr>
          <w:sz w:val="20"/>
          <w:szCs w:val="20"/>
          <w:color w:val="auto"/>
        </w:rPr>
        <w:tab/>
      </w:r>
      <w:r>
        <w:rPr>
          <w:rFonts w:ascii="Times New Roman" w:cs="Times New Roman" w:eastAsia="Times New Roman" w:hAnsi="Times New Roman"/>
          <w:sz w:val="17"/>
          <w:szCs w:val="17"/>
          <w:color w:val="auto"/>
        </w:rPr>
        <w:t>267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347980</wp:posOffset>
            </wp:positionH>
            <wp:positionV relativeFrom="paragraph">
              <wp:posOffset>34290</wp:posOffset>
            </wp:positionV>
            <wp:extent cx="6457315" cy="1714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457315" cy="171450"/>
                    </a:xfrm>
                    <a:prstGeom prst="rect">
                      <a:avLst/>
                    </a:prstGeom>
                    <a:noFill/>
                  </pic:spPr>
                </pic:pic>
              </a:graphicData>
            </a:graphic>
          </wp:anchor>
        </w:drawing>
      </w:r>
    </w:p>
    <w:p>
      <w:pPr>
        <w:spacing w:after="0" w:line="39"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18"/>
          <w:szCs w:val="18"/>
          <w:b w:val="1"/>
          <w:bCs w:val="1"/>
          <w:color w:val="auto"/>
        </w:rPr>
        <w:t>December 31, 2017</w:t>
      </w:r>
    </w:p>
    <w:p>
      <w:pPr>
        <w:spacing w:after="0" w:line="67"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18"/>
          <w:szCs w:val="18"/>
          <w:color w:val="auto"/>
        </w:rPr>
        <w:t>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347980</wp:posOffset>
            </wp:positionH>
            <wp:positionV relativeFrom="paragraph">
              <wp:posOffset>34290</wp:posOffset>
            </wp:positionV>
            <wp:extent cx="6457315"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457315" cy="171450"/>
                    </a:xfrm>
                    <a:prstGeom prst="rect">
                      <a:avLst/>
                    </a:prstGeom>
                    <a:noFill/>
                  </pic:spPr>
                </pic:pic>
              </a:graphicData>
            </a:graphic>
          </wp:anchor>
        </w:drawing>
      </w:r>
    </w:p>
    <w:p>
      <w:pPr>
        <w:spacing w:after="0" w:line="43" w:lineRule="exact"/>
        <w:rPr>
          <w:sz w:val="20"/>
          <w:szCs w:val="20"/>
          <w:color w:val="auto"/>
        </w:rPr>
      </w:pPr>
    </w:p>
    <w:p>
      <w:pPr>
        <w:ind w:left="760"/>
        <w:spacing w:after="0"/>
        <w:tabs>
          <w:tab w:leader="none" w:pos="5260" w:val="left"/>
          <w:tab w:leader="none" w:pos="6160" w:val="left"/>
          <w:tab w:leader="none" w:pos="6660" w:val="left"/>
          <w:tab w:leader="none" w:pos="7640" w:val="left"/>
          <w:tab w:leader="none" w:pos="8060" w:val="left"/>
          <w:tab w:leader="none" w:pos="9040" w:val="left"/>
          <w:tab w:leader="none" w:pos="9440" w:val="left"/>
          <w:tab w:leader="none" w:pos="10340" w:val="left"/>
        </w:tabs>
        <w:rPr>
          <w:sz w:val="20"/>
          <w:szCs w:val="20"/>
          <w:color w:val="auto"/>
        </w:rPr>
      </w:pPr>
      <w:r>
        <w:rPr>
          <w:rFonts w:ascii="Times New Roman" w:cs="Times New Roman" w:eastAsia="Times New Roman" w:hAnsi="Times New Roman"/>
          <w:sz w:val="18"/>
          <w:szCs w:val="18"/>
          <w:color w:val="auto"/>
        </w:rPr>
        <w:t>Acquisition-related contingent consideration</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401</w:t>
        <w:tab/>
        <w:t>$</w:t>
      </w:r>
      <w:r>
        <w:rPr>
          <w:sz w:val="20"/>
          <w:szCs w:val="20"/>
          <w:color w:val="auto"/>
        </w:rPr>
        <w:tab/>
      </w:r>
      <w:r>
        <w:rPr>
          <w:rFonts w:ascii="Times New Roman" w:cs="Times New Roman" w:eastAsia="Times New Roman" w:hAnsi="Times New Roman"/>
          <w:sz w:val="18"/>
          <w:szCs w:val="18"/>
          <w:color w:val="auto"/>
        </w:rPr>
        <w:t>—</w:t>
        <w:tab/>
        <w:t>$</w:t>
      </w:r>
      <w:r>
        <w:rPr>
          <w:sz w:val="20"/>
          <w:szCs w:val="20"/>
          <w:color w:val="auto"/>
        </w:rPr>
        <w:tab/>
      </w:r>
      <w:r>
        <w:rPr>
          <w:rFonts w:ascii="Times New Roman" w:cs="Times New Roman" w:eastAsia="Times New Roman" w:hAnsi="Times New Roman"/>
          <w:sz w:val="18"/>
          <w:szCs w:val="18"/>
          <w:color w:val="auto"/>
        </w:rPr>
        <w:t>—</w:t>
        <w:tab/>
        <w:t>$</w:t>
      </w:r>
      <w:r>
        <w:rPr>
          <w:sz w:val="20"/>
          <w:szCs w:val="20"/>
          <w:color w:val="auto"/>
        </w:rPr>
        <w:tab/>
      </w:r>
      <w:r>
        <w:rPr>
          <w:rFonts w:ascii="Times New Roman" w:cs="Times New Roman" w:eastAsia="Times New Roman" w:hAnsi="Times New Roman"/>
          <w:sz w:val="17"/>
          <w:szCs w:val="17"/>
          <w:color w:val="auto"/>
        </w:rPr>
        <w:t>401</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There were no transfers between levels in the fair value hierarchy during any period presented herein.</w:t>
      </w:r>
    </w:p>
    <w:p>
      <w:pPr>
        <w:spacing w:after="0" w:line="225" w:lineRule="exact"/>
        <w:rPr>
          <w:sz w:val="20"/>
          <w:szCs w:val="20"/>
          <w:color w:val="auto"/>
        </w:rPr>
      </w:pPr>
    </w:p>
    <w:p>
      <w:pPr>
        <w:ind w:right="20"/>
        <w:spacing w:after="0" w:line="258" w:lineRule="auto"/>
        <w:rPr>
          <w:sz w:val="20"/>
          <w:szCs w:val="20"/>
          <w:color w:val="auto"/>
        </w:rPr>
      </w:pPr>
      <w:r>
        <w:rPr>
          <w:rFonts w:ascii="Times New Roman" w:cs="Times New Roman" w:eastAsia="Times New Roman" w:hAnsi="Times New Roman"/>
          <w:sz w:val="18"/>
          <w:szCs w:val="18"/>
          <w:color w:val="auto"/>
        </w:rPr>
        <w:t>The carrying amounts of cash, accounts receivable and accounts payable approximate their fair values due to the short term maturity of these instruments. As of March 31, 2018, Amneal’s Term Loan was trading at approximately 100.1% of par value, based upon observable third-party market data (Level 2). The applicable fair value of the debt as of March 31, 2018, approximated $1.38 billion versus a carrying value of $1.37 billion. As of December 31, 2017, Amneal’s Term Loan was trading at approximately 100.8% of par value, based upon market data (Level 2). The applicable fair value of the debt as of December 31, 2017, approximated $1.39 billion versus a carrying value of $1.38 billion.</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On May 1, 2015, Amneal acquired certain assets and assumed certain liabilities of the Australian business of</w:t>
      </w:r>
    </w:p>
    <w:p>
      <w:pPr>
        <w:spacing w:after="0" w:line="27" w:lineRule="exact"/>
        <w:rPr>
          <w:sz w:val="20"/>
          <w:szCs w:val="20"/>
          <w:color w:val="auto"/>
        </w:rPr>
      </w:pPr>
    </w:p>
    <w:p>
      <w:pPr>
        <w:ind w:right="100"/>
        <w:spacing w:after="0" w:line="251" w:lineRule="auto"/>
        <w:rPr>
          <w:sz w:val="20"/>
          <w:szCs w:val="20"/>
          <w:color w:val="auto"/>
        </w:rPr>
      </w:pPr>
      <w:r>
        <w:rPr>
          <w:rFonts w:ascii="Times New Roman" w:cs="Times New Roman" w:eastAsia="Times New Roman" w:hAnsi="Times New Roman"/>
          <w:sz w:val="18"/>
          <w:szCs w:val="18"/>
          <w:color w:val="auto"/>
        </w:rPr>
        <w:t>Actavis. The agreement includes a contingent earn-out provision, which is a future payment based on 12% of aggregate net sales during each of the 12 calendar quarters commencing with the calendar quarter of June 30, 2015. Amneal determined the fair value using the present value, discounting at the WACC plus a factor for credit risk (discount rate of 10.5%), of the projected payments based on probability-weighted revenues projections over the 12 quarters subsequent to acquisition. At acquisition, the contingent consideration had a fair value of $8.0 million. At March 31, 2018 and December 31, 2017, the contingent consideration, using updated inputs to the valuation model, in addition to pay downs, had a fair value of $0.3 million and $0.4 million respectively. The significant unobservable inputs used in the fair value measurement of the contingent consideration are the successful achievement of the probability-weighted revenues projections of Actavis’ Australian business and the discount rate used to present value of the projected payments. Significant increases or decreases in estimated revenues would result in a significantly higher or lower fair value measurement. Significant increases or decreases in the discount rate would result in a significantly lower or higher fair value measurement.</w:t>
      </w:r>
    </w:p>
    <w:p>
      <w:pPr>
        <w:spacing w:after="0" w:line="200" w:lineRule="exact"/>
        <w:rPr>
          <w:sz w:val="20"/>
          <w:szCs w:val="20"/>
          <w:color w:val="auto"/>
        </w:rPr>
      </w:pPr>
    </w:p>
    <w:p>
      <w:pPr>
        <w:spacing w:after="0" w:line="237"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17</w:t>
      </w:r>
    </w:p>
    <w:p>
      <w:pPr>
        <w:sectPr>
          <w:pgSz w:w="11900" w:h="16838" w:orient="portrait"/>
          <w:cols w:equalWidth="0" w:num="1">
            <w:col w:w="11340"/>
          </w:cols>
          <w:pgMar w:left="240" w:top="117" w:right="319" w:bottom="1440" w:gutter="0" w:footer="0" w:header="0"/>
        </w:sectPr>
      </w:pPr>
    </w:p>
    <w:bookmarkStart w:id="22" w:name="page23"/>
    <w:bookmarkEnd w:id="22"/>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(unaudited)</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Fair Value Measurements Using Significant Unobservable Inputs</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following table presents changes to Amneal’s financial liabilities measured at fair value on a recurring basis using significant unobservable inputs (Level 3) for the three months ended March 31, 2018 (in thousands):</w:t>
      </w:r>
    </w:p>
    <w:p>
      <w:pPr>
        <w:spacing w:after="0" w:line="320" w:lineRule="exact"/>
        <w:rPr>
          <w:sz w:val="20"/>
          <w:szCs w:val="20"/>
          <w:color w:val="auto"/>
        </w:rPr>
      </w:pPr>
    </w:p>
    <w:tbl>
      <w:tblPr>
        <w:tblLayout w:type="fixed"/>
        <w:tblInd w:w="560" w:type="dxa"/>
        <w:tblCellMar>
          <w:top w:w="0" w:type="dxa"/>
          <w:left w:w="0" w:type="dxa"/>
          <w:bottom w:w="0" w:type="dxa"/>
          <w:right w:w="0" w:type="dxa"/>
        </w:tblCellMar>
      </w:tblPr>
      <w:tr>
        <w:trPr>
          <w:trHeight w:val="216"/>
        </w:trPr>
        <w:tc>
          <w:tcPr>
            <w:tcW w:w="4880" w:type="dxa"/>
            <w:vAlign w:val="bottom"/>
          </w:tcPr>
          <w:p>
            <w:pPr>
              <w:spacing w:after="0"/>
              <w:rPr>
                <w:sz w:val="18"/>
                <w:szCs w:val="18"/>
                <w:color w:val="auto"/>
              </w:rPr>
            </w:pPr>
          </w:p>
        </w:tc>
        <w:tc>
          <w:tcPr>
            <w:tcW w:w="244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Acquisition-related contingent</w:t>
            </w:r>
          </w:p>
        </w:tc>
        <w:tc>
          <w:tcPr>
            <w:tcW w:w="0" w:type="dxa"/>
            <w:vAlign w:val="bottom"/>
          </w:tcPr>
          <w:p>
            <w:pPr>
              <w:spacing w:after="0"/>
              <w:rPr>
                <w:sz w:val="1"/>
                <w:szCs w:val="1"/>
                <w:color w:val="auto"/>
              </w:rPr>
            </w:pPr>
          </w:p>
        </w:tc>
      </w:tr>
      <w:tr>
        <w:trPr>
          <w:trHeight w:val="238"/>
        </w:trPr>
        <w:tc>
          <w:tcPr>
            <w:tcW w:w="48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760" w:type="dxa"/>
            <w:vAlign w:val="bottom"/>
          </w:tcPr>
          <w:p>
            <w:pPr>
              <w:jc w:val="right"/>
              <w:ind w:right="610"/>
              <w:spacing w:after="0"/>
              <w:rPr>
                <w:sz w:val="20"/>
                <w:szCs w:val="20"/>
                <w:color w:val="auto"/>
              </w:rPr>
            </w:pPr>
            <w:r>
              <w:rPr>
                <w:rFonts w:ascii="Times New Roman" w:cs="Times New Roman" w:eastAsia="Times New Roman" w:hAnsi="Times New Roman"/>
                <w:sz w:val="18"/>
                <w:szCs w:val="18"/>
                <w:b w:val="1"/>
                <w:bCs w:val="1"/>
                <w:color w:val="auto"/>
                <w:w w:val="99"/>
              </w:rPr>
              <w:t>consideration</w:t>
            </w:r>
          </w:p>
        </w:tc>
        <w:tc>
          <w:tcPr>
            <w:tcW w:w="0" w:type="dxa"/>
            <w:vAlign w:val="bottom"/>
          </w:tcPr>
          <w:p>
            <w:pPr>
              <w:spacing w:after="0"/>
              <w:rPr>
                <w:sz w:val="1"/>
                <w:szCs w:val="1"/>
                <w:color w:val="auto"/>
              </w:rPr>
            </w:pPr>
          </w:p>
        </w:tc>
      </w:tr>
      <w:tr>
        <w:trPr>
          <w:trHeight w:val="27"/>
        </w:trPr>
        <w:tc>
          <w:tcPr>
            <w:tcW w:w="4880" w:type="dxa"/>
            <w:vAlign w:val="bottom"/>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6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4880" w:type="dxa"/>
            <w:vAlign w:val="bottom"/>
            <w:vMerge w:val="continue"/>
          </w:tcPr>
          <w:p>
            <w:pPr>
              <w:spacing w:after="0"/>
              <w:rPr>
                <w:sz w:val="19"/>
                <w:szCs w:val="19"/>
                <w:color w:val="auto"/>
              </w:rPr>
            </w:pPr>
          </w:p>
        </w:tc>
        <w:tc>
          <w:tcPr>
            <w:tcW w:w="68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4880" w:type="dxa"/>
            <w:vAlign w:val="bottom"/>
          </w:tcPr>
          <w:p>
            <w:pPr>
              <w:spacing w:after="0"/>
              <w:rPr>
                <w:sz w:val="3"/>
                <w:szCs w:val="3"/>
                <w:color w:val="auto"/>
              </w:rPr>
            </w:pPr>
          </w:p>
        </w:tc>
        <w:tc>
          <w:tcPr>
            <w:tcW w:w="680" w:type="dxa"/>
            <w:vAlign w:val="bottom"/>
          </w:tcPr>
          <w:p>
            <w:pPr>
              <w:spacing w:after="0"/>
              <w:rPr>
                <w:sz w:val="3"/>
                <w:szCs w:val="3"/>
                <w:color w:val="auto"/>
              </w:rPr>
            </w:pPr>
          </w:p>
        </w:tc>
        <w:tc>
          <w:tcPr>
            <w:tcW w:w="17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48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Balance at January 1, 2018</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401</w:t>
            </w:r>
          </w:p>
        </w:tc>
        <w:tc>
          <w:tcPr>
            <w:tcW w:w="0" w:type="dxa"/>
            <w:vAlign w:val="bottom"/>
          </w:tcPr>
          <w:p>
            <w:pPr>
              <w:spacing w:after="0"/>
              <w:rPr>
                <w:sz w:val="1"/>
                <w:szCs w:val="1"/>
                <w:color w:val="auto"/>
              </w:rPr>
            </w:pPr>
          </w:p>
        </w:tc>
      </w:tr>
      <w:tr>
        <w:trPr>
          <w:trHeight w:val="243"/>
        </w:trPr>
        <w:tc>
          <w:tcPr>
            <w:tcW w:w="48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Contingent consideration settled</w:t>
            </w:r>
          </w:p>
        </w:tc>
        <w:tc>
          <w:tcPr>
            <w:tcW w:w="680" w:type="dxa"/>
            <w:vAlign w:val="bottom"/>
          </w:tcPr>
          <w:p>
            <w:pPr>
              <w:spacing w:after="0"/>
              <w:rPr>
                <w:sz w:val="21"/>
                <w:szCs w:val="21"/>
                <w:color w:val="auto"/>
              </w:rPr>
            </w:pPr>
          </w:p>
        </w:tc>
        <w:tc>
          <w:tcPr>
            <w:tcW w:w="1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(254)</w:t>
            </w:r>
          </w:p>
        </w:tc>
        <w:tc>
          <w:tcPr>
            <w:tcW w:w="0" w:type="dxa"/>
            <w:vAlign w:val="bottom"/>
          </w:tcPr>
          <w:p>
            <w:pPr>
              <w:spacing w:after="0"/>
              <w:rPr>
                <w:sz w:val="1"/>
                <w:szCs w:val="1"/>
                <w:color w:val="auto"/>
              </w:rPr>
            </w:pPr>
          </w:p>
        </w:tc>
      </w:tr>
      <w:tr>
        <w:trPr>
          <w:trHeight w:val="27"/>
        </w:trPr>
        <w:tc>
          <w:tcPr>
            <w:tcW w:w="4880" w:type="dxa"/>
            <w:vAlign w:val="bottom"/>
          </w:tcPr>
          <w:p>
            <w:pPr>
              <w:spacing w:after="0"/>
              <w:rPr>
                <w:sz w:val="2"/>
                <w:szCs w:val="2"/>
                <w:color w:val="auto"/>
              </w:rPr>
            </w:pPr>
          </w:p>
        </w:tc>
        <w:tc>
          <w:tcPr>
            <w:tcW w:w="6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88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Change in fair value recorded in earnings</w:t>
            </w:r>
          </w:p>
        </w:tc>
        <w:tc>
          <w:tcPr>
            <w:tcW w:w="680" w:type="dxa"/>
            <w:vAlign w:val="bottom"/>
            <w:tcBorders>
              <w:bottom w:val="single" w:sz="8" w:color="CCEEFF"/>
            </w:tcBorders>
            <w:shd w:val="clear" w:color="auto" w:fill="CCEEFF"/>
          </w:tcPr>
          <w:p>
            <w:pPr>
              <w:spacing w:after="0"/>
              <w:rPr>
                <w:sz w:val="23"/>
                <w:szCs w:val="23"/>
                <w:color w:val="auto"/>
              </w:rPr>
            </w:pPr>
          </w:p>
        </w:tc>
        <w:tc>
          <w:tcPr>
            <w:tcW w:w="17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120</w:t>
            </w:r>
          </w:p>
        </w:tc>
        <w:tc>
          <w:tcPr>
            <w:tcW w:w="0" w:type="dxa"/>
            <w:vAlign w:val="bottom"/>
          </w:tcPr>
          <w:p>
            <w:pPr>
              <w:spacing w:after="0"/>
              <w:rPr>
                <w:sz w:val="1"/>
                <w:szCs w:val="1"/>
                <w:color w:val="auto"/>
              </w:rPr>
            </w:pPr>
          </w:p>
        </w:tc>
      </w:tr>
      <w:tr>
        <w:trPr>
          <w:trHeight w:val="237"/>
        </w:trPr>
        <w:tc>
          <w:tcPr>
            <w:tcW w:w="48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Balance at March 31, 2018</w:t>
            </w:r>
          </w:p>
        </w:tc>
        <w:tc>
          <w:tcPr>
            <w:tcW w:w="6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267</w:t>
            </w:r>
          </w:p>
        </w:tc>
        <w:tc>
          <w:tcPr>
            <w:tcW w:w="0" w:type="dxa"/>
            <w:vAlign w:val="bottom"/>
          </w:tcPr>
          <w:p>
            <w:pPr>
              <w:spacing w:after="0"/>
              <w:rPr>
                <w:sz w:val="1"/>
                <w:szCs w:val="1"/>
                <w:color w:val="auto"/>
              </w:rPr>
            </w:pPr>
          </w:p>
        </w:tc>
      </w:tr>
      <w:tr>
        <w:trPr>
          <w:trHeight w:val="27"/>
        </w:trPr>
        <w:tc>
          <w:tcPr>
            <w:tcW w:w="488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88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change in fair value recorded in earnings is recognized within Cost of goods sold in the Consolidated Statements of Income.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Assets and Liabilities Measured at Fair Value on a Non-Recurring Basis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There were no non-recurring fair value measurements during the three months ended March 31, 2018 and 2017.</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8. Debt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is a summary of Amneal’s total indebtedness (in thousands):</w:t>
      </w:r>
    </w:p>
    <w:p>
      <w:pPr>
        <w:spacing w:after="0" w:line="383" w:lineRule="exact"/>
        <w:rPr>
          <w:sz w:val="20"/>
          <w:szCs w:val="20"/>
          <w:color w:val="auto"/>
        </w:rPr>
      </w:pPr>
    </w:p>
    <w:tbl>
      <w:tblPr>
        <w:tblLayout w:type="fixed"/>
        <w:tblInd w:w="560" w:type="dxa"/>
        <w:tblCellMar>
          <w:top w:w="0" w:type="dxa"/>
          <w:left w:w="0" w:type="dxa"/>
          <w:bottom w:w="0" w:type="dxa"/>
          <w:right w:w="0" w:type="dxa"/>
        </w:tblCellMar>
      </w:tblPr>
      <w:tr>
        <w:trPr>
          <w:trHeight w:val="238"/>
        </w:trPr>
        <w:tc>
          <w:tcPr>
            <w:tcW w:w="54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40" w:type="dxa"/>
            <w:vAlign w:val="bottom"/>
            <w:gridSpan w:val="2"/>
          </w:tcPr>
          <w:p>
            <w:pPr>
              <w:ind w:left="140"/>
              <w:spacing w:after="0"/>
              <w:rPr>
                <w:sz w:val="20"/>
                <w:szCs w:val="20"/>
                <w:color w:val="auto"/>
              </w:rPr>
            </w:pPr>
            <w:r>
              <w:rPr>
                <w:rFonts w:ascii="Times New Roman" w:cs="Times New Roman" w:eastAsia="Times New Roman" w:hAnsi="Times New Roman"/>
                <w:sz w:val="18"/>
                <w:szCs w:val="18"/>
                <w:b w:val="1"/>
                <w:bCs w:val="1"/>
                <w:color w:val="auto"/>
              </w:rPr>
              <w:t>March 31, 2018</w:t>
            </w:r>
          </w:p>
        </w:tc>
        <w:tc>
          <w:tcPr>
            <w:tcW w:w="260" w:type="dxa"/>
            <w:vAlign w:val="bottom"/>
          </w:tcPr>
          <w:p>
            <w:pPr>
              <w:spacing w:after="0"/>
              <w:rPr>
                <w:sz w:val="20"/>
                <w:szCs w:val="20"/>
                <w:color w:val="auto"/>
              </w:rPr>
            </w:pPr>
          </w:p>
        </w:tc>
        <w:tc>
          <w:tcPr>
            <w:tcW w:w="1960" w:type="dxa"/>
            <w:vAlign w:val="bottom"/>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December 31, 2017</w:t>
            </w:r>
          </w:p>
        </w:tc>
        <w:tc>
          <w:tcPr>
            <w:tcW w:w="0" w:type="dxa"/>
            <w:vAlign w:val="bottom"/>
          </w:tcPr>
          <w:p>
            <w:pPr>
              <w:spacing w:after="0"/>
              <w:rPr>
                <w:sz w:val="1"/>
                <w:szCs w:val="1"/>
                <w:color w:val="auto"/>
              </w:rPr>
            </w:pPr>
          </w:p>
        </w:tc>
      </w:tr>
      <w:tr>
        <w:trPr>
          <w:trHeight w:val="27"/>
        </w:trPr>
        <w:tc>
          <w:tcPr>
            <w:tcW w:w="544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Senior Credit Facility – Term Loan</w:t>
            </w:r>
          </w:p>
        </w:tc>
        <w:tc>
          <w:tcPr>
            <w:tcW w:w="26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3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440" w:type="dxa"/>
            <w:vAlign w:val="bottom"/>
            <w:vMerge w:val="continue"/>
          </w:tcPr>
          <w:p>
            <w:pPr>
              <w:spacing w:after="0"/>
              <w:rPr>
                <w:sz w:val="20"/>
                <w:szCs w:val="20"/>
                <w:color w:val="auto"/>
              </w:rPr>
            </w:pPr>
          </w:p>
        </w:tc>
        <w:tc>
          <w:tcPr>
            <w:tcW w:w="2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7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1,374,617</w:t>
            </w:r>
          </w:p>
        </w:tc>
        <w:tc>
          <w:tcPr>
            <w:tcW w:w="300" w:type="dxa"/>
            <w:vAlign w:val="bottom"/>
          </w:tcPr>
          <w:p>
            <w:pPr>
              <w:spacing w:after="0"/>
              <w:rPr>
                <w:sz w:val="20"/>
                <w:szCs w:val="20"/>
                <w:color w:val="auto"/>
              </w:rPr>
            </w:pPr>
          </w:p>
        </w:tc>
        <w:tc>
          <w:tcPr>
            <w:tcW w:w="2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9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1,378,160</w:t>
            </w:r>
          </w:p>
        </w:tc>
        <w:tc>
          <w:tcPr>
            <w:tcW w:w="0" w:type="dxa"/>
            <w:vAlign w:val="bottom"/>
          </w:tcPr>
          <w:p>
            <w:pPr>
              <w:spacing w:after="0"/>
              <w:rPr>
                <w:sz w:val="1"/>
                <w:szCs w:val="1"/>
                <w:color w:val="auto"/>
              </w:rPr>
            </w:pPr>
          </w:p>
        </w:tc>
      </w:tr>
      <w:tr>
        <w:trPr>
          <w:trHeight w:val="27"/>
        </w:trPr>
        <w:tc>
          <w:tcPr>
            <w:tcW w:w="5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3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4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Senior Credit Facility – Revolver</w:t>
            </w:r>
          </w:p>
        </w:tc>
        <w:tc>
          <w:tcPr>
            <w:tcW w:w="26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75,000</w:t>
            </w:r>
          </w:p>
        </w:tc>
        <w:tc>
          <w:tcPr>
            <w:tcW w:w="3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9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75,000</w:t>
            </w:r>
          </w:p>
        </w:tc>
        <w:tc>
          <w:tcPr>
            <w:tcW w:w="0" w:type="dxa"/>
            <w:vAlign w:val="bottom"/>
          </w:tcPr>
          <w:p>
            <w:pPr>
              <w:spacing w:after="0"/>
              <w:rPr>
                <w:sz w:val="1"/>
                <w:szCs w:val="1"/>
                <w:color w:val="auto"/>
              </w:rPr>
            </w:pPr>
          </w:p>
        </w:tc>
      </w:tr>
      <w:tr>
        <w:trPr>
          <w:trHeight w:val="237"/>
        </w:trPr>
        <w:tc>
          <w:tcPr>
            <w:tcW w:w="5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 debt</w:t>
            </w:r>
          </w:p>
        </w:tc>
        <w:tc>
          <w:tcPr>
            <w:tcW w:w="260" w:type="dxa"/>
            <w:vAlign w:val="bottom"/>
            <w:tcBorders>
              <w:top w:val="single" w:sz="8" w:color="auto"/>
            </w:tcBorders>
          </w:tcPr>
          <w:p>
            <w:pPr>
              <w:spacing w:after="0"/>
              <w:rPr>
                <w:sz w:val="20"/>
                <w:szCs w:val="20"/>
                <w:color w:val="auto"/>
              </w:rPr>
            </w:pPr>
          </w:p>
        </w:tc>
        <w:tc>
          <w:tcPr>
            <w:tcW w:w="174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1,449,617</w:t>
            </w:r>
          </w:p>
        </w:tc>
        <w:tc>
          <w:tcPr>
            <w:tcW w:w="3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96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1,453,160</w:t>
            </w:r>
          </w:p>
        </w:tc>
        <w:tc>
          <w:tcPr>
            <w:tcW w:w="0" w:type="dxa"/>
            <w:vAlign w:val="bottom"/>
          </w:tcPr>
          <w:p>
            <w:pPr>
              <w:spacing w:after="0"/>
              <w:rPr>
                <w:sz w:val="1"/>
                <w:szCs w:val="1"/>
                <w:color w:val="auto"/>
              </w:rPr>
            </w:pPr>
          </w:p>
        </w:tc>
      </w:tr>
      <w:tr>
        <w:trPr>
          <w:trHeight w:val="27"/>
        </w:trPr>
        <w:tc>
          <w:tcPr>
            <w:tcW w:w="5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3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4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Less debt issuance costs</w:t>
            </w:r>
          </w:p>
        </w:tc>
        <w:tc>
          <w:tcPr>
            <w:tcW w:w="26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(7,545)</w:t>
            </w:r>
          </w:p>
        </w:tc>
        <w:tc>
          <w:tcPr>
            <w:tcW w:w="3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9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(8,715)</w:t>
            </w:r>
          </w:p>
        </w:tc>
        <w:tc>
          <w:tcPr>
            <w:tcW w:w="0" w:type="dxa"/>
            <w:vAlign w:val="bottom"/>
          </w:tcPr>
          <w:p>
            <w:pPr>
              <w:spacing w:after="0"/>
              <w:rPr>
                <w:sz w:val="1"/>
                <w:szCs w:val="1"/>
                <w:color w:val="auto"/>
              </w:rPr>
            </w:pPr>
          </w:p>
        </w:tc>
      </w:tr>
      <w:tr>
        <w:trPr>
          <w:trHeight w:val="237"/>
        </w:trPr>
        <w:tc>
          <w:tcPr>
            <w:tcW w:w="5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 debt, net of debt issuance costs</w:t>
            </w:r>
          </w:p>
        </w:tc>
        <w:tc>
          <w:tcPr>
            <w:tcW w:w="260" w:type="dxa"/>
            <w:vAlign w:val="bottom"/>
            <w:tcBorders>
              <w:top w:val="single" w:sz="8" w:color="auto"/>
            </w:tcBorders>
          </w:tcPr>
          <w:p>
            <w:pPr>
              <w:spacing w:after="0"/>
              <w:rPr>
                <w:sz w:val="20"/>
                <w:szCs w:val="20"/>
                <w:color w:val="auto"/>
              </w:rPr>
            </w:pPr>
          </w:p>
        </w:tc>
        <w:tc>
          <w:tcPr>
            <w:tcW w:w="174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1,442,072</w:t>
            </w:r>
          </w:p>
        </w:tc>
        <w:tc>
          <w:tcPr>
            <w:tcW w:w="3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96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1,444,445</w:t>
            </w:r>
          </w:p>
        </w:tc>
        <w:tc>
          <w:tcPr>
            <w:tcW w:w="0" w:type="dxa"/>
            <w:vAlign w:val="bottom"/>
          </w:tcPr>
          <w:p>
            <w:pPr>
              <w:spacing w:after="0"/>
              <w:rPr>
                <w:sz w:val="1"/>
                <w:szCs w:val="1"/>
                <w:color w:val="auto"/>
              </w:rPr>
            </w:pPr>
          </w:p>
        </w:tc>
      </w:tr>
      <w:tr>
        <w:trPr>
          <w:trHeight w:val="27"/>
        </w:trPr>
        <w:tc>
          <w:tcPr>
            <w:tcW w:w="54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3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4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Less current portion: Senior Credit Facility – Term Loan</w:t>
            </w:r>
          </w:p>
        </w:tc>
        <w:tc>
          <w:tcPr>
            <w:tcW w:w="26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(14,171)</w:t>
            </w:r>
          </w:p>
        </w:tc>
        <w:tc>
          <w:tcPr>
            <w:tcW w:w="3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9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(14,171)</w:t>
            </w:r>
          </w:p>
        </w:tc>
        <w:tc>
          <w:tcPr>
            <w:tcW w:w="0" w:type="dxa"/>
            <w:vAlign w:val="bottom"/>
          </w:tcPr>
          <w:p>
            <w:pPr>
              <w:spacing w:after="0"/>
              <w:rPr>
                <w:sz w:val="1"/>
                <w:szCs w:val="1"/>
                <w:color w:val="auto"/>
              </w:rPr>
            </w:pPr>
          </w:p>
        </w:tc>
      </w:tr>
      <w:tr>
        <w:trPr>
          <w:trHeight w:val="243"/>
        </w:trPr>
        <w:tc>
          <w:tcPr>
            <w:tcW w:w="5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Less current portion: Senior Credit Facility – Revolver</w:t>
            </w:r>
          </w:p>
        </w:tc>
        <w:tc>
          <w:tcPr>
            <w:tcW w:w="260" w:type="dxa"/>
            <w:vAlign w:val="bottom"/>
          </w:tcPr>
          <w:p>
            <w:pPr>
              <w:spacing w:after="0"/>
              <w:rPr>
                <w:sz w:val="21"/>
                <w:szCs w:val="21"/>
                <w:color w:val="auto"/>
              </w:rPr>
            </w:pPr>
          </w:p>
        </w:tc>
        <w:tc>
          <w:tcPr>
            <w:tcW w:w="17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(75,000)</w:t>
            </w:r>
          </w:p>
        </w:tc>
        <w:tc>
          <w:tcPr>
            <w:tcW w:w="3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9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(75,000)</w:t>
            </w:r>
          </w:p>
        </w:tc>
        <w:tc>
          <w:tcPr>
            <w:tcW w:w="0" w:type="dxa"/>
            <w:vAlign w:val="bottom"/>
          </w:tcPr>
          <w:p>
            <w:pPr>
              <w:spacing w:after="0"/>
              <w:rPr>
                <w:sz w:val="1"/>
                <w:szCs w:val="1"/>
                <w:color w:val="auto"/>
              </w:rPr>
            </w:pPr>
          </w:p>
        </w:tc>
      </w:tr>
      <w:tr>
        <w:trPr>
          <w:trHeight w:val="27"/>
        </w:trPr>
        <w:tc>
          <w:tcPr>
            <w:tcW w:w="54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3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54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Less total current portion</w:t>
            </w:r>
          </w:p>
        </w:tc>
        <w:tc>
          <w:tcPr>
            <w:tcW w:w="260" w:type="dxa"/>
            <w:vAlign w:val="bottom"/>
            <w:tcBorders>
              <w:bottom w:val="single" w:sz="8" w:color="CCEEFF"/>
            </w:tcBorders>
            <w:shd w:val="clear" w:color="auto" w:fill="CCEEFF"/>
          </w:tcPr>
          <w:p>
            <w:pPr>
              <w:spacing w:after="0"/>
              <w:rPr>
                <w:sz w:val="22"/>
                <w:szCs w:val="22"/>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(89,171)</w:t>
            </w:r>
          </w:p>
        </w:tc>
        <w:tc>
          <w:tcPr>
            <w:tcW w:w="3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9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(89,171)</w:t>
            </w:r>
          </w:p>
        </w:tc>
        <w:tc>
          <w:tcPr>
            <w:tcW w:w="0" w:type="dxa"/>
            <w:vAlign w:val="bottom"/>
          </w:tcPr>
          <w:p>
            <w:pPr>
              <w:spacing w:after="0"/>
              <w:rPr>
                <w:sz w:val="1"/>
                <w:szCs w:val="1"/>
                <w:color w:val="auto"/>
              </w:rPr>
            </w:pPr>
          </w:p>
        </w:tc>
      </w:tr>
      <w:tr>
        <w:trPr>
          <w:trHeight w:val="237"/>
        </w:trPr>
        <w:tc>
          <w:tcPr>
            <w:tcW w:w="5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 long-term debt, net</w:t>
            </w:r>
          </w:p>
        </w:tc>
        <w:tc>
          <w:tcPr>
            <w:tcW w:w="26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74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1,352,901</w:t>
            </w:r>
          </w:p>
        </w:tc>
        <w:tc>
          <w:tcPr>
            <w:tcW w:w="300" w:type="dxa"/>
            <w:vAlign w:val="bottom"/>
          </w:tcPr>
          <w:p>
            <w:pPr>
              <w:spacing w:after="0"/>
              <w:rPr>
                <w:sz w:val="20"/>
                <w:szCs w:val="20"/>
                <w:color w:val="auto"/>
              </w:rPr>
            </w:pPr>
          </w:p>
        </w:tc>
        <w:tc>
          <w:tcPr>
            <w:tcW w:w="26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96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1,355,274</w:t>
            </w:r>
          </w:p>
        </w:tc>
        <w:tc>
          <w:tcPr>
            <w:tcW w:w="0" w:type="dxa"/>
            <w:vAlign w:val="bottom"/>
          </w:tcPr>
          <w:p>
            <w:pPr>
              <w:spacing w:after="0"/>
              <w:rPr>
                <w:sz w:val="1"/>
                <w:szCs w:val="1"/>
                <w:color w:val="auto"/>
              </w:rPr>
            </w:pPr>
          </w:p>
        </w:tc>
      </w:tr>
      <w:tr>
        <w:trPr>
          <w:trHeight w:val="27"/>
        </w:trPr>
        <w:tc>
          <w:tcPr>
            <w:tcW w:w="54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3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4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principal balance, unamortized discount and net carrying amount of Amneal’s long-term debt are as follows (in thousands):</w:t>
      </w:r>
    </w:p>
    <w:p>
      <w:pPr>
        <w:spacing w:after="0" w:line="383" w:lineRule="exact"/>
        <w:rPr>
          <w:sz w:val="20"/>
          <w:szCs w:val="20"/>
          <w:color w:val="auto"/>
        </w:rPr>
      </w:pPr>
    </w:p>
    <w:tbl>
      <w:tblPr>
        <w:tblLayout w:type="fixed"/>
        <w:tblInd w:w="560" w:type="dxa"/>
        <w:tblCellMar>
          <w:top w:w="0" w:type="dxa"/>
          <w:left w:w="0" w:type="dxa"/>
          <w:bottom w:w="0" w:type="dxa"/>
          <w:right w:w="0" w:type="dxa"/>
        </w:tblCellMar>
      </w:tblPr>
      <w:tr>
        <w:trPr>
          <w:trHeight w:val="238"/>
        </w:trPr>
        <w:tc>
          <w:tcPr>
            <w:tcW w:w="54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40" w:type="dxa"/>
            <w:vAlign w:val="bottom"/>
            <w:gridSpan w:val="2"/>
          </w:tcPr>
          <w:p>
            <w:pPr>
              <w:ind w:left="140"/>
              <w:spacing w:after="0"/>
              <w:rPr>
                <w:sz w:val="20"/>
                <w:szCs w:val="20"/>
                <w:color w:val="auto"/>
              </w:rPr>
            </w:pPr>
            <w:r>
              <w:rPr>
                <w:rFonts w:ascii="Times New Roman" w:cs="Times New Roman" w:eastAsia="Times New Roman" w:hAnsi="Times New Roman"/>
                <w:sz w:val="18"/>
                <w:szCs w:val="18"/>
                <w:b w:val="1"/>
                <w:bCs w:val="1"/>
                <w:color w:val="auto"/>
              </w:rPr>
              <w:t>March 31, 2018</w:t>
            </w:r>
          </w:p>
        </w:tc>
        <w:tc>
          <w:tcPr>
            <w:tcW w:w="260" w:type="dxa"/>
            <w:vAlign w:val="bottom"/>
          </w:tcPr>
          <w:p>
            <w:pPr>
              <w:spacing w:after="0"/>
              <w:rPr>
                <w:sz w:val="20"/>
                <w:szCs w:val="20"/>
                <w:color w:val="auto"/>
              </w:rPr>
            </w:pPr>
          </w:p>
        </w:tc>
        <w:tc>
          <w:tcPr>
            <w:tcW w:w="1960" w:type="dxa"/>
            <w:vAlign w:val="bottom"/>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December 31, 2017</w:t>
            </w:r>
          </w:p>
        </w:tc>
      </w:tr>
      <w:tr>
        <w:trPr>
          <w:trHeight w:val="27"/>
        </w:trPr>
        <w:tc>
          <w:tcPr>
            <w:tcW w:w="54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3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r>
      <w:tr>
        <w:trPr>
          <w:trHeight w:val="237"/>
        </w:trPr>
        <w:tc>
          <w:tcPr>
            <w:tcW w:w="54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Long-term debt – gross</w:t>
            </w:r>
          </w:p>
        </w:tc>
        <w:tc>
          <w:tcPr>
            <w:tcW w:w="28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7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1,360,446</w:t>
            </w:r>
          </w:p>
        </w:tc>
        <w:tc>
          <w:tcPr>
            <w:tcW w:w="300" w:type="dxa"/>
            <w:vAlign w:val="bottom"/>
          </w:tcPr>
          <w:p>
            <w:pPr>
              <w:spacing w:after="0"/>
              <w:rPr>
                <w:sz w:val="20"/>
                <w:szCs w:val="20"/>
                <w:color w:val="auto"/>
              </w:rPr>
            </w:pPr>
          </w:p>
        </w:tc>
        <w:tc>
          <w:tcPr>
            <w:tcW w:w="2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1,363,989</w:t>
            </w:r>
          </w:p>
        </w:tc>
      </w:tr>
      <w:tr>
        <w:trPr>
          <w:trHeight w:val="27"/>
        </w:trPr>
        <w:tc>
          <w:tcPr>
            <w:tcW w:w="54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740" w:type="dxa"/>
            <w:vAlign w:val="bottom"/>
          </w:tcPr>
          <w:p>
            <w:pPr>
              <w:spacing w:after="0"/>
              <w:rPr>
                <w:sz w:val="2"/>
                <w:szCs w:val="2"/>
                <w:color w:val="auto"/>
              </w:rPr>
            </w:pPr>
          </w:p>
        </w:tc>
        <w:tc>
          <w:tcPr>
            <w:tcW w:w="3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960" w:type="dxa"/>
            <w:vAlign w:val="bottom"/>
          </w:tcPr>
          <w:p>
            <w:pPr>
              <w:spacing w:after="0"/>
              <w:rPr>
                <w:sz w:val="2"/>
                <w:szCs w:val="2"/>
                <w:color w:val="auto"/>
              </w:rPr>
            </w:pPr>
          </w:p>
        </w:tc>
      </w:tr>
      <w:tr>
        <w:trPr>
          <w:trHeight w:val="270"/>
        </w:trPr>
        <w:tc>
          <w:tcPr>
            <w:tcW w:w="542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Long-term debt – discount</w:t>
            </w:r>
          </w:p>
        </w:tc>
        <w:tc>
          <w:tcPr>
            <w:tcW w:w="28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(7,545)</w:t>
            </w:r>
          </w:p>
        </w:tc>
        <w:tc>
          <w:tcPr>
            <w:tcW w:w="3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9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(8,715)</w:t>
            </w:r>
          </w:p>
        </w:tc>
      </w:tr>
      <w:tr>
        <w:trPr>
          <w:trHeight w:val="257"/>
        </w:trPr>
        <w:tc>
          <w:tcPr>
            <w:tcW w:w="54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Long-term debt – net</w:t>
            </w:r>
          </w:p>
        </w:tc>
        <w:tc>
          <w:tcPr>
            <w:tcW w:w="280" w:type="dxa"/>
            <w:vAlign w:val="bottom"/>
            <w:tcBorders>
              <w:top w:val="single" w:sz="8" w:color="auto"/>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74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1,352,901</w:t>
            </w:r>
          </w:p>
        </w:tc>
        <w:tc>
          <w:tcPr>
            <w:tcW w:w="300" w:type="dxa"/>
            <w:vAlign w:val="bottom"/>
          </w:tcPr>
          <w:p>
            <w:pPr>
              <w:spacing w:after="0"/>
              <w:rPr>
                <w:sz w:val="22"/>
                <w:szCs w:val="22"/>
                <w:color w:val="auto"/>
              </w:rPr>
            </w:pPr>
          </w:p>
        </w:tc>
        <w:tc>
          <w:tcPr>
            <w:tcW w:w="26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1,355,274</w:t>
            </w:r>
          </w:p>
        </w:tc>
      </w:tr>
      <w:tr>
        <w:trPr>
          <w:trHeight w:val="20"/>
        </w:trPr>
        <w:tc>
          <w:tcPr>
            <w:tcW w:w="54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96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ind w:right="80"/>
        <w:spacing w:after="0" w:line="266" w:lineRule="auto"/>
        <w:rPr>
          <w:sz w:val="20"/>
          <w:szCs w:val="20"/>
          <w:color w:val="auto"/>
        </w:rPr>
      </w:pPr>
      <w:r>
        <w:rPr>
          <w:rFonts w:ascii="Times New Roman" w:cs="Times New Roman" w:eastAsia="Times New Roman" w:hAnsi="Times New Roman"/>
          <w:sz w:val="18"/>
          <w:szCs w:val="18"/>
          <w:color w:val="auto"/>
        </w:rPr>
        <w:t>On November 1, 2013, Amneal entered into term loan (“Term Loan”) and revolver (“Revolver”) credit facilities (as amended, the “Credit Facilities”). The proceeds of loans made from the Credit Facilities may be used to fund working capital needs, capital expenditures, acquisitions, dividends, and distributions to the membership unit holders and for other general corporate purposes.</w:t>
      </w:r>
    </w:p>
    <w:p>
      <w:pPr>
        <w:spacing w:after="0" w:line="200" w:lineRule="exact"/>
        <w:rPr>
          <w:sz w:val="20"/>
          <w:szCs w:val="20"/>
          <w:color w:val="auto"/>
        </w:rPr>
      </w:pPr>
    </w:p>
    <w:p>
      <w:pPr>
        <w:spacing w:after="0" w:line="21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18</w:t>
      </w:r>
    </w:p>
    <w:p>
      <w:pPr>
        <w:sectPr>
          <w:pgSz w:w="11900" w:h="16838" w:orient="portrait"/>
          <w:cols w:equalWidth="0" w:num="1">
            <w:col w:w="11340"/>
          </w:cols>
          <w:pgMar w:left="240" w:top="117" w:right="319" w:bottom="1440" w:gutter="0" w:footer="0" w:header="0"/>
        </w:sectPr>
      </w:pPr>
    </w:p>
    <w:bookmarkStart w:id="23" w:name="page24"/>
    <w:bookmarkEnd w:id="23"/>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(unaudited)</w:t>
      </w:r>
    </w:p>
    <w:p>
      <w:pPr>
        <w:spacing w:after="0" w:line="234" w:lineRule="exact"/>
        <w:rPr>
          <w:sz w:val="20"/>
          <w:szCs w:val="20"/>
          <w:color w:val="auto"/>
        </w:rPr>
      </w:pPr>
    </w:p>
    <w:p>
      <w:pPr>
        <w:ind w:right="100"/>
        <w:spacing w:after="0" w:line="258" w:lineRule="auto"/>
        <w:rPr>
          <w:sz w:val="20"/>
          <w:szCs w:val="20"/>
          <w:color w:val="auto"/>
        </w:rPr>
      </w:pPr>
      <w:r>
        <w:rPr>
          <w:rFonts w:ascii="Times New Roman" w:cs="Times New Roman" w:eastAsia="Times New Roman" w:hAnsi="Times New Roman"/>
          <w:sz w:val="18"/>
          <w:szCs w:val="18"/>
          <w:color w:val="auto"/>
        </w:rPr>
        <w:t>At March 31, 2018, the Term Loan currently bears interest at LIBOR plus 3.50% with a 1.00% LIBOR floor and includes a principal pay down of 1% annually. The Term Loan matures on November 1, 2019, but can be prepaid at any time at no additional cost. The Revolver’s borrowing limit is $200 million and currently bears interest at LIBOR plus 1.75% with a 1.00% LIBOR floor. Amneal is charged a commitment fee of 0.375% on the daily portion of its unused Revolver limits. The Revolver matures on November 1, 2018, but can be prepaid at any time at no additional cost. Amneal has the option to extend the maturity date of the Revolver to November 1, 2019.</w:t>
      </w:r>
    </w:p>
    <w:p>
      <w:pPr>
        <w:spacing w:after="0" w:line="184" w:lineRule="exact"/>
        <w:rPr>
          <w:sz w:val="20"/>
          <w:szCs w:val="20"/>
          <w:color w:val="auto"/>
        </w:rPr>
      </w:pPr>
    </w:p>
    <w:p>
      <w:pPr>
        <w:ind w:right="480"/>
        <w:spacing w:after="0" w:line="282" w:lineRule="auto"/>
        <w:rPr>
          <w:sz w:val="20"/>
          <w:szCs w:val="20"/>
          <w:color w:val="auto"/>
        </w:rPr>
      </w:pPr>
      <w:r>
        <w:rPr>
          <w:rFonts w:ascii="Times New Roman" w:cs="Times New Roman" w:eastAsia="Times New Roman" w:hAnsi="Times New Roman"/>
          <w:sz w:val="18"/>
          <w:szCs w:val="18"/>
          <w:color w:val="auto"/>
        </w:rPr>
        <w:t>Amneal recorded debt issuance cost amortization expense of $1.2 million and $0.9 million related to the Credit Facilities during the three months ended March 31, 2018 and 2017, respectively. Amortization is exclusive of any loss on extinguishment of debt.</w:t>
      </w:r>
    </w:p>
    <w:p>
      <w:pPr>
        <w:spacing w:after="0" w:line="162" w:lineRule="exact"/>
        <w:rPr>
          <w:sz w:val="20"/>
          <w:szCs w:val="20"/>
          <w:color w:val="auto"/>
        </w:rPr>
      </w:pPr>
    </w:p>
    <w:p>
      <w:pPr>
        <w:ind w:right="140"/>
        <w:spacing w:after="0" w:line="282" w:lineRule="auto"/>
        <w:rPr>
          <w:sz w:val="20"/>
          <w:szCs w:val="20"/>
          <w:color w:val="auto"/>
        </w:rPr>
      </w:pPr>
      <w:r>
        <w:rPr>
          <w:rFonts w:ascii="Times New Roman" w:cs="Times New Roman" w:eastAsia="Times New Roman" w:hAnsi="Times New Roman"/>
          <w:sz w:val="18"/>
          <w:szCs w:val="18"/>
          <w:color w:val="auto"/>
        </w:rPr>
        <w:t>Amneal’s obligations under the Credit Facilities are guaranteed by its parent, Amneal Pharmaceuticals Holding Company, LLC (“APHC”), and certain of its subsidiaries and are collateralized by a pledge of all the capital stock and membership interests of APHC and certain of its subsidiaries.</w:t>
      </w:r>
    </w:p>
    <w:p>
      <w:pPr>
        <w:spacing w:after="0" w:line="162"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18"/>
          <w:szCs w:val="18"/>
          <w:color w:val="auto"/>
        </w:rPr>
        <w:t>The Credit Facilities contain a number of covenants that, among other things, restrict, subject to certain exceptions, Amneal’s ability to incur additional indebtedness; create liens on assets; sell assets; make investments, loans or advances; pay dividends or distributions or repurchase stock and engage in certain transactions with affiliates. The Credit Facilities also contain certain usual and customary covenants, including, but not limited to covenants to maintain maximum leverage and minimum interest coverage ratios. The Credit Facilities also contain certain customary affirmative covenants and events of default. As of March 31, 2018, Amneal was in compliance with all covenants.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Amneal’s long-term debt agreements, exclusive of capital leases, require payments as follows (in thousands):</w:t>
      </w:r>
    </w:p>
    <w:p>
      <w:pPr>
        <w:spacing w:after="0" w:line="383" w:lineRule="exact"/>
        <w:rPr>
          <w:sz w:val="20"/>
          <w:szCs w:val="20"/>
          <w:color w:val="auto"/>
        </w:rPr>
      </w:pPr>
    </w:p>
    <w:tbl>
      <w:tblPr>
        <w:tblLayout w:type="fixed"/>
        <w:tblInd w:w="560" w:type="dxa"/>
        <w:tblCellMar>
          <w:top w:w="0" w:type="dxa"/>
          <w:left w:w="0" w:type="dxa"/>
          <w:bottom w:w="0" w:type="dxa"/>
          <w:right w:w="0" w:type="dxa"/>
        </w:tblCellMar>
      </w:tblPr>
      <w:tr>
        <w:trPr>
          <w:trHeight w:val="238"/>
        </w:trPr>
        <w:tc>
          <w:tcPr>
            <w:tcW w:w="36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80" w:type="dxa"/>
            <w:vAlign w:val="bottom"/>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Payments Due</w:t>
            </w:r>
          </w:p>
        </w:tc>
      </w:tr>
      <w:tr>
        <w:trPr>
          <w:trHeight w:val="27"/>
        </w:trPr>
        <w:tc>
          <w:tcPr>
            <w:tcW w:w="36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37"/>
        </w:trPr>
        <w:tc>
          <w:tcPr>
            <w:tcW w:w="36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2018</w:t>
            </w:r>
          </w:p>
        </w:tc>
        <w:tc>
          <w:tcPr>
            <w:tcW w:w="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85,628</w:t>
            </w:r>
          </w:p>
        </w:tc>
      </w:tr>
      <w:tr>
        <w:trPr>
          <w:trHeight w:val="27"/>
        </w:trPr>
        <w:tc>
          <w:tcPr>
            <w:tcW w:w="36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70"/>
        </w:trPr>
        <w:tc>
          <w:tcPr>
            <w:tcW w:w="362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2019</w:t>
            </w:r>
          </w:p>
        </w:tc>
        <w:tc>
          <w:tcPr>
            <w:tcW w:w="200" w:type="dxa"/>
            <w:vAlign w:val="bottom"/>
            <w:tcBorders>
              <w:bottom w:val="single" w:sz="8" w:color="CCEEFF"/>
            </w:tcBorders>
            <w:shd w:val="clear" w:color="auto" w:fill="CCEEFF"/>
          </w:tcPr>
          <w:p>
            <w:pPr>
              <w:spacing w:after="0"/>
              <w:rPr>
                <w:sz w:val="23"/>
                <w:szCs w:val="23"/>
                <w:color w:val="auto"/>
              </w:rPr>
            </w:pPr>
          </w:p>
        </w:tc>
        <w:tc>
          <w:tcPr>
            <w:tcW w:w="14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1,363,989</w:t>
            </w:r>
          </w:p>
        </w:tc>
      </w:tr>
      <w:tr>
        <w:trPr>
          <w:trHeight w:val="257"/>
        </w:trPr>
        <w:tc>
          <w:tcPr>
            <w:tcW w:w="36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2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1,449,617</w:t>
            </w:r>
          </w:p>
        </w:tc>
      </w:tr>
      <w:tr>
        <w:trPr>
          <w:trHeight w:val="20"/>
        </w:trPr>
        <w:tc>
          <w:tcPr>
            <w:tcW w:w="36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9. Capital Structure</w:t>
      </w:r>
    </w:p>
    <w:p>
      <w:pPr>
        <w:spacing w:after="0" w:line="229" w:lineRule="exact"/>
        <w:rPr>
          <w:sz w:val="20"/>
          <w:szCs w:val="20"/>
          <w:color w:val="auto"/>
        </w:rPr>
      </w:pPr>
    </w:p>
    <w:p>
      <w:pPr>
        <w:ind w:right="20"/>
        <w:spacing w:after="0" w:line="258" w:lineRule="auto"/>
        <w:rPr>
          <w:sz w:val="20"/>
          <w:szCs w:val="20"/>
          <w:color w:val="auto"/>
        </w:rPr>
      </w:pPr>
      <w:r>
        <w:rPr>
          <w:rFonts w:ascii="Times New Roman" w:cs="Times New Roman" w:eastAsia="Times New Roman" w:hAnsi="Times New Roman"/>
          <w:sz w:val="18"/>
          <w:szCs w:val="18"/>
          <w:color w:val="auto"/>
        </w:rPr>
        <w:t>Amneal is a limited liability company and is treated as a partnership for U.S. tax purposes. As of March 31, 2018, Amneal had one Class A membership equity classification in which the members shared in the profits and losses and have voting rights. At March 31, 2018 and December 31, 2017, the Class A members had 189,000,000 units authorized, issued, and outstanding. For the three months ended March 31, 2018, Amneal made distributions of $30.0 million ($0.16 per unit) to the Class A member, within the terms of the current Limited Liability Company Operating Agreement. Amneal did not make any distributions during the three months ended March 31, 2017.</w:t>
      </w:r>
    </w:p>
    <w:p>
      <w:pPr>
        <w:spacing w:after="0" w:line="184" w:lineRule="exact"/>
        <w:rPr>
          <w:sz w:val="20"/>
          <w:szCs w:val="20"/>
          <w:color w:val="auto"/>
        </w:rPr>
      </w:pPr>
    </w:p>
    <w:p>
      <w:pPr>
        <w:ind w:right="20"/>
        <w:spacing w:after="0" w:line="258" w:lineRule="auto"/>
        <w:rPr>
          <w:sz w:val="20"/>
          <w:szCs w:val="20"/>
          <w:color w:val="auto"/>
        </w:rPr>
      </w:pPr>
      <w:r>
        <w:rPr>
          <w:rFonts w:ascii="Times New Roman" w:cs="Times New Roman" w:eastAsia="Times New Roman" w:hAnsi="Times New Roman"/>
          <w:sz w:val="18"/>
          <w:szCs w:val="18"/>
          <w:color w:val="auto"/>
        </w:rPr>
        <w:t>During 2011, Amneal established a profit participation plan in the form of profits interests granted through the issuance of Class D, Class E and Class F membership units. In 2015, Amneal added Class G and H membership units to the plan. Amneal issued these membership units to a select group of individuals (“Members”) in recognition of their past and continued services to Amneal. Subject to vesting provisions and forfeiture of the Units, the aggregate percentage interests of the Members will not exceed 6.36% in total membership interest. These interests constitute a profits interest in Amneal pursuant to the Internal Revenue Code and applicable treasury department regulations and pronouncements.</w:t>
      </w:r>
    </w:p>
    <w:p>
      <w:pPr>
        <w:spacing w:after="0" w:line="200" w:lineRule="exact"/>
        <w:rPr>
          <w:sz w:val="20"/>
          <w:szCs w:val="20"/>
          <w:color w:val="auto"/>
        </w:rPr>
      </w:pPr>
    </w:p>
    <w:p>
      <w:pPr>
        <w:spacing w:after="0" w:line="2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19</w:t>
      </w:r>
    </w:p>
    <w:p>
      <w:pPr>
        <w:sectPr>
          <w:pgSz w:w="11900" w:h="16838" w:orient="portrait"/>
          <w:cols w:equalWidth="0" w:num="1">
            <w:col w:w="11420"/>
          </w:cols>
          <w:pgMar w:left="240" w:top="117" w:right="239" w:bottom="1440" w:gutter="0" w:footer="0" w:header="0"/>
        </w:sectPr>
      </w:pPr>
    </w:p>
    <w:bookmarkStart w:id="24" w:name="page25"/>
    <w:bookmarkEnd w:id="24"/>
    <w:p>
      <w:pPr>
        <w:jc w:val="center"/>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(unaudited)</w:t>
      </w:r>
    </w:p>
    <w:p>
      <w:pPr>
        <w:spacing w:after="0" w:line="234" w:lineRule="exact"/>
        <w:rPr>
          <w:sz w:val="20"/>
          <w:szCs w:val="20"/>
          <w:color w:val="auto"/>
        </w:rPr>
      </w:pPr>
    </w:p>
    <w:p>
      <w:pPr>
        <w:ind w:right="20"/>
        <w:spacing w:after="0" w:line="258" w:lineRule="auto"/>
        <w:rPr>
          <w:sz w:val="20"/>
          <w:szCs w:val="20"/>
          <w:color w:val="auto"/>
        </w:rPr>
      </w:pPr>
      <w:r>
        <w:rPr>
          <w:rFonts w:ascii="Times New Roman" w:cs="Times New Roman" w:eastAsia="Times New Roman" w:hAnsi="Times New Roman"/>
          <w:sz w:val="18"/>
          <w:szCs w:val="18"/>
          <w:color w:val="auto"/>
        </w:rPr>
        <w:t>The Members participate in distributions of net proceeds upon a sale of Amneal in accordance with the Distribution of Capital Proceeds provision contained in the Limited Liability Company Operating Agreement of Amneal, as amended. The vesting of certain units is subject to acceleration at the time of a change-in-control event. The Members participate only in net sale proceeds above the applicable floor amounts attributable to the units. Class D and Class E distributions of net sale proceeds are also subject to a cap. The units do not earn or accrue any preferred return. The Members do not have a right to vote or participate in the management of Amneal.</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summary of the unit activity for Members for the three months ended March 31, 2018 and 2017 is as follows: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200" w:type="dxa"/>
            <w:vAlign w:val="bottom"/>
          </w:tcPr>
          <w:p>
            <w:pPr>
              <w:spacing w:after="0"/>
              <w:rPr>
                <w:sz w:val="18"/>
                <w:szCs w:val="18"/>
                <w:color w:val="auto"/>
              </w:rPr>
            </w:pPr>
          </w:p>
        </w:tc>
        <w:tc>
          <w:tcPr>
            <w:tcW w:w="1440" w:type="dxa"/>
            <w:vAlign w:val="bottom"/>
            <w:vMerge w:val="restart"/>
          </w:tcPr>
          <w:p>
            <w:pPr>
              <w:jc w:val="right"/>
              <w:ind w:right="13"/>
              <w:spacing w:after="0"/>
              <w:rPr>
                <w:sz w:val="20"/>
                <w:szCs w:val="20"/>
                <w:color w:val="auto"/>
              </w:rPr>
            </w:pPr>
            <w:r>
              <w:rPr>
                <w:rFonts w:ascii="Times New Roman" w:cs="Times New Roman" w:eastAsia="Times New Roman" w:hAnsi="Times New Roman"/>
                <w:sz w:val="18"/>
                <w:szCs w:val="18"/>
                <w:b w:val="1"/>
                <w:bCs w:val="1"/>
                <w:color w:val="auto"/>
              </w:rPr>
              <w:t>Class D Member</w:t>
            </w:r>
          </w:p>
        </w:tc>
        <w:tc>
          <w:tcPr>
            <w:tcW w:w="1520" w:type="dxa"/>
            <w:vAlign w:val="bottom"/>
            <w:vMerge w:val="restart"/>
          </w:tcPr>
          <w:p>
            <w:pPr>
              <w:jc w:val="right"/>
              <w:ind w:right="53"/>
              <w:spacing w:after="0"/>
              <w:rPr>
                <w:sz w:val="20"/>
                <w:szCs w:val="20"/>
                <w:color w:val="auto"/>
              </w:rPr>
            </w:pPr>
            <w:r>
              <w:rPr>
                <w:rFonts w:ascii="Times New Roman" w:cs="Times New Roman" w:eastAsia="Times New Roman" w:hAnsi="Times New Roman"/>
                <w:sz w:val="18"/>
                <w:szCs w:val="18"/>
                <w:b w:val="1"/>
                <w:bCs w:val="1"/>
                <w:color w:val="auto"/>
              </w:rPr>
              <w:t>Class E Member</w:t>
            </w:r>
          </w:p>
        </w:tc>
        <w:tc>
          <w:tcPr>
            <w:tcW w:w="2880" w:type="dxa"/>
            <w:vAlign w:val="bottom"/>
            <w:gridSpan w:val="2"/>
            <w:vMerge w:val="restart"/>
          </w:tcPr>
          <w:p>
            <w:pPr>
              <w:jc w:val="right"/>
              <w:ind w:right="54"/>
              <w:spacing w:after="0"/>
              <w:rPr>
                <w:sz w:val="20"/>
                <w:szCs w:val="20"/>
                <w:color w:val="auto"/>
              </w:rPr>
            </w:pPr>
            <w:r>
              <w:rPr>
                <w:rFonts w:ascii="Times New Roman" w:cs="Times New Roman" w:eastAsia="Times New Roman" w:hAnsi="Times New Roman"/>
                <w:sz w:val="18"/>
                <w:szCs w:val="18"/>
                <w:b w:val="1"/>
                <w:bCs w:val="1"/>
                <w:color w:val="auto"/>
              </w:rPr>
              <w:t>Class F Member Class G Member</w:t>
            </w:r>
          </w:p>
        </w:tc>
        <w:tc>
          <w:tcPr>
            <w:tcW w:w="1200" w:type="dxa"/>
            <w:vAlign w:val="bottom"/>
          </w:tcPr>
          <w:p>
            <w:pPr>
              <w:jc w:val="right"/>
              <w:ind w:right="353"/>
              <w:spacing w:after="0"/>
              <w:rPr>
                <w:sz w:val="20"/>
                <w:szCs w:val="20"/>
                <w:color w:val="auto"/>
              </w:rPr>
            </w:pPr>
            <w:r>
              <w:rPr>
                <w:rFonts w:ascii="Times New Roman" w:cs="Times New Roman" w:eastAsia="Times New Roman" w:hAnsi="Times New Roman"/>
                <w:sz w:val="18"/>
                <w:szCs w:val="18"/>
                <w:b w:val="1"/>
                <w:bCs w:val="1"/>
                <w:color w:val="auto"/>
              </w:rPr>
              <w:t>Class H</w:t>
            </w:r>
          </w:p>
        </w:tc>
        <w:tc>
          <w:tcPr>
            <w:tcW w:w="1180" w:type="dxa"/>
            <w:vAlign w:val="bottom"/>
            <w:vMerge w:val="restart"/>
          </w:tcPr>
          <w:p>
            <w:pPr>
              <w:jc w:val="right"/>
              <w:ind w:right="393"/>
              <w:spacing w:after="0"/>
              <w:rPr>
                <w:sz w:val="20"/>
                <w:szCs w:val="20"/>
                <w:color w:val="auto"/>
              </w:rPr>
            </w:pPr>
            <w:r>
              <w:rPr>
                <w:rFonts w:ascii="Times New Roman" w:cs="Times New Roman" w:eastAsia="Times New Roman" w:hAnsi="Times New Roman"/>
                <w:sz w:val="18"/>
                <w:szCs w:val="18"/>
                <w:b w:val="1"/>
                <w:bCs w:val="1"/>
                <w:color w:val="auto"/>
              </w:rPr>
              <w:t>Total</w:t>
            </w:r>
          </w:p>
        </w:tc>
        <w:tc>
          <w:tcPr>
            <w:tcW w:w="0" w:type="dxa"/>
            <w:vAlign w:val="bottom"/>
          </w:tcPr>
          <w:p>
            <w:pPr>
              <w:spacing w:after="0"/>
              <w:rPr>
                <w:sz w:val="1"/>
                <w:szCs w:val="1"/>
                <w:color w:val="auto"/>
              </w:rPr>
            </w:pPr>
          </w:p>
        </w:tc>
      </w:tr>
      <w:tr>
        <w:trPr>
          <w:trHeight w:val="130"/>
        </w:trPr>
        <w:tc>
          <w:tcPr>
            <w:tcW w:w="3200" w:type="dxa"/>
            <w:vAlign w:val="bottom"/>
            <w:vMerge w:val="restart"/>
          </w:tcPr>
          <w:p>
            <w:pPr>
              <w:ind w:left="900"/>
              <w:spacing w:after="0"/>
              <w:rPr>
                <w:sz w:val="20"/>
                <w:szCs w:val="20"/>
                <w:color w:val="auto"/>
              </w:rPr>
            </w:pPr>
            <w:r>
              <w:rPr>
                <w:rFonts w:ascii="Times New Roman" w:cs="Times New Roman" w:eastAsia="Times New Roman" w:hAnsi="Times New Roman"/>
                <w:sz w:val="18"/>
                <w:szCs w:val="18"/>
                <w:b w:val="1"/>
                <w:bCs w:val="1"/>
                <w:color w:val="auto"/>
              </w:rPr>
              <w:t>Membership Units</w:t>
            </w:r>
          </w:p>
        </w:tc>
        <w:tc>
          <w:tcPr>
            <w:tcW w:w="1440" w:type="dxa"/>
            <w:vAlign w:val="bottom"/>
            <w:vMerge w:val="continue"/>
          </w:tcPr>
          <w:p>
            <w:pPr>
              <w:spacing w:after="0"/>
              <w:rPr>
                <w:sz w:val="11"/>
                <w:szCs w:val="11"/>
                <w:color w:val="auto"/>
              </w:rPr>
            </w:pPr>
          </w:p>
        </w:tc>
        <w:tc>
          <w:tcPr>
            <w:tcW w:w="1520" w:type="dxa"/>
            <w:vAlign w:val="bottom"/>
            <w:vMerge w:val="continue"/>
          </w:tcPr>
          <w:p>
            <w:pPr>
              <w:spacing w:after="0"/>
              <w:rPr>
                <w:sz w:val="11"/>
                <w:szCs w:val="11"/>
                <w:color w:val="auto"/>
              </w:rPr>
            </w:pPr>
          </w:p>
        </w:tc>
        <w:tc>
          <w:tcPr>
            <w:tcW w:w="2880" w:type="dxa"/>
            <w:vAlign w:val="bottom"/>
            <w:gridSpan w:val="2"/>
            <w:vMerge w:val="continue"/>
          </w:tcPr>
          <w:p>
            <w:pPr>
              <w:spacing w:after="0"/>
              <w:rPr>
                <w:sz w:val="11"/>
                <w:szCs w:val="11"/>
                <w:color w:val="auto"/>
              </w:rPr>
            </w:pPr>
          </w:p>
        </w:tc>
        <w:tc>
          <w:tcPr>
            <w:tcW w:w="1200" w:type="dxa"/>
            <w:vAlign w:val="bottom"/>
            <w:vMerge w:val="restart"/>
          </w:tcPr>
          <w:p>
            <w:pPr>
              <w:jc w:val="right"/>
              <w:ind w:right="313"/>
              <w:spacing w:after="0"/>
              <w:rPr>
                <w:sz w:val="20"/>
                <w:szCs w:val="20"/>
                <w:color w:val="auto"/>
              </w:rPr>
            </w:pPr>
            <w:r>
              <w:rPr>
                <w:rFonts w:ascii="Times New Roman" w:cs="Times New Roman" w:eastAsia="Times New Roman" w:hAnsi="Times New Roman"/>
                <w:sz w:val="18"/>
                <w:szCs w:val="18"/>
                <w:b w:val="1"/>
                <w:bCs w:val="1"/>
                <w:color w:val="auto"/>
              </w:rPr>
              <w:t>Member</w:t>
            </w:r>
          </w:p>
        </w:tc>
        <w:tc>
          <w:tcPr>
            <w:tcW w:w="118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3200" w:type="dxa"/>
            <w:vAlign w:val="bottom"/>
            <w:vMerge w:val="continue"/>
          </w:tcPr>
          <w:p>
            <w:pPr>
              <w:spacing w:after="0"/>
              <w:rPr>
                <w:sz w:val="9"/>
                <w:szCs w:val="9"/>
                <w:color w:val="auto"/>
              </w:rPr>
            </w:pPr>
          </w:p>
        </w:tc>
        <w:tc>
          <w:tcPr>
            <w:tcW w:w="1440" w:type="dxa"/>
            <w:vAlign w:val="bottom"/>
          </w:tcPr>
          <w:p>
            <w:pPr>
              <w:spacing w:after="0"/>
              <w:rPr>
                <w:sz w:val="9"/>
                <w:szCs w:val="9"/>
                <w:color w:val="auto"/>
              </w:rPr>
            </w:pPr>
          </w:p>
        </w:tc>
        <w:tc>
          <w:tcPr>
            <w:tcW w:w="1520" w:type="dxa"/>
            <w:vAlign w:val="bottom"/>
          </w:tcPr>
          <w:p>
            <w:pPr>
              <w:spacing w:after="0"/>
              <w:rPr>
                <w:sz w:val="9"/>
                <w:szCs w:val="9"/>
                <w:color w:val="auto"/>
              </w:rPr>
            </w:pPr>
          </w:p>
        </w:tc>
        <w:tc>
          <w:tcPr>
            <w:tcW w:w="16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11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
        </w:trPr>
        <w:tc>
          <w:tcPr>
            <w:tcW w:w="320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2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Outstanding – January 1, 2017</w:t>
            </w:r>
          </w:p>
        </w:tc>
        <w:tc>
          <w:tcPr>
            <w:tcW w:w="1440" w:type="dxa"/>
            <w:vAlign w:val="bottom"/>
          </w:tcPr>
          <w:p>
            <w:pPr>
              <w:jc w:val="right"/>
              <w:ind w:right="93"/>
              <w:spacing w:after="0"/>
              <w:rPr>
                <w:sz w:val="20"/>
                <w:szCs w:val="20"/>
                <w:color w:val="auto"/>
              </w:rPr>
            </w:pPr>
            <w:r>
              <w:rPr>
                <w:rFonts w:ascii="Times New Roman" w:cs="Times New Roman" w:eastAsia="Times New Roman" w:hAnsi="Times New Roman"/>
                <w:sz w:val="18"/>
                <w:szCs w:val="18"/>
                <w:color w:val="auto"/>
              </w:rPr>
              <w:t>3,300,020</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3,360,020</w:t>
            </w:r>
          </w:p>
        </w:tc>
        <w:tc>
          <w:tcPr>
            <w:tcW w:w="1600" w:type="dxa"/>
            <w:vAlign w:val="bottom"/>
          </w:tcPr>
          <w:p>
            <w:pPr>
              <w:jc w:val="right"/>
              <w:ind w:right="233"/>
              <w:spacing w:after="0"/>
              <w:rPr>
                <w:sz w:val="20"/>
                <w:szCs w:val="20"/>
                <w:color w:val="auto"/>
              </w:rPr>
            </w:pPr>
            <w:r>
              <w:rPr>
                <w:rFonts w:ascii="Times New Roman" w:cs="Times New Roman" w:eastAsia="Times New Roman" w:hAnsi="Times New Roman"/>
                <w:sz w:val="18"/>
                <w:szCs w:val="18"/>
                <w:color w:val="auto"/>
              </w:rPr>
              <w:t>3,942,163</w:t>
            </w:r>
          </w:p>
        </w:tc>
        <w:tc>
          <w:tcPr>
            <w:tcW w:w="1280" w:type="dxa"/>
            <w:vAlign w:val="bottom"/>
          </w:tcPr>
          <w:p>
            <w:pPr>
              <w:jc w:val="right"/>
              <w:ind w:right="134"/>
              <w:spacing w:after="0"/>
              <w:rPr>
                <w:sz w:val="20"/>
                <w:szCs w:val="20"/>
                <w:color w:val="auto"/>
              </w:rPr>
            </w:pPr>
            <w:r>
              <w:rPr>
                <w:rFonts w:ascii="Times New Roman" w:cs="Times New Roman" w:eastAsia="Times New Roman" w:hAnsi="Times New Roman"/>
                <w:sz w:val="18"/>
                <w:szCs w:val="18"/>
                <w:color w:val="auto"/>
              </w:rPr>
              <w:t>1,100,020</w:t>
            </w:r>
          </w:p>
        </w:tc>
        <w:tc>
          <w:tcPr>
            <w:tcW w:w="1200" w:type="dxa"/>
            <w:vAlign w:val="bottom"/>
          </w:tcPr>
          <w:p>
            <w:pPr>
              <w:jc w:val="right"/>
              <w:ind w:right="193"/>
              <w:spacing w:after="0"/>
              <w:rPr>
                <w:sz w:val="20"/>
                <w:szCs w:val="20"/>
                <w:color w:val="auto"/>
              </w:rPr>
            </w:pPr>
            <w:r>
              <w:rPr>
                <w:rFonts w:ascii="Times New Roman" w:cs="Times New Roman" w:eastAsia="Times New Roman" w:hAnsi="Times New Roman"/>
                <w:sz w:val="18"/>
                <w:szCs w:val="18"/>
                <w:color w:val="auto"/>
              </w:rPr>
              <w:t>317,520</w:t>
            </w:r>
          </w:p>
        </w:tc>
        <w:tc>
          <w:tcPr>
            <w:tcW w:w="118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12,019,743</w:t>
            </w:r>
          </w:p>
        </w:tc>
        <w:tc>
          <w:tcPr>
            <w:tcW w:w="0" w:type="dxa"/>
            <w:vAlign w:val="bottom"/>
          </w:tcPr>
          <w:p>
            <w:pPr>
              <w:spacing w:after="0"/>
              <w:rPr>
                <w:sz w:val="1"/>
                <w:szCs w:val="1"/>
                <w:color w:val="auto"/>
              </w:rPr>
            </w:pPr>
          </w:p>
        </w:tc>
      </w:tr>
      <w:tr>
        <w:trPr>
          <w:trHeight w:val="27"/>
        </w:trPr>
        <w:tc>
          <w:tcPr>
            <w:tcW w:w="32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20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Issued</w:t>
            </w:r>
          </w:p>
        </w:tc>
        <w:tc>
          <w:tcPr>
            <w:tcW w:w="1440" w:type="dxa"/>
            <w:vAlign w:val="bottom"/>
            <w:tcBorders>
              <w:bottom w:val="single" w:sz="8" w:color="CCEEFF"/>
            </w:tcBorders>
            <w:shd w:val="clear" w:color="auto" w:fill="CCEEFF"/>
          </w:tcPr>
          <w:p>
            <w:pPr>
              <w:jc w:val="right"/>
              <w:ind w:right="93"/>
              <w:spacing w:after="0"/>
              <w:rPr>
                <w:sz w:val="20"/>
                <w:szCs w:val="20"/>
                <w:color w:val="auto"/>
              </w:rPr>
            </w:pPr>
            <w:r>
              <w:rPr>
                <w:rFonts w:ascii="Times New Roman" w:cs="Times New Roman" w:eastAsia="Times New Roman" w:hAnsi="Times New Roman"/>
                <w:sz w:val="16"/>
                <w:szCs w:val="16"/>
                <w:color w:val="auto"/>
              </w:rPr>
              <w:t>—</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600" w:type="dxa"/>
            <w:vAlign w:val="bottom"/>
            <w:tcBorders>
              <w:bottom w:val="single" w:sz="8" w:color="CCEEFF"/>
            </w:tcBorders>
            <w:shd w:val="clear" w:color="auto" w:fill="CCEEFF"/>
          </w:tcPr>
          <w:p>
            <w:pPr>
              <w:jc w:val="right"/>
              <w:ind w:right="233"/>
              <w:spacing w:after="0"/>
              <w:rPr>
                <w:sz w:val="20"/>
                <w:szCs w:val="20"/>
                <w:color w:val="auto"/>
              </w:rPr>
            </w:pPr>
            <w:r>
              <w:rPr>
                <w:rFonts w:ascii="Times New Roman" w:cs="Times New Roman" w:eastAsia="Times New Roman" w:hAnsi="Times New Roman"/>
                <w:sz w:val="16"/>
                <w:szCs w:val="16"/>
                <w:color w:val="auto"/>
              </w:rPr>
              <w:t>—</w:t>
            </w:r>
          </w:p>
        </w:tc>
        <w:tc>
          <w:tcPr>
            <w:tcW w:w="1280" w:type="dxa"/>
            <w:vAlign w:val="bottom"/>
            <w:tcBorders>
              <w:bottom w:val="single" w:sz="8" w:color="CCEEFF"/>
            </w:tcBorders>
            <w:shd w:val="clear" w:color="auto" w:fill="CCEEFF"/>
          </w:tcPr>
          <w:p>
            <w:pPr>
              <w:jc w:val="right"/>
              <w:ind w:right="134"/>
              <w:spacing w:after="0"/>
              <w:rPr>
                <w:sz w:val="20"/>
                <w:szCs w:val="20"/>
                <w:color w:val="auto"/>
              </w:rPr>
            </w:pPr>
            <w:r>
              <w:rPr>
                <w:rFonts w:ascii="Times New Roman" w:cs="Times New Roman" w:eastAsia="Times New Roman" w:hAnsi="Times New Roman"/>
                <w:sz w:val="16"/>
                <w:szCs w:val="16"/>
                <w:color w:val="auto"/>
              </w:rPr>
              <w:t>—</w:t>
            </w:r>
          </w:p>
        </w:tc>
        <w:tc>
          <w:tcPr>
            <w:tcW w:w="1200" w:type="dxa"/>
            <w:vAlign w:val="bottom"/>
            <w:tcBorders>
              <w:bottom w:val="single" w:sz="8" w:color="CCEEFF"/>
            </w:tcBorders>
            <w:shd w:val="clear" w:color="auto" w:fill="CCEEFF"/>
          </w:tcPr>
          <w:p>
            <w:pPr>
              <w:jc w:val="right"/>
              <w:ind w:right="193"/>
              <w:spacing w:after="0"/>
              <w:rPr>
                <w:sz w:val="20"/>
                <w:szCs w:val="20"/>
                <w:color w:val="auto"/>
              </w:rPr>
            </w:pPr>
            <w:r>
              <w:rPr>
                <w:rFonts w:ascii="Times New Roman" w:cs="Times New Roman" w:eastAsia="Times New Roman" w:hAnsi="Times New Roman"/>
                <w:sz w:val="16"/>
                <w:szCs w:val="16"/>
                <w:color w:val="auto"/>
              </w:rPr>
              <w:t>—</w:t>
            </w:r>
          </w:p>
        </w:tc>
        <w:tc>
          <w:tcPr>
            <w:tcW w:w="118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43"/>
        </w:trPr>
        <w:tc>
          <w:tcPr>
            <w:tcW w:w="320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Forfeited</w:t>
            </w:r>
          </w:p>
        </w:tc>
        <w:tc>
          <w:tcPr>
            <w:tcW w:w="1440" w:type="dxa"/>
            <w:vAlign w:val="bottom"/>
          </w:tcPr>
          <w:p>
            <w:pPr>
              <w:jc w:val="right"/>
              <w:ind w:right="93"/>
              <w:spacing w:after="0"/>
              <w:rPr>
                <w:sz w:val="20"/>
                <w:szCs w:val="20"/>
                <w:color w:val="auto"/>
              </w:rPr>
            </w:pPr>
            <w:r>
              <w:rPr>
                <w:rFonts w:ascii="Times New Roman" w:cs="Times New Roman" w:eastAsia="Times New Roman" w:hAnsi="Times New Roman"/>
                <w:sz w:val="16"/>
                <w:szCs w:val="16"/>
                <w:color w:val="auto"/>
              </w:rPr>
              <w:t>—</w:t>
            </w:r>
          </w:p>
        </w:tc>
        <w:tc>
          <w:tcPr>
            <w:tcW w:w="15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600" w:type="dxa"/>
            <w:vAlign w:val="bottom"/>
          </w:tcPr>
          <w:p>
            <w:pPr>
              <w:jc w:val="right"/>
              <w:ind w:right="233"/>
              <w:spacing w:after="0"/>
              <w:rPr>
                <w:sz w:val="20"/>
                <w:szCs w:val="20"/>
                <w:color w:val="auto"/>
              </w:rPr>
            </w:pPr>
            <w:r>
              <w:rPr>
                <w:rFonts w:ascii="Times New Roman" w:cs="Times New Roman" w:eastAsia="Times New Roman" w:hAnsi="Times New Roman"/>
                <w:sz w:val="16"/>
                <w:szCs w:val="16"/>
                <w:color w:val="auto"/>
              </w:rPr>
              <w:t>—</w:t>
            </w:r>
          </w:p>
        </w:tc>
        <w:tc>
          <w:tcPr>
            <w:tcW w:w="1280" w:type="dxa"/>
            <w:vAlign w:val="bottom"/>
          </w:tcPr>
          <w:p>
            <w:pPr>
              <w:jc w:val="right"/>
              <w:ind w:right="134"/>
              <w:spacing w:after="0"/>
              <w:rPr>
                <w:sz w:val="20"/>
                <w:szCs w:val="20"/>
                <w:color w:val="auto"/>
              </w:rPr>
            </w:pPr>
            <w:r>
              <w:rPr>
                <w:rFonts w:ascii="Times New Roman" w:cs="Times New Roman" w:eastAsia="Times New Roman" w:hAnsi="Times New Roman"/>
                <w:sz w:val="16"/>
                <w:szCs w:val="16"/>
                <w:color w:val="auto"/>
              </w:rPr>
              <w:t>—</w:t>
            </w:r>
          </w:p>
        </w:tc>
        <w:tc>
          <w:tcPr>
            <w:tcW w:w="1200" w:type="dxa"/>
            <w:vAlign w:val="bottom"/>
          </w:tcPr>
          <w:p>
            <w:pPr>
              <w:jc w:val="right"/>
              <w:ind w:right="193"/>
              <w:spacing w:after="0"/>
              <w:rPr>
                <w:sz w:val="20"/>
                <w:szCs w:val="20"/>
                <w:color w:val="auto"/>
              </w:rPr>
            </w:pPr>
            <w:r>
              <w:rPr>
                <w:rFonts w:ascii="Times New Roman" w:cs="Times New Roman" w:eastAsia="Times New Roman" w:hAnsi="Times New Roman"/>
                <w:sz w:val="16"/>
                <w:szCs w:val="16"/>
                <w:color w:val="auto"/>
              </w:rPr>
              <w:t>—</w:t>
            </w:r>
          </w:p>
        </w:tc>
        <w:tc>
          <w:tcPr>
            <w:tcW w:w="1180" w:type="dxa"/>
            <w:vAlign w:val="bottom"/>
          </w:tcPr>
          <w:p>
            <w:pPr>
              <w:jc w:val="right"/>
              <w:ind w:right="13"/>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7"/>
        </w:trPr>
        <w:tc>
          <w:tcPr>
            <w:tcW w:w="3200" w:type="dxa"/>
            <w:vAlign w:val="bottom"/>
            <w:tcBorders>
              <w:bottom w:val="single" w:sz="8" w:color="CCEEFF"/>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2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Outstanding – March 31, 2017</w:t>
            </w:r>
          </w:p>
        </w:tc>
        <w:tc>
          <w:tcPr>
            <w:tcW w:w="1440" w:type="dxa"/>
            <w:vAlign w:val="bottom"/>
            <w:tcBorders>
              <w:bottom w:val="single" w:sz="8" w:color="CCEEFF"/>
            </w:tcBorders>
            <w:shd w:val="clear" w:color="auto" w:fill="CCEEFF"/>
          </w:tcPr>
          <w:p>
            <w:pPr>
              <w:jc w:val="right"/>
              <w:ind w:right="93"/>
              <w:spacing w:after="0"/>
              <w:rPr>
                <w:sz w:val="20"/>
                <w:szCs w:val="20"/>
                <w:color w:val="auto"/>
              </w:rPr>
            </w:pPr>
            <w:r>
              <w:rPr>
                <w:rFonts w:ascii="Times New Roman" w:cs="Times New Roman" w:eastAsia="Times New Roman" w:hAnsi="Times New Roman"/>
                <w:sz w:val="18"/>
                <w:szCs w:val="18"/>
                <w:color w:val="auto"/>
              </w:rPr>
              <w:t>3,300,020</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3,360,020</w:t>
            </w:r>
          </w:p>
        </w:tc>
        <w:tc>
          <w:tcPr>
            <w:tcW w:w="1600" w:type="dxa"/>
            <w:vAlign w:val="bottom"/>
            <w:tcBorders>
              <w:bottom w:val="single" w:sz="8" w:color="CCEEFF"/>
            </w:tcBorders>
            <w:shd w:val="clear" w:color="auto" w:fill="CCEEFF"/>
          </w:tcPr>
          <w:p>
            <w:pPr>
              <w:jc w:val="right"/>
              <w:ind w:right="233"/>
              <w:spacing w:after="0"/>
              <w:rPr>
                <w:sz w:val="20"/>
                <w:szCs w:val="20"/>
                <w:color w:val="auto"/>
              </w:rPr>
            </w:pPr>
            <w:r>
              <w:rPr>
                <w:rFonts w:ascii="Times New Roman" w:cs="Times New Roman" w:eastAsia="Times New Roman" w:hAnsi="Times New Roman"/>
                <w:sz w:val="18"/>
                <w:szCs w:val="18"/>
                <w:color w:val="auto"/>
              </w:rPr>
              <w:t>3,942,163</w:t>
            </w:r>
          </w:p>
        </w:tc>
        <w:tc>
          <w:tcPr>
            <w:tcW w:w="1280" w:type="dxa"/>
            <w:vAlign w:val="bottom"/>
            <w:tcBorders>
              <w:bottom w:val="single" w:sz="8" w:color="CCEEFF"/>
            </w:tcBorders>
            <w:shd w:val="clear" w:color="auto" w:fill="CCEEFF"/>
          </w:tcPr>
          <w:p>
            <w:pPr>
              <w:jc w:val="right"/>
              <w:ind w:right="134"/>
              <w:spacing w:after="0"/>
              <w:rPr>
                <w:sz w:val="20"/>
                <w:szCs w:val="20"/>
                <w:color w:val="auto"/>
              </w:rPr>
            </w:pPr>
            <w:r>
              <w:rPr>
                <w:rFonts w:ascii="Times New Roman" w:cs="Times New Roman" w:eastAsia="Times New Roman" w:hAnsi="Times New Roman"/>
                <w:sz w:val="18"/>
                <w:szCs w:val="18"/>
                <w:color w:val="auto"/>
              </w:rPr>
              <w:t>1,100,020</w:t>
            </w:r>
          </w:p>
        </w:tc>
        <w:tc>
          <w:tcPr>
            <w:tcW w:w="1200" w:type="dxa"/>
            <w:vAlign w:val="bottom"/>
            <w:tcBorders>
              <w:bottom w:val="single" w:sz="8" w:color="CCEEFF"/>
            </w:tcBorders>
            <w:shd w:val="clear" w:color="auto" w:fill="CCEEFF"/>
          </w:tcPr>
          <w:p>
            <w:pPr>
              <w:jc w:val="right"/>
              <w:ind w:right="193"/>
              <w:spacing w:after="0"/>
              <w:rPr>
                <w:sz w:val="20"/>
                <w:szCs w:val="20"/>
                <w:color w:val="auto"/>
              </w:rPr>
            </w:pPr>
            <w:r>
              <w:rPr>
                <w:rFonts w:ascii="Times New Roman" w:cs="Times New Roman" w:eastAsia="Times New Roman" w:hAnsi="Times New Roman"/>
                <w:sz w:val="18"/>
                <w:szCs w:val="18"/>
                <w:color w:val="auto"/>
              </w:rPr>
              <w:t>317,520</w:t>
            </w:r>
          </w:p>
        </w:tc>
        <w:tc>
          <w:tcPr>
            <w:tcW w:w="118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12,019,743</w:t>
            </w:r>
          </w:p>
        </w:tc>
        <w:tc>
          <w:tcPr>
            <w:tcW w:w="0" w:type="dxa"/>
            <w:vAlign w:val="bottom"/>
          </w:tcPr>
          <w:p>
            <w:pPr>
              <w:spacing w:after="0"/>
              <w:rPr>
                <w:sz w:val="1"/>
                <w:szCs w:val="1"/>
                <w:color w:val="auto"/>
              </w:rPr>
            </w:pPr>
          </w:p>
        </w:tc>
      </w:tr>
      <w:tr>
        <w:trPr>
          <w:trHeight w:val="20"/>
        </w:trPr>
        <w:tc>
          <w:tcPr>
            <w:tcW w:w="3200" w:type="dxa"/>
            <w:vAlign w:val="bottom"/>
            <w:tcBorders>
              <w:top w:val="single" w:sz="8" w:color="CCEEFF"/>
              <w:bottom w:val="single" w:sz="8" w:color="CCEEFF"/>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Vested – March 31, 2017</w:t>
            </w:r>
          </w:p>
        </w:tc>
        <w:tc>
          <w:tcPr>
            <w:tcW w:w="144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3200" w:type="dxa"/>
            <w:vAlign w:val="bottom"/>
            <w:vMerge w:val="continue"/>
          </w:tcPr>
          <w:p>
            <w:pPr>
              <w:spacing w:after="0"/>
              <w:rPr>
                <w:sz w:val="19"/>
                <w:szCs w:val="19"/>
                <w:color w:val="auto"/>
              </w:rPr>
            </w:pPr>
          </w:p>
        </w:tc>
        <w:tc>
          <w:tcPr>
            <w:tcW w:w="1440" w:type="dxa"/>
            <w:vAlign w:val="bottom"/>
          </w:tcPr>
          <w:p>
            <w:pPr>
              <w:jc w:val="right"/>
              <w:ind w:right="93"/>
              <w:spacing w:after="0"/>
              <w:rPr>
                <w:sz w:val="20"/>
                <w:szCs w:val="20"/>
                <w:color w:val="auto"/>
              </w:rPr>
            </w:pPr>
            <w:r>
              <w:rPr>
                <w:rFonts w:ascii="Times New Roman" w:cs="Times New Roman" w:eastAsia="Times New Roman" w:hAnsi="Times New Roman"/>
                <w:sz w:val="18"/>
                <w:szCs w:val="18"/>
                <w:color w:val="auto"/>
              </w:rPr>
              <w:t>2,661,468</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2,874,494</w:t>
            </w:r>
          </w:p>
        </w:tc>
        <w:tc>
          <w:tcPr>
            <w:tcW w:w="1600" w:type="dxa"/>
            <w:vAlign w:val="bottom"/>
          </w:tcPr>
          <w:p>
            <w:pPr>
              <w:jc w:val="right"/>
              <w:ind w:right="233"/>
              <w:spacing w:after="0"/>
              <w:rPr>
                <w:sz w:val="20"/>
                <w:szCs w:val="20"/>
                <w:color w:val="auto"/>
              </w:rPr>
            </w:pPr>
            <w:r>
              <w:rPr>
                <w:rFonts w:ascii="Times New Roman" w:cs="Times New Roman" w:eastAsia="Times New Roman" w:hAnsi="Times New Roman"/>
                <w:sz w:val="18"/>
                <w:szCs w:val="18"/>
                <w:color w:val="auto"/>
              </w:rPr>
              <w:t>2,059,263</w:t>
            </w:r>
          </w:p>
        </w:tc>
        <w:tc>
          <w:tcPr>
            <w:tcW w:w="1280" w:type="dxa"/>
            <w:vAlign w:val="bottom"/>
          </w:tcPr>
          <w:p>
            <w:pPr>
              <w:jc w:val="right"/>
              <w:ind w:right="134"/>
              <w:spacing w:after="0"/>
              <w:rPr>
                <w:sz w:val="20"/>
                <w:szCs w:val="20"/>
                <w:color w:val="auto"/>
              </w:rPr>
            </w:pPr>
            <w:r>
              <w:rPr>
                <w:rFonts w:ascii="Times New Roman" w:cs="Times New Roman" w:eastAsia="Times New Roman" w:hAnsi="Times New Roman"/>
                <w:sz w:val="18"/>
                <w:szCs w:val="18"/>
                <w:color w:val="auto"/>
              </w:rPr>
              <w:t>171,520</w:t>
            </w:r>
          </w:p>
        </w:tc>
        <w:tc>
          <w:tcPr>
            <w:tcW w:w="1200" w:type="dxa"/>
            <w:vAlign w:val="bottom"/>
          </w:tcPr>
          <w:p>
            <w:pPr>
              <w:jc w:val="right"/>
              <w:ind w:right="193"/>
              <w:spacing w:after="0"/>
              <w:rPr>
                <w:sz w:val="20"/>
                <w:szCs w:val="20"/>
                <w:color w:val="auto"/>
              </w:rPr>
            </w:pPr>
            <w:r>
              <w:rPr>
                <w:rFonts w:ascii="Times New Roman" w:cs="Times New Roman" w:eastAsia="Times New Roman" w:hAnsi="Times New Roman"/>
                <w:sz w:val="18"/>
                <w:szCs w:val="18"/>
                <w:color w:val="auto"/>
              </w:rPr>
              <w:t>79,395</w:t>
            </w:r>
          </w:p>
        </w:tc>
        <w:tc>
          <w:tcPr>
            <w:tcW w:w="118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7,846,140</w:t>
            </w:r>
          </w:p>
        </w:tc>
        <w:tc>
          <w:tcPr>
            <w:tcW w:w="0" w:type="dxa"/>
            <w:vAlign w:val="bottom"/>
          </w:tcPr>
          <w:p>
            <w:pPr>
              <w:spacing w:after="0"/>
              <w:rPr>
                <w:sz w:val="1"/>
                <w:szCs w:val="1"/>
                <w:color w:val="auto"/>
              </w:rPr>
            </w:pPr>
          </w:p>
        </w:tc>
      </w:tr>
      <w:tr>
        <w:trPr>
          <w:trHeight w:val="67"/>
        </w:trPr>
        <w:tc>
          <w:tcPr>
            <w:tcW w:w="3200" w:type="dxa"/>
            <w:vAlign w:val="bottom"/>
            <w:tcBorders>
              <w:bottom w:val="single" w:sz="8" w:color="CCEEFF"/>
            </w:tcBorders>
          </w:tcPr>
          <w:p>
            <w:pPr>
              <w:spacing w:after="0"/>
              <w:rPr>
                <w:sz w:val="5"/>
                <w:szCs w:val="5"/>
                <w:color w:val="auto"/>
              </w:rPr>
            </w:pPr>
          </w:p>
        </w:tc>
        <w:tc>
          <w:tcPr>
            <w:tcW w:w="1440" w:type="dxa"/>
            <w:vAlign w:val="bottom"/>
            <w:tcBorders>
              <w:bottom w:val="single" w:sz="8" w:color="auto"/>
            </w:tcBorders>
          </w:tcPr>
          <w:p>
            <w:pPr>
              <w:spacing w:after="0"/>
              <w:rPr>
                <w:sz w:val="5"/>
                <w:szCs w:val="5"/>
                <w:color w:val="auto"/>
              </w:rPr>
            </w:pPr>
          </w:p>
        </w:tc>
        <w:tc>
          <w:tcPr>
            <w:tcW w:w="1520" w:type="dxa"/>
            <w:vAlign w:val="bottom"/>
            <w:tcBorders>
              <w:bottom w:val="single" w:sz="8" w:color="auto"/>
            </w:tcBorders>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1200" w:type="dxa"/>
            <w:vAlign w:val="bottom"/>
            <w:tcBorders>
              <w:bottom w:val="single" w:sz="8" w:color="auto"/>
            </w:tcBorders>
          </w:tcPr>
          <w:p>
            <w:pPr>
              <w:spacing w:after="0"/>
              <w:rPr>
                <w:sz w:val="5"/>
                <w:szCs w:val="5"/>
                <w:color w:val="auto"/>
              </w:rPr>
            </w:pPr>
          </w:p>
        </w:tc>
        <w:tc>
          <w:tcPr>
            <w:tcW w:w="11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8"/>
        </w:trPr>
        <w:tc>
          <w:tcPr>
            <w:tcW w:w="3200" w:type="dxa"/>
            <w:vAlign w:val="bottom"/>
            <w:shd w:val="clear" w:color="auto" w:fill="CCEEFF"/>
          </w:tcPr>
          <w:p>
            <w:pPr>
              <w:spacing w:after="0"/>
              <w:rPr>
                <w:sz w:val="24"/>
                <w:szCs w:val="24"/>
                <w:color w:val="auto"/>
              </w:rPr>
            </w:pPr>
          </w:p>
        </w:tc>
        <w:tc>
          <w:tcPr>
            <w:tcW w:w="1440" w:type="dxa"/>
            <w:vAlign w:val="bottom"/>
            <w:shd w:val="clear" w:color="auto" w:fill="CCEEFF"/>
          </w:tcPr>
          <w:p>
            <w:pPr>
              <w:spacing w:after="0"/>
              <w:rPr>
                <w:sz w:val="24"/>
                <w:szCs w:val="24"/>
                <w:color w:val="auto"/>
              </w:rPr>
            </w:pPr>
          </w:p>
        </w:tc>
        <w:tc>
          <w:tcPr>
            <w:tcW w:w="1520" w:type="dxa"/>
            <w:vAlign w:val="bottom"/>
            <w:shd w:val="clear" w:color="auto" w:fill="CCEEFF"/>
          </w:tcPr>
          <w:p>
            <w:pPr>
              <w:spacing w:after="0"/>
              <w:rPr>
                <w:sz w:val="24"/>
                <w:szCs w:val="24"/>
                <w:color w:val="auto"/>
              </w:rPr>
            </w:pPr>
          </w:p>
        </w:tc>
        <w:tc>
          <w:tcPr>
            <w:tcW w:w="160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32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Outstanding – January 1, 2018</w:t>
            </w:r>
          </w:p>
        </w:tc>
        <w:tc>
          <w:tcPr>
            <w:tcW w:w="1440" w:type="dxa"/>
            <w:vAlign w:val="bottom"/>
          </w:tcPr>
          <w:p>
            <w:pPr>
              <w:jc w:val="right"/>
              <w:ind w:right="93"/>
              <w:spacing w:after="0"/>
              <w:rPr>
                <w:sz w:val="20"/>
                <w:szCs w:val="20"/>
                <w:color w:val="auto"/>
              </w:rPr>
            </w:pPr>
            <w:r>
              <w:rPr>
                <w:rFonts w:ascii="Times New Roman" w:cs="Times New Roman" w:eastAsia="Times New Roman" w:hAnsi="Times New Roman"/>
                <w:sz w:val="18"/>
                <w:szCs w:val="18"/>
                <w:color w:val="auto"/>
              </w:rPr>
              <w:t>3,300,020</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3,327,729</w:t>
            </w:r>
          </w:p>
        </w:tc>
        <w:tc>
          <w:tcPr>
            <w:tcW w:w="1600" w:type="dxa"/>
            <w:vAlign w:val="bottom"/>
          </w:tcPr>
          <w:p>
            <w:pPr>
              <w:jc w:val="right"/>
              <w:ind w:right="233"/>
              <w:spacing w:after="0"/>
              <w:rPr>
                <w:sz w:val="20"/>
                <w:szCs w:val="20"/>
                <w:color w:val="auto"/>
              </w:rPr>
            </w:pPr>
            <w:r>
              <w:rPr>
                <w:rFonts w:ascii="Times New Roman" w:cs="Times New Roman" w:eastAsia="Times New Roman" w:hAnsi="Times New Roman"/>
                <w:sz w:val="18"/>
                <w:szCs w:val="18"/>
                <w:color w:val="auto"/>
              </w:rPr>
              <w:t>3,927,163</w:t>
            </w:r>
          </w:p>
        </w:tc>
        <w:tc>
          <w:tcPr>
            <w:tcW w:w="1280" w:type="dxa"/>
            <w:vAlign w:val="bottom"/>
          </w:tcPr>
          <w:p>
            <w:pPr>
              <w:jc w:val="right"/>
              <w:ind w:right="134"/>
              <w:spacing w:after="0"/>
              <w:rPr>
                <w:sz w:val="20"/>
                <w:szCs w:val="20"/>
                <w:color w:val="auto"/>
              </w:rPr>
            </w:pPr>
            <w:r>
              <w:rPr>
                <w:rFonts w:ascii="Times New Roman" w:cs="Times New Roman" w:eastAsia="Times New Roman" w:hAnsi="Times New Roman"/>
                <w:sz w:val="18"/>
                <w:szCs w:val="18"/>
                <w:color w:val="auto"/>
              </w:rPr>
              <w:t>1,175, 020</w:t>
            </w:r>
          </w:p>
        </w:tc>
        <w:tc>
          <w:tcPr>
            <w:tcW w:w="1200" w:type="dxa"/>
            <w:vAlign w:val="bottom"/>
          </w:tcPr>
          <w:p>
            <w:pPr>
              <w:jc w:val="right"/>
              <w:ind w:right="193"/>
              <w:spacing w:after="0"/>
              <w:rPr>
                <w:sz w:val="20"/>
                <w:szCs w:val="20"/>
                <w:color w:val="auto"/>
              </w:rPr>
            </w:pPr>
            <w:r>
              <w:rPr>
                <w:rFonts w:ascii="Times New Roman" w:cs="Times New Roman" w:eastAsia="Times New Roman" w:hAnsi="Times New Roman"/>
                <w:sz w:val="18"/>
                <w:szCs w:val="18"/>
                <w:color w:val="auto"/>
              </w:rPr>
              <w:t>330,020</w:t>
            </w:r>
          </w:p>
        </w:tc>
        <w:tc>
          <w:tcPr>
            <w:tcW w:w="118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12,059,952</w:t>
            </w:r>
          </w:p>
        </w:tc>
        <w:tc>
          <w:tcPr>
            <w:tcW w:w="0" w:type="dxa"/>
            <w:vAlign w:val="bottom"/>
          </w:tcPr>
          <w:p>
            <w:pPr>
              <w:spacing w:after="0"/>
              <w:rPr>
                <w:sz w:val="1"/>
                <w:szCs w:val="1"/>
                <w:color w:val="auto"/>
              </w:rPr>
            </w:pPr>
          </w:p>
        </w:tc>
      </w:tr>
      <w:tr>
        <w:trPr>
          <w:trHeight w:val="27"/>
        </w:trPr>
        <w:tc>
          <w:tcPr>
            <w:tcW w:w="32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20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Issued</w:t>
            </w:r>
          </w:p>
        </w:tc>
        <w:tc>
          <w:tcPr>
            <w:tcW w:w="1440" w:type="dxa"/>
            <w:vAlign w:val="bottom"/>
            <w:tcBorders>
              <w:bottom w:val="single" w:sz="8" w:color="CCEEFF"/>
            </w:tcBorders>
            <w:shd w:val="clear" w:color="auto" w:fill="CCEEFF"/>
          </w:tcPr>
          <w:p>
            <w:pPr>
              <w:jc w:val="right"/>
              <w:ind w:right="93"/>
              <w:spacing w:after="0"/>
              <w:rPr>
                <w:sz w:val="20"/>
                <w:szCs w:val="20"/>
                <w:color w:val="auto"/>
              </w:rPr>
            </w:pPr>
            <w:r>
              <w:rPr>
                <w:rFonts w:ascii="Times New Roman" w:cs="Times New Roman" w:eastAsia="Times New Roman" w:hAnsi="Times New Roman"/>
                <w:sz w:val="16"/>
                <w:szCs w:val="16"/>
                <w:color w:val="auto"/>
              </w:rPr>
              <w:t>—</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600" w:type="dxa"/>
            <w:vAlign w:val="bottom"/>
            <w:tcBorders>
              <w:bottom w:val="single" w:sz="8" w:color="CCEEFF"/>
            </w:tcBorders>
            <w:shd w:val="clear" w:color="auto" w:fill="CCEEFF"/>
          </w:tcPr>
          <w:p>
            <w:pPr>
              <w:jc w:val="right"/>
              <w:ind w:right="233"/>
              <w:spacing w:after="0"/>
              <w:rPr>
                <w:sz w:val="20"/>
                <w:szCs w:val="20"/>
                <w:color w:val="auto"/>
              </w:rPr>
            </w:pPr>
            <w:r>
              <w:rPr>
                <w:rFonts w:ascii="Times New Roman" w:cs="Times New Roman" w:eastAsia="Times New Roman" w:hAnsi="Times New Roman"/>
                <w:sz w:val="16"/>
                <w:szCs w:val="16"/>
                <w:color w:val="auto"/>
              </w:rPr>
              <w:t>—</w:t>
            </w:r>
          </w:p>
        </w:tc>
        <w:tc>
          <w:tcPr>
            <w:tcW w:w="1280" w:type="dxa"/>
            <w:vAlign w:val="bottom"/>
            <w:tcBorders>
              <w:bottom w:val="single" w:sz="8" w:color="CCEEFF"/>
            </w:tcBorders>
            <w:shd w:val="clear" w:color="auto" w:fill="CCEEFF"/>
          </w:tcPr>
          <w:p>
            <w:pPr>
              <w:jc w:val="right"/>
              <w:ind w:right="134"/>
              <w:spacing w:after="0"/>
              <w:rPr>
                <w:sz w:val="20"/>
                <w:szCs w:val="20"/>
                <w:color w:val="auto"/>
              </w:rPr>
            </w:pPr>
            <w:r>
              <w:rPr>
                <w:rFonts w:ascii="Times New Roman" w:cs="Times New Roman" w:eastAsia="Times New Roman" w:hAnsi="Times New Roman"/>
                <w:sz w:val="16"/>
                <w:szCs w:val="16"/>
                <w:color w:val="auto"/>
              </w:rPr>
              <w:t>—</w:t>
            </w:r>
          </w:p>
        </w:tc>
        <w:tc>
          <w:tcPr>
            <w:tcW w:w="1200" w:type="dxa"/>
            <w:vAlign w:val="bottom"/>
            <w:tcBorders>
              <w:bottom w:val="single" w:sz="8" w:color="CCEEFF"/>
            </w:tcBorders>
            <w:shd w:val="clear" w:color="auto" w:fill="CCEEFF"/>
          </w:tcPr>
          <w:p>
            <w:pPr>
              <w:jc w:val="right"/>
              <w:ind w:right="193"/>
              <w:spacing w:after="0"/>
              <w:rPr>
                <w:sz w:val="20"/>
                <w:szCs w:val="20"/>
                <w:color w:val="auto"/>
              </w:rPr>
            </w:pPr>
            <w:r>
              <w:rPr>
                <w:rFonts w:ascii="Times New Roman" w:cs="Times New Roman" w:eastAsia="Times New Roman" w:hAnsi="Times New Roman"/>
                <w:sz w:val="16"/>
                <w:szCs w:val="16"/>
                <w:color w:val="auto"/>
              </w:rPr>
              <w:t>—</w:t>
            </w:r>
          </w:p>
        </w:tc>
        <w:tc>
          <w:tcPr>
            <w:tcW w:w="118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43"/>
        </w:trPr>
        <w:tc>
          <w:tcPr>
            <w:tcW w:w="320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Forfeited</w:t>
            </w:r>
          </w:p>
        </w:tc>
        <w:tc>
          <w:tcPr>
            <w:tcW w:w="1440" w:type="dxa"/>
            <w:vAlign w:val="bottom"/>
          </w:tcPr>
          <w:p>
            <w:pPr>
              <w:jc w:val="right"/>
              <w:ind w:right="93"/>
              <w:spacing w:after="0"/>
              <w:rPr>
                <w:sz w:val="20"/>
                <w:szCs w:val="20"/>
                <w:color w:val="auto"/>
              </w:rPr>
            </w:pPr>
            <w:r>
              <w:rPr>
                <w:rFonts w:ascii="Times New Roman" w:cs="Times New Roman" w:eastAsia="Times New Roman" w:hAnsi="Times New Roman"/>
                <w:sz w:val="16"/>
                <w:szCs w:val="16"/>
                <w:color w:val="auto"/>
              </w:rPr>
              <w:t>—</w:t>
            </w:r>
          </w:p>
        </w:tc>
        <w:tc>
          <w:tcPr>
            <w:tcW w:w="15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600" w:type="dxa"/>
            <w:vAlign w:val="bottom"/>
          </w:tcPr>
          <w:p>
            <w:pPr>
              <w:jc w:val="right"/>
              <w:ind w:right="233"/>
              <w:spacing w:after="0"/>
              <w:rPr>
                <w:sz w:val="20"/>
                <w:szCs w:val="20"/>
                <w:color w:val="auto"/>
              </w:rPr>
            </w:pPr>
            <w:r>
              <w:rPr>
                <w:rFonts w:ascii="Times New Roman" w:cs="Times New Roman" w:eastAsia="Times New Roman" w:hAnsi="Times New Roman"/>
                <w:sz w:val="16"/>
                <w:szCs w:val="16"/>
                <w:color w:val="auto"/>
              </w:rPr>
              <w:t>—</w:t>
            </w:r>
          </w:p>
        </w:tc>
        <w:tc>
          <w:tcPr>
            <w:tcW w:w="1280" w:type="dxa"/>
            <w:vAlign w:val="bottom"/>
          </w:tcPr>
          <w:p>
            <w:pPr>
              <w:jc w:val="right"/>
              <w:ind w:right="134"/>
              <w:spacing w:after="0"/>
              <w:rPr>
                <w:sz w:val="20"/>
                <w:szCs w:val="20"/>
                <w:color w:val="auto"/>
              </w:rPr>
            </w:pPr>
            <w:r>
              <w:rPr>
                <w:rFonts w:ascii="Times New Roman" w:cs="Times New Roman" w:eastAsia="Times New Roman" w:hAnsi="Times New Roman"/>
                <w:sz w:val="16"/>
                <w:szCs w:val="16"/>
                <w:color w:val="auto"/>
              </w:rPr>
              <w:t>—</w:t>
            </w:r>
          </w:p>
        </w:tc>
        <w:tc>
          <w:tcPr>
            <w:tcW w:w="1200" w:type="dxa"/>
            <w:vAlign w:val="bottom"/>
          </w:tcPr>
          <w:p>
            <w:pPr>
              <w:jc w:val="right"/>
              <w:ind w:right="193"/>
              <w:spacing w:after="0"/>
              <w:rPr>
                <w:sz w:val="20"/>
                <w:szCs w:val="20"/>
                <w:color w:val="auto"/>
              </w:rPr>
            </w:pPr>
            <w:r>
              <w:rPr>
                <w:rFonts w:ascii="Times New Roman" w:cs="Times New Roman" w:eastAsia="Times New Roman" w:hAnsi="Times New Roman"/>
                <w:sz w:val="16"/>
                <w:szCs w:val="16"/>
                <w:color w:val="auto"/>
              </w:rPr>
              <w:t>—</w:t>
            </w:r>
          </w:p>
        </w:tc>
        <w:tc>
          <w:tcPr>
            <w:tcW w:w="1180" w:type="dxa"/>
            <w:vAlign w:val="bottom"/>
          </w:tcPr>
          <w:p>
            <w:pPr>
              <w:jc w:val="right"/>
              <w:ind w:right="13"/>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7"/>
        </w:trPr>
        <w:tc>
          <w:tcPr>
            <w:tcW w:w="3200" w:type="dxa"/>
            <w:vAlign w:val="bottom"/>
            <w:tcBorders>
              <w:bottom w:val="single" w:sz="8" w:color="CCEEFF"/>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2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Outstanding – March 31, 2018</w:t>
            </w:r>
          </w:p>
        </w:tc>
        <w:tc>
          <w:tcPr>
            <w:tcW w:w="1440" w:type="dxa"/>
            <w:vAlign w:val="bottom"/>
            <w:tcBorders>
              <w:bottom w:val="single" w:sz="8" w:color="CCEEFF"/>
            </w:tcBorders>
            <w:shd w:val="clear" w:color="auto" w:fill="CCEEFF"/>
          </w:tcPr>
          <w:p>
            <w:pPr>
              <w:jc w:val="right"/>
              <w:ind w:right="93"/>
              <w:spacing w:after="0"/>
              <w:rPr>
                <w:sz w:val="20"/>
                <w:szCs w:val="20"/>
                <w:color w:val="auto"/>
              </w:rPr>
            </w:pPr>
            <w:r>
              <w:rPr>
                <w:rFonts w:ascii="Times New Roman" w:cs="Times New Roman" w:eastAsia="Times New Roman" w:hAnsi="Times New Roman"/>
                <w:sz w:val="18"/>
                <w:szCs w:val="18"/>
                <w:color w:val="auto"/>
              </w:rPr>
              <w:t>3,300,020</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3,327,729</w:t>
            </w:r>
          </w:p>
        </w:tc>
        <w:tc>
          <w:tcPr>
            <w:tcW w:w="1600" w:type="dxa"/>
            <w:vAlign w:val="bottom"/>
            <w:tcBorders>
              <w:bottom w:val="single" w:sz="8" w:color="CCEEFF"/>
            </w:tcBorders>
            <w:shd w:val="clear" w:color="auto" w:fill="CCEEFF"/>
          </w:tcPr>
          <w:p>
            <w:pPr>
              <w:jc w:val="right"/>
              <w:ind w:right="233"/>
              <w:spacing w:after="0"/>
              <w:rPr>
                <w:sz w:val="20"/>
                <w:szCs w:val="20"/>
                <w:color w:val="auto"/>
              </w:rPr>
            </w:pPr>
            <w:r>
              <w:rPr>
                <w:rFonts w:ascii="Times New Roman" w:cs="Times New Roman" w:eastAsia="Times New Roman" w:hAnsi="Times New Roman"/>
                <w:sz w:val="18"/>
                <w:szCs w:val="18"/>
                <w:color w:val="auto"/>
              </w:rPr>
              <w:t>3,927,163</w:t>
            </w:r>
          </w:p>
        </w:tc>
        <w:tc>
          <w:tcPr>
            <w:tcW w:w="1280" w:type="dxa"/>
            <w:vAlign w:val="bottom"/>
            <w:tcBorders>
              <w:bottom w:val="single" w:sz="8" w:color="CCEEFF"/>
            </w:tcBorders>
            <w:shd w:val="clear" w:color="auto" w:fill="CCEEFF"/>
          </w:tcPr>
          <w:p>
            <w:pPr>
              <w:jc w:val="right"/>
              <w:ind w:right="134"/>
              <w:spacing w:after="0"/>
              <w:rPr>
                <w:sz w:val="20"/>
                <w:szCs w:val="20"/>
                <w:color w:val="auto"/>
              </w:rPr>
            </w:pPr>
            <w:r>
              <w:rPr>
                <w:rFonts w:ascii="Times New Roman" w:cs="Times New Roman" w:eastAsia="Times New Roman" w:hAnsi="Times New Roman"/>
                <w:sz w:val="18"/>
                <w:szCs w:val="18"/>
                <w:color w:val="auto"/>
              </w:rPr>
              <w:t>1,175, 020</w:t>
            </w:r>
          </w:p>
        </w:tc>
        <w:tc>
          <w:tcPr>
            <w:tcW w:w="1200" w:type="dxa"/>
            <w:vAlign w:val="bottom"/>
            <w:tcBorders>
              <w:bottom w:val="single" w:sz="8" w:color="CCEEFF"/>
            </w:tcBorders>
            <w:shd w:val="clear" w:color="auto" w:fill="CCEEFF"/>
          </w:tcPr>
          <w:p>
            <w:pPr>
              <w:jc w:val="right"/>
              <w:ind w:right="193"/>
              <w:spacing w:after="0"/>
              <w:rPr>
                <w:sz w:val="20"/>
                <w:szCs w:val="20"/>
                <w:color w:val="auto"/>
              </w:rPr>
            </w:pPr>
            <w:r>
              <w:rPr>
                <w:rFonts w:ascii="Times New Roman" w:cs="Times New Roman" w:eastAsia="Times New Roman" w:hAnsi="Times New Roman"/>
                <w:sz w:val="18"/>
                <w:szCs w:val="18"/>
                <w:color w:val="auto"/>
              </w:rPr>
              <w:t>330,020</w:t>
            </w:r>
          </w:p>
        </w:tc>
        <w:tc>
          <w:tcPr>
            <w:tcW w:w="118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12,059,952</w:t>
            </w:r>
          </w:p>
        </w:tc>
        <w:tc>
          <w:tcPr>
            <w:tcW w:w="0" w:type="dxa"/>
            <w:vAlign w:val="bottom"/>
          </w:tcPr>
          <w:p>
            <w:pPr>
              <w:spacing w:after="0"/>
              <w:rPr>
                <w:sz w:val="1"/>
                <w:szCs w:val="1"/>
                <w:color w:val="auto"/>
              </w:rPr>
            </w:pPr>
          </w:p>
        </w:tc>
      </w:tr>
      <w:tr>
        <w:trPr>
          <w:trHeight w:val="20"/>
        </w:trPr>
        <w:tc>
          <w:tcPr>
            <w:tcW w:w="3200" w:type="dxa"/>
            <w:vAlign w:val="bottom"/>
            <w:tcBorders>
              <w:top w:val="single" w:sz="8" w:color="CCEEFF"/>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4"/>
        </w:trPr>
        <w:tc>
          <w:tcPr>
            <w:tcW w:w="32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Vested – March 31, 2018</w:t>
            </w:r>
          </w:p>
        </w:tc>
        <w:tc>
          <w:tcPr>
            <w:tcW w:w="1440" w:type="dxa"/>
            <w:vAlign w:val="bottom"/>
            <w:tcBorders>
              <w:bottom w:val="single" w:sz="8" w:color="auto"/>
            </w:tcBorders>
          </w:tcPr>
          <w:p>
            <w:pPr>
              <w:jc w:val="right"/>
              <w:ind w:right="93"/>
              <w:spacing w:after="0"/>
              <w:rPr>
                <w:sz w:val="20"/>
                <w:szCs w:val="20"/>
                <w:color w:val="auto"/>
              </w:rPr>
            </w:pPr>
            <w:r>
              <w:rPr>
                <w:rFonts w:ascii="Times New Roman" w:cs="Times New Roman" w:eastAsia="Times New Roman" w:hAnsi="Times New Roman"/>
                <w:sz w:val="18"/>
                <w:szCs w:val="18"/>
                <w:color w:val="auto"/>
              </w:rPr>
              <w:t>3,300,020</w:t>
            </w: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3,277,729</w:t>
            </w:r>
          </w:p>
        </w:tc>
        <w:tc>
          <w:tcPr>
            <w:tcW w:w="1600" w:type="dxa"/>
            <w:vAlign w:val="bottom"/>
            <w:tcBorders>
              <w:bottom w:val="single" w:sz="8" w:color="auto"/>
            </w:tcBorders>
          </w:tcPr>
          <w:p>
            <w:pPr>
              <w:jc w:val="right"/>
              <w:ind w:right="233"/>
              <w:spacing w:after="0"/>
              <w:rPr>
                <w:sz w:val="20"/>
                <w:szCs w:val="20"/>
                <w:color w:val="auto"/>
              </w:rPr>
            </w:pPr>
            <w:r>
              <w:rPr>
                <w:rFonts w:ascii="Times New Roman" w:cs="Times New Roman" w:eastAsia="Times New Roman" w:hAnsi="Times New Roman"/>
                <w:sz w:val="18"/>
                <w:szCs w:val="18"/>
                <w:color w:val="auto"/>
              </w:rPr>
              <w:t>2,586,563</w:t>
            </w:r>
          </w:p>
        </w:tc>
        <w:tc>
          <w:tcPr>
            <w:tcW w:w="1280" w:type="dxa"/>
            <w:vAlign w:val="bottom"/>
            <w:tcBorders>
              <w:bottom w:val="single" w:sz="8" w:color="auto"/>
            </w:tcBorders>
          </w:tcPr>
          <w:p>
            <w:pPr>
              <w:jc w:val="right"/>
              <w:ind w:right="134"/>
              <w:spacing w:after="0"/>
              <w:rPr>
                <w:sz w:val="20"/>
                <w:szCs w:val="20"/>
                <w:color w:val="auto"/>
              </w:rPr>
            </w:pPr>
            <w:r>
              <w:rPr>
                <w:rFonts w:ascii="Times New Roman" w:cs="Times New Roman" w:eastAsia="Times New Roman" w:hAnsi="Times New Roman"/>
                <w:sz w:val="18"/>
                <w:szCs w:val="18"/>
                <w:color w:val="auto"/>
              </w:rPr>
              <w:t>325,520</w:t>
            </w:r>
          </w:p>
        </w:tc>
        <w:tc>
          <w:tcPr>
            <w:tcW w:w="1200" w:type="dxa"/>
            <w:vAlign w:val="bottom"/>
            <w:tcBorders>
              <w:bottom w:val="single" w:sz="8" w:color="auto"/>
            </w:tcBorders>
          </w:tcPr>
          <w:p>
            <w:pPr>
              <w:jc w:val="right"/>
              <w:ind w:right="193"/>
              <w:spacing w:after="0"/>
              <w:rPr>
                <w:sz w:val="20"/>
                <w:szCs w:val="20"/>
                <w:color w:val="auto"/>
              </w:rPr>
            </w:pPr>
            <w:r>
              <w:rPr>
                <w:rFonts w:ascii="Times New Roman" w:cs="Times New Roman" w:eastAsia="Times New Roman" w:hAnsi="Times New Roman"/>
                <w:sz w:val="18"/>
                <w:szCs w:val="18"/>
                <w:color w:val="auto"/>
              </w:rPr>
              <w:t>155,020</w:t>
            </w:r>
          </w:p>
        </w:tc>
        <w:tc>
          <w:tcPr>
            <w:tcW w:w="1180" w:type="dxa"/>
            <w:vAlign w:val="bottom"/>
            <w:tcBorders>
              <w:bottom w:val="single" w:sz="8" w:color="auto"/>
            </w:tcBorders>
          </w:tcPr>
          <w:p>
            <w:pPr>
              <w:jc w:val="right"/>
              <w:ind w:right="13"/>
              <w:spacing w:after="0"/>
              <w:rPr>
                <w:sz w:val="20"/>
                <w:szCs w:val="20"/>
                <w:color w:val="auto"/>
              </w:rPr>
            </w:pPr>
            <w:r>
              <w:rPr>
                <w:rFonts w:ascii="Times New Roman" w:cs="Times New Roman" w:eastAsia="Times New Roman" w:hAnsi="Times New Roman"/>
                <w:sz w:val="18"/>
                <w:szCs w:val="18"/>
                <w:color w:val="auto"/>
              </w:rPr>
              <w:t>9,644,852</w:t>
            </w:r>
          </w:p>
        </w:tc>
        <w:tc>
          <w:tcPr>
            <w:tcW w:w="0" w:type="dxa"/>
            <w:vAlign w:val="bottom"/>
          </w:tcPr>
          <w:p>
            <w:pPr>
              <w:spacing w:after="0"/>
              <w:rPr>
                <w:sz w:val="1"/>
                <w:szCs w:val="1"/>
                <w:color w:val="auto"/>
              </w:rPr>
            </w:pPr>
          </w:p>
        </w:tc>
      </w:tr>
      <w:tr>
        <w:trPr>
          <w:trHeight w:val="20"/>
        </w:trPr>
        <w:tc>
          <w:tcPr>
            <w:tcW w:w="3200" w:type="dxa"/>
            <w:vAlign w:val="bottom"/>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right="280"/>
        <w:spacing w:after="0" w:line="261" w:lineRule="auto"/>
        <w:rPr>
          <w:sz w:val="20"/>
          <w:szCs w:val="20"/>
          <w:color w:val="auto"/>
        </w:rPr>
      </w:pPr>
      <w:r>
        <w:rPr>
          <w:rFonts w:ascii="Times New Roman" w:cs="Times New Roman" w:eastAsia="Times New Roman" w:hAnsi="Times New Roman"/>
          <w:sz w:val="18"/>
          <w:szCs w:val="18"/>
          <w:color w:val="auto"/>
        </w:rPr>
        <w:t>Upon closing of the Combination, the Board of Managers of Amneal finalized their plan to treat the Combination as a change-in-control event. The modification of terms allowed Members to participate in the net proceeds by receiving cash and Class A shares. Net proceeds were given to vested units at closing, plus the vesting of certain non-vested units was accelerated in accordance with the Agreement. As a result, Amneal recorded the related compensation expense of $158.8 million upon closing of the Combination on May 4, 2018.</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10. Income Taxes</w:t>
      </w:r>
    </w:p>
    <w:p>
      <w:pPr>
        <w:spacing w:after="0" w:line="229" w:lineRule="exact"/>
        <w:rPr>
          <w:sz w:val="20"/>
          <w:szCs w:val="20"/>
          <w:color w:val="auto"/>
        </w:rPr>
      </w:pPr>
    </w:p>
    <w:p>
      <w:pPr>
        <w:ind w:right="80"/>
        <w:spacing w:after="0" w:line="274" w:lineRule="auto"/>
        <w:rPr>
          <w:sz w:val="20"/>
          <w:szCs w:val="20"/>
          <w:color w:val="auto"/>
        </w:rPr>
      </w:pPr>
      <w:r>
        <w:rPr>
          <w:rFonts w:ascii="Times New Roman" w:cs="Times New Roman" w:eastAsia="Times New Roman" w:hAnsi="Times New Roman"/>
          <w:sz w:val="17"/>
          <w:szCs w:val="17"/>
          <w:color w:val="auto"/>
        </w:rPr>
        <w:t>The operations of Amneal are conducted through a limited liability company that is treated as a partnership for U.S. federal income tax purposes. All U.S. federal income tax benefits and/or liabilities of Amneal are passed through to the member(s). Amneal provides for a tax provision in the various foreign jurisdictions in which it operates. Amneal recorded its interim tax provision based upon its estimated annual effective tax rate (“EAETR”) and accounted for tax effects of discrete events in the period in which they occur. Amneal reviewed the EAETR on a quarterly basis as projections are revised and laws are enacted. The effective tax rate (“ETR”) was 0.70% and 2.32% for the three months ended March 31, 2018 and 2017, respectively. The net change in the ETR was primarily attributable to changes in the mix of earnings across multiple jurisdictions and increased Special Economic Zone (“SEZ”) benefit in India.</w:t>
      </w:r>
    </w:p>
    <w:p>
      <w:pPr>
        <w:spacing w:after="0" w:line="174" w:lineRule="exact"/>
        <w:rPr>
          <w:sz w:val="20"/>
          <w:szCs w:val="20"/>
          <w:color w:val="auto"/>
        </w:rPr>
      </w:pPr>
    </w:p>
    <w:p>
      <w:pPr>
        <w:ind w:right="40"/>
        <w:spacing w:after="0" w:line="255" w:lineRule="auto"/>
        <w:rPr>
          <w:sz w:val="20"/>
          <w:szCs w:val="20"/>
          <w:color w:val="auto"/>
        </w:rPr>
      </w:pPr>
      <w:r>
        <w:rPr>
          <w:rFonts w:ascii="Times New Roman" w:cs="Times New Roman" w:eastAsia="Times New Roman" w:hAnsi="Times New Roman"/>
          <w:sz w:val="18"/>
          <w:szCs w:val="18"/>
          <w:color w:val="auto"/>
        </w:rPr>
        <w:t xml:space="preserve">Amneal records a valuation allowance against its deferred tax assets to reduce the net carrying value to an amount that it believes is more likely than not to be realized. When Amneal establishes or reduces the valuation allowance against its deferred tax assets, the provision for income taxes will increase or decrease, respectively, in the period such determination is made. Amneal continues to assess the need for a valuation allowance on a go-forward basis. On December 22, 2017, the Tax Cuts and Jobs Act was enacted in the United States, which significantly reforms U.S. tax legislation. In December 2017, the SEC staff issued SAB 118, which </w:t>
      </w:r>
      <w:r>
        <w:rPr>
          <w:rFonts w:ascii="Times New Roman" w:cs="Times New Roman" w:eastAsia="Times New Roman" w:hAnsi="Times New Roman"/>
          <w:sz w:val="18"/>
          <w:szCs w:val="18"/>
          <w:color w:val="222222"/>
        </w:rPr>
        <w:t>provides a measurement period that should not extend beyond one year from the enactment date for companies to complete the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222222"/>
        </w:rPr>
        <w:t xml:space="preserve">accounting for the effects of the Tax Cuts and Jobs Act. </w:t>
      </w:r>
      <w:r>
        <w:rPr>
          <w:rFonts w:ascii="Times New Roman" w:cs="Times New Roman" w:eastAsia="Times New Roman" w:hAnsi="Times New Roman"/>
          <w:sz w:val="18"/>
          <w:szCs w:val="18"/>
          <w:color w:val="000000"/>
        </w:rPr>
        <w:t>As of March 31, 2018, there are no changes to the financial statement income tax expense reported at</w:t>
      </w:r>
      <w:r>
        <w:rPr>
          <w:rFonts w:ascii="Times New Roman" w:cs="Times New Roman" w:eastAsia="Times New Roman" w:hAnsi="Times New Roman"/>
          <w:sz w:val="18"/>
          <w:szCs w:val="18"/>
          <w:color w:val="222222"/>
        </w:rPr>
        <w:t xml:space="preserve"> </w:t>
      </w:r>
      <w:r>
        <w:rPr>
          <w:rFonts w:ascii="Times New Roman" w:cs="Times New Roman" w:eastAsia="Times New Roman" w:hAnsi="Times New Roman"/>
          <w:sz w:val="18"/>
          <w:szCs w:val="18"/>
          <w:color w:val="000000"/>
        </w:rPr>
        <w:t>December 31, 2017 as a result of the new legislation. Amneal will continue to evaluate the legislative changes during the measurement period allowed under SAB 118.</w:t>
      </w: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ectPr>
          <w:pgSz w:w="11900" w:h="16838" w:orient="portrait"/>
          <w:cols w:equalWidth="0" w:num="1">
            <w:col w:w="11420"/>
          </w:cols>
          <w:pgMar w:left="240" w:top="117" w:right="239" w:bottom="1440" w:gutter="0" w:footer="0" w:header="0"/>
        </w:sectPr>
      </w:pPr>
    </w:p>
    <w:bookmarkStart w:id="25" w:name="page26"/>
    <w:bookmarkEnd w:id="25"/>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(unaudited)</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11. Related-Party Transactions</w:t>
      </w:r>
    </w:p>
    <w:p>
      <w:pPr>
        <w:spacing w:after="0" w:line="229"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Amneal has various business agreements with certain third-party companies in which there is some common ownership and/or management between those entities, on the one hand, and Amneal, on the other hand. Amneal has no direct ownership or management in any of such related party companies. The related party relationships that generated income and or expense in the respective reporting period are described below.</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Kanan, LLC</w:t>
      </w:r>
    </w:p>
    <w:p>
      <w:pPr>
        <w:spacing w:after="0" w:line="227" w:lineRule="exact"/>
        <w:rPr>
          <w:sz w:val="20"/>
          <w:szCs w:val="20"/>
          <w:color w:val="auto"/>
        </w:rPr>
      </w:pPr>
    </w:p>
    <w:p>
      <w:pPr>
        <w:ind w:right="100"/>
        <w:spacing w:after="0" w:line="258" w:lineRule="auto"/>
        <w:rPr>
          <w:sz w:val="20"/>
          <w:szCs w:val="20"/>
          <w:color w:val="auto"/>
        </w:rPr>
      </w:pPr>
      <w:r>
        <w:rPr>
          <w:rFonts w:ascii="Times New Roman" w:cs="Times New Roman" w:eastAsia="Times New Roman" w:hAnsi="Times New Roman"/>
          <w:sz w:val="18"/>
          <w:szCs w:val="18"/>
          <w:color w:val="auto"/>
        </w:rPr>
        <w:t>Kanan, LLC (“Kanan”) is an independent real estate company which owns Amneal’s manufacturing facilities located at 65 Readington Road, Branchburg, New Jersey, 131 Chambers Brook Road, Branchburg, New Jersey and 1 New England Avenue, Piscataway, New Jersey. Amneal leases these facilities from Kanan under two separate triple-net lease agreements that expire in 2027 and 2031, respectively, at an annual rental cost of approximately $2.0 million combined, subject to CPI rent escalation adjustments as provided in the lease agreements. Rent expense paid to the related party for both of the three months ended March 31, 2018 and 2017 was $0.5 million.</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AE Companies, LLC</w:t>
      </w:r>
    </w:p>
    <w:p>
      <w:pPr>
        <w:spacing w:after="0" w:line="227" w:lineRule="exact"/>
        <w:rPr>
          <w:sz w:val="20"/>
          <w:szCs w:val="20"/>
          <w:color w:val="auto"/>
        </w:rPr>
      </w:pPr>
    </w:p>
    <w:p>
      <w:pPr>
        <w:ind w:right="20"/>
        <w:spacing w:after="0" w:line="261" w:lineRule="auto"/>
        <w:rPr>
          <w:sz w:val="20"/>
          <w:szCs w:val="20"/>
          <w:color w:val="auto"/>
        </w:rPr>
      </w:pPr>
      <w:r>
        <w:rPr>
          <w:rFonts w:ascii="Times New Roman" w:cs="Times New Roman" w:eastAsia="Times New Roman" w:hAnsi="Times New Roman"/>
          <w:sz w:val="18"/>
          <w:szCs w:val="18"/>
          <w:color w:val="auto"/>
        </w:rPr>
        <w:t>AE Companies, LLC (“AE LLC”) is an independent company which provides certain shared services and corporate type functions to a number of independent entities with respect to which, from time to time, Amneal conducts business. Amneal has ongoing professional service agreements with AE LLC for administrative and research and development services. The total amount of income earned from these agreements for the three months ended March 31, 2017 was $0.3 million.</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Industrial Real Estate Holdings NY, LLC</w:t>
      </w:r>
    </w:p>
    <w:p>
      <w:pPr>
        <w:spacing w:after="0" w:line="227" w:lineRule="exact"/>
        <w:rPr>
          <w:sz w:val="20"/>
          <w:szCs w:val="20"/>
          <w:color w:val="auto"/>
        </w:rPr>
      </w:pPr>
    </w:p>
    <w:p>
      <w:pPr>
        <w:jc w:val="both"/>
        <w:ind w:right="60"/>
        <w:spacing w:after="0" w:line="261" w:lineRule="auto"/>
        <w:rPr>
          <w:sz w:val="20"/>
          <w:szCs w:val="20"/>
          <w:color w:val="auto"/>
        </w:rPr>
      </w:pPr>
      <w:r>
        <w:rPr>
          <w:rFonts w:ascii="Times New Roman" w:cs="Times New Roman" w:eastAsia="Times New Roman" w:hAnsi="Times New Roman"/>
          <w:sz w:val="18"/>
          <w:szCs w:val="18"/>
          <w:color w:val="auto"/>
        </w:rPr>
        <w:t>Industrial Real Estate Holdings NY, LLC (“IRE”) is an independent real estate management entity which, among other activities, is the landlord of Amneal’s leased manufacturing facilities located at 75 and 85 Adams Avenue, Hauppauge, New York. The lease at 85 Adams Avenue expired in March 2017 while the lease for 75 Adams Avenue expires in March 2021. Rent expense paid to the related party for both of the three months ended March 31, 2018 and 2017 was $0.3 million.</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Kashiv Pharmaceuticals LLC</w:t>
      </w:r>
    </w:p>
    <w:p>
      <w:pPr>
        <w:spacing w:after="0" w:line="227" w:lineRule="exact"/>
        <w:rPr>
          <w:sz w:val="20"/>
          <w:szCs w:val="20"/>
          <w:color w:val="auto"/>
        </w:rPr>
      </w:pPr>
    </w:p>
    <w:p>
      <w:pPr>
        <w:ind w:right="80"/>
        <w:spacing w:after="0" w:line="274" w:lineRule="auto"/>
        <w:rPr>
          <w:sz w:val="20"/>
          <w:szCs w:val="20"/>
          <w:color w:val="auto"/>
        </w:rPr>
      </w:pPr>
      <w:r>
        <w:rPr>
          <w:rFonts w:ascii="Times New Roman" w:cs="Times New Roman" w:eastAsia="Times New Roman" w:hAnsi="Times New Roman"/>
          <w:sz w:val="17"/>
          <w:szCs w:val="17"/>
          <w:color w:val="auto"/>
        </w:rPr>
        <w:t>Kashiv Pharmaceuticals LLC (“Kashiv”) is an independent contract development organization focused primarily on the development of 505(b) (2) NDA products. Amneal has various business agreements with Kashiv. In May 2013, Amneal entered into a sublease agreement with Kashiv for a portion of one of its research and development facilities. The sublease automatically renews annually if not terminated and has an annual base rent of $1.8 million. Rental income from the related-party sublease for the three months ended March 31, 2018 and 2017 was $0.4 million and $0.9 million, respectively. On January 15, 2018, Amneal and Kashiv entered into an Assignment and Assumption of Lease Agreement. The lease was assigned to Kashiv, and Amneal was relieved of all obligations. At March 31, 2018 and December 31, 2017, receivables of $0.7 million and $10.4 million were due from the related party, respectively.</w:t>
      </w:r>
    </w:p>
    <w:p>
      <w:pPr>
        <w:spacing w:after="0" w:line="174" w:lineRule="exact"/>
        <w:rPr>
          <w:sz w:val="20"/>
          <w:szCs w:val="20"/>
          <w:color w:val="auto"/>
        </w:rPr>
      </w:pPr>
    </w:p>
    <w:p>
      <w:pPr>
        <w:spacing w:after="0" w:line="261" w:lineRule="auto"/>
        <w:rPr>
          <w:sz w:val="20"/>
          <w:szCs w:val="20"/>
          <w:color w:val="auto"/>
        </w:rPr>
      </w:pPr>
      <w:r>
        <w:rPr>
          <w:rFonts w:ascii="Times New Roman" w:cs="Times New Roman" w:eastAsia="Times New Roman" w:hAnsi="Times New Roman"/>
          <w:sz w:val="18"/>
          <w:szCs w:val="18"/>
          <w:color w:val="auto"/>
        </w:rPr>
        <w:t>Amneal has also entered into various development and commercialization arrangements with Kashiv to collaborate on the development and commercialization of certain generic pharmaceutical products. Kashiv receives a percentage of net profits with respect to Amneal’s sales of these products. The total profit share paid to Kashiv for the three months ended March 31, 2018 and 2017 was $0.4 million and $4.0 million, respectively. At March 31, 2018 and December 31, 2017 payables of $0.4 million and $0.6 million, respectively, were due to the related party for royalty-related transactions.</w:t>
      </w:r>
    </w:p>
    <w:p>
      <w:pPr>
        <w:spacing w:after="0" w:line="200" w:lineRule="exact"/>
        <w:rPr>
          <w:sz w:val="20"/>
          <w:szCs w:val="20"/>
          <w:color w:val="auto"/>
        </w:rPr>
      </w:pPr>
    </w:p>
    <w:p>
      <w:pPr>
        <w:spacing w:after="0" w:line="22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21</w:t>
      </w:r>
    </w:p>
    <w:p>
      <w:pPr>
        <w:sectPr>
          <w:pgSz w:w="11900" w:h="16838" w:orient="portrait"/>
          <w:cols w:equalWidth="0" w:num="1">
            <w:col w:w="11380"/>
          </w:cols>
          <w:pgMar w:left="240" w:top="117" w:right="279" w:bottom="1440" w:gutter="0" w:footer="0" w:header="0"/>
        </w:sectPr>
      </w:pPr>
    </w:p>
    <w:bookmarkStart w:id="26" w:name="page27"/>
    <w:bookmarkEnd w:id="26"/>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(unaudited)</w:t>
      </w:r>
    </w:p>
    <w:p>
      <w:pPr>
        <w:spacing w:after="0" w:line="234"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18"/>
          <w:szCs w:val="18"/>
          <w:color w:val="auto"/>
        </w:rPr>
        <w:t>In June 2017, Amneal and Kashiv entered a product acquisition and royalty stream purchase agreement. The aggregate purchase price was $25 million on the closing, which has been paid, plus two potential future $5 million earn outs related to the Estradiol Product. The contingent earn outs will be recorded in the period in which they are earned. The first $5 million earn out was recognized in March 2018 as an increase to the cost of the Estradiol product intangible asset and will be amortized on a straight-line basis over the remaining life of the Estradiol intangible asset. The earn out was recorded within Related-party payables in the Consolidated Balance Sheet as of March 31, 2018. The cash payment is due June 30, 2018.</w:t>
      </w:r>
    </w:p>
    <w:p>
      <w:pPr>
        <w:spacing w:after="0" w:line="184" w:lineRule="exact"/>
        <w:rPr>
          <w:sz w:val="20"/>
          <w:szCs w:val="20"/>
          <w:color w:val="auto"/>
        </w:rPr>
      </w:pPr>
    </w:p>
    <w:p>
      <w:pPr>
        <w:ind w:right="80"/>
        <w:spacing w:after="0" w:line="255" w:lineRule="auto"/>
        <w:rPr>
          <w:sz w:val="20"/>
          <w:szCs w:val="20"/>
          <w:color w:val="auto"/>
        </w:rPr>
      </w:pPr>
      <w:r>
        <w:rPr>
          <w:rFonts w:ascii="Times New Roman" w:cs="Times New Roman" w:eastAsia="Times New Roman" w:hAnsi="Times New Roman"/>
          <w:sz w:val="18"/>
          <w:szCs w:val="18"/>
          <w:color w:val="auto"/>
        </w:rPr>
        <w:t>Pursuant to a product development agreement, Amneal and Kashiv agreed to collaborate on the development and commercialization of Oxycodone HCI ER Oral Tablets. Under the agreement, this product is owned by Kashiv, with Amneal acting as the exclusive marketing partner and as Kashiv’s agent for filing the product ANDA. Under the agreement, Amneal was also responsible for assuming control of and managing all aspects of the patent litigation arising from the filing of the ANDA, including selecting counsel and settling such proceeding (subject to Kashiv’s consent). In December 2017, Amneal and Kashiv terminated the product development agreement and pursuant to the termination and settlement of the agreement, Kashiv agreed to pay Amneal $7.8 million, an amount equal to the legal costs incurred by Amneal related to the defense of the ANDA. The $7.8 million was recorded within Development contract settlement in the Consolidated Statement of Income for the year ended December 31, 2017 and Related-party receivables in the Consolidated Balance Sheet as of December 31, 2017. The cash payment was received in February 2018.</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Adello Biologics, LLC</w:t>
      </w:r>
    </w:p>
    <w:p>
      <w:pPr>
        <w:spacing w:after="0" w:line="227" w:lineRule="exact"/>
        <w:rPr>
          <w:sz w:val="20"/>
          <w:szCs w:val="20"/>
          <w:color w:val="auto"/>
        </w:rPr>
      </w:pPr>
    </w:p>
    <w:p>
      <w:pPr>
        <w:ind w:right="120"/>
        <w:spacing w:after="0" w:line="261" w:lineRule="auto"/>
        <w:rPr>
          <w:sz w:val="20"/>
          <w:szCs w:val="20"/>
          <w:color w:val="auto"/>
        </w:rPr>
      </w:pPr>
      <w:r>
        <w:rPr>
          <w:rFonts w:ascii="Times New Roman" w:cs="Times New Roman" w:eastAsia="Times New Roman" w:hAnsi="Times New Roman"/>
          <w:sz w:val="18"/>
          <w:szCs w:val="18"/>
          <w:color w:val="auto"/>
        </w:rPr>
        <w:t>Adello Biologics, LLC (“Adello”) is an independent clinical stage company engaged in the development of biosimilar pharmaceutical products. Amneal and Adello are parties to a master services agreement pursuant to which, from time to time, Amneal provides human resources &amp; product quality assurance services on behalf of Adello. The parties are also party to a license agreement for parking spaces in Piscataway, NJ. The total amount of net expense paid to Adello from these agreements for the three months ended March 31, 2018 and 2017 was less than $0.1 million.</w:t>
      </w:r>
    </w:p>
    <w:p>
      <w:pPr>
        <w:spacing w:after="0" w:line="180"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In March 2017, Amneal entered into a product development agreement with Adello. The collaboration extended the remaining development process to Adello for a complex generic product, while Amneal retained its commercial rights upon approval. Pursuant to the agreement, Adello paid Amneal $10 million for reimbursement of past development costs, which Amneal deferred as a liability and will pay royalties upon commercialization.</w:t>
      </w:r>
    </w:p>
    <w:p>
      <w:pPr>
        <w:spacing w:after="0" w:line="176" w:lineRule="exact"/>
        <w:rPr>
          <w:sz w:val="20"/>
          <w:szCs w:val="20"/>
          <w:color w:val="auto"/>
        </w:rPr>
      </w:pPr>
    </w:p>
    <w:p>
      <w:pPr>
        <w:ind w:right="20"/>
        <w:spacing w:after="0" w:line="266" w:lineRule="auto"/>
        <w:rPr>
          <w:sz w:val="20"/>
          <w:szCs w:val="20"/>
          <w:color w:val="auto"/>
        </w:rPr>
      </w:pPr>
      <w:r>
        <w:rPr>
          <w:rFonts w:ascii="Times New Roman" w:cs="Times New Roman" w:eastAsia="Times New Roman" w:hAnsi="Times New Roman"/>
          <w:sz w:val="18"/>
          <w:szCs w:val="18"/>
          <w:color w:val="auto"/>
        </w:rPr>
        <w:t>In October 2017, Amneal and Adello terminated their product development agreement pursuant to which Amneal and Adello had been collaborating to develop and commercialize Glatiramer Acetate products. Pursuant to the termination agreement, Amneal owed Adello $10.5 million for the up-front payment plus interest. This amount was paid in January 2018 and recognized as a related-party payable in the Consolidated Balance Sheet as of December 31, 2017.</w:t>
      </w:r>
    </w:p>
    <w:p>
      <w:pPr>
        <w:spacing w:after="0" w:line="176" w:lineRule="exact"/>
        <w:rPr>
          <w:sz w:val="20"/>
          <w:szCs w:val="20"/>
          <w:color w:val="auto"/>
        </w:rPr>
      </w:pPr>
    </w:p>
    <w:p>
      <w:pPr>
        <w:ind w:right="80"/>
        <w:spacing w:after="0" w:line="258" w:lineRule="auto"/>
        <w:rPr>
          <w:sz w:val="20"/>
          <w:szCs w:val="20"/>
          <w:color w:val="auto"/>
        </w:rPr>
      </w:pPr>
      <w:r>
        <w:rPr>
          <w:rFonts w:ascii="Times New Roman" w:cs="Times New Roman" w:eastAsia="Times New Roman" w:hAnsi="Times New Roman"/>
          <w:sz w:val="18"/>
          <w:szCs w:val="18"/>
          <w:color w:val="auto"/>
        </w:rPr>
        <w:t>On October 1, 2017, Amneal and Adello entered into a license and commercialization agreement pursuant to which the parties have agreed to cooperate with respect to certain development activities in connection with two biologic pharmaceutical products. In addition, under the agreement, Adello has appointed Amneal as its exclusive marketing partner for such products in the United States. In connection with the agreement, Amneal paid an upfront amount of $1.5 million in October 2017 which was recorded within Research and development expenses in the Consolidated Statement of Income. The agreement also provides for potential future milestone payments to Adello.</w:t>
      </w:r>
    </w:p>
    <w:p>
      <w:pPr>
        <w:spacing w:after="0" w:line="184"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In October 2017, Amneal purchased a building from Adello in Ireland to further support its inhalation dosage form. Amneal issued a promissory note for 12.5 million euros ($14.7 million based on exchange rate as of December 31, 2017) which accrues interest at a rate of 2% per annum, due on or before July 1, 2019.</w:t>
      </w: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22</w:t>
      </w:r>
    </w:p>
    <w:p>
      <w:pPr>
        <w:sectPr>
          <w:pgSz w:w="11900" w:h="16838" w:orient="portrait"/>
          <w:cols w:equalWidth="0" w:num="1">
            <w:col w:w="11400"/>
          </w:cols>
          <w:pgMar w:left="240" w:top="117" w:right="259" w:bottom="1440" w:gutter="0" w:footer="0" w:header="0"/>
        </w:sectPr>
      </w:pPr>
    </w:p>
    <w:bookmarkStart w:id="27" w:name="page28"/>
    <w:bookmarkEnd w:id="27"/>
    <w:p>
      <w:pPr>
        <w:jc w:val="center"/>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(unaudited)</w:t>
      </w:r>
    </w:p>
    <w:p>
      <w:pPr>
        <w:spacing w:after="0" w:line="23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PharmaSophia, LLC</w:t>
      </w:r>
    </w:p>
    <w:p>
      <w:pPr>
        <w:spacing w:after="0" w:line="227" w:lineRule="exact"/>
        <w:rPr>
          <w:sz w:val="20"/>
          <w:szCs w:val="20"/>
          <w:color w:val="auto"/>
        </w:rPr>
      </w:pPr>
    </w:p>
    <w:p>
      <w:pPr>
        <w:ind w:right="140"/>
        <w:spacing w:after="0" w:line="255" w:lineRule="auto"/>
        <w:rPr>
          <w:sz w:val="20"/>
          <w:szCs w:val="20"/>
          <w:color w:val="auto"/>
        </w:rPr>
      </w:pPr>
      <w:r>
        <w:rPr>
          <w:rFonts w:ascii="Times New Roman" w:cs="Times New Roman" w:eastAsia="Times New Roman" w:hAnsi="Times New Roman"/>
          <w:sz w:val="18"/>
          <w:szCs w:val="18"/>
          <w:color w:val="auto"/>
        </w:rPr>
        <w:t>PharmaSophia, LLC (“PharmaSophia”) is a joint venture formed by Nava Pharma, LLC (“Nava”) and Oakwood Laboratories, LLC for the purpose of developing certain products. Currently PharmaSophia is actively developing two injectable products. PharmaSophia and Nava are parties to a research and development agreement pursuant to which Nava provides research and development services to PharmaSophia. Nava subcontracted this obligation to Amneal, entering into a subcontract research and development services agreement pursuant to which Amneal provides research and development services to Nava in connection with the products being developed by PharmaSophia. The total amount of income earned from these agreements for both of the three months ended March 31, 2018 and 2017 was $0.1 million. At March 31, 2018 and December 31, 2017 receivables of $0.2 million and $0.1 million, respectively were due from the related party.</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Gemini Laboratories, LLC</w:t>
      </w:r>
    </w:p>
    <w:p>
      <w:pPr>
        <w:spacing w:after="0" w:line="227" w:lineRule="exact"/>
        <w:rPr>
          <w:sz w:val="20"/>
          <w:szCs w:val="20"/>
          <w:color w:val="auto"/>
        </w:rPr>
      </w:pPr>
    </w:p>
    <w:p>
      <w:pPr>
        <w:ind w:right="20"/>
        <w:spacing w:after="0" w:line="254" w:lineRule="auto"/>
        <w:rPr>
          <w:sz w:val="20"/>
          <w:szCs w:val="20"/>
          <w:color w:val="auto"/>
        </w:rPr>
      </w:pPr>
      <w:r>
        <w:rPr>
          <w:rFonts w:ascii="Times New Roman" w:cs="Times New Roman" w:eastAsia="Times New Roman" w:hAnsi="Times New Roman"/>
          <w:sz w:val="18"/>
          <w:szCs w:val="18"/>
          <w:color w:val="auto"/>
        </w:rPr>
        <w:t>Gemini Laboratories, LLC (“Gemini”) is an independent specialty pharmaceuticals company focused on promoting niche branded products to endocrinologists, pediatricians, OB/GYNs and other specialist physicians. Gemini also engages in the wholesale distribution of generic pharmaceuticals to compounding pharmacies and to directly dispensing physicians, and promotes and distributes certain branded or quasi-branded products. Gemini predominantly sells products through branded wholesalers and certain compounding pharmacies and partners that service directly dispensing physicians. Amneal and Gemini are parties to various agreements. Total gross profit earned from the sale of inventory to Gemini for the three months ended March 31, 2018 and 2017 was $0.1 million and $0.6 million, respectively. The total profit share paid by Gemini for the three months ended March 31, 2018 and 2017 was $4.0 million and $2.8 million, respectively. At March 31, 2018 and December 31, 2017, receivables of $9.4 million and $4.6 million were due from the related party, respectively, for profit share earned. At March 31, 2018 and December 31, 2017, receivables of $0.7 million and $1.1 million, respectively, were due from the related party from the purchase of inventory.</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Amneal Holdings, LLC</w:t>
      </w:r>
    </w:p>
    <w:p>
      <w:pPr>
        <w:spacing w:after="0" w:line="227"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Amneal Holdings is the ultimate parent of Amneal. In connection with the Combination, Amneal is required to reimburse transaction-related costs incurred by Amneal Holdings. As of March 31, 2018, payables of $3.5 million were due to the related party.</w:t>
      </w:r>
    </w:p>
    <w:p>
      <w:pPr>
        <w:spacing w:after="0" w:line="158" w:lineRule="exact"/>
        <w:rPr>
          <w:sz w:val="20"/>
          <w:szCs w:val="20"/>
          <w:color w:val="auto"/>
        </w:rPr>
      </w:pPr>
    </w:p>
    <w:p>
      <w:pPr>
        <w:ind w:right="8600" w:firstLine="8"/>
        <w:spacing w:after="0" w:line="502" w:lineRule="auto"/>
        <w:tabs>
          <w:tab w:leader="none" w:pos="270" w:val="left"/>
        </w:tabs>
        <w:numPr>
          <w:ilvl w:val="0"/>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Commitments and Contingencies Commitments</w:t>
      </w:r>
    </w:p>
    <w:p>
      <w:pPr>
        <w:spacing w:after="0"/>
        <w:rPr>
          <w:sz w:val="20"/>
          <w:szCs w:val="20"/>
          <w:color w:val="auto"/>
        </w:rPr>
      </w:pPr>
      <w:r>
        <w:rPr>
          <w:rFonts w:ascii="Times New Roman" w:cs="Times New Roman" w:eastAsia="Times New Roman" w:hAnsi="Times New Roman"/>
          <w:sz w:val="18"/>
          <w:szCs w:val="18"/>
          <w:i w:val="1"/>
          <w:iCs w:val="1"/>
          <w:color w:val="auto"/>
        </w:rPr>
        <w:t>Commercial Manufacturing, Collaboration, License, and Distribution Agreements</w:t>
      </w:r>
    </w:p>
    <w:p>
      <w:pPr>
        <w:spacing w:after="0" w:line="29" w:lineRule="exact"/>
        <w:rPr>
          <w:sz w:val="20"/>
          <w:szCs w:val="20"/>
          <w:color w:val="auto"/>
        </w:rPr>
      </w:pPr>
    </w:p>
    <w:p>
      <w:pPr>
        <w:ind w:right="20"/>
        <w:spacing w:after="0" w:line="252" w:lineRule="auto"/>
        <w:rPr>
          <w:sz w:val="20"/>
          <w:szCs w:val="20"/>
          <w:color w:val="auto"/>
        </w:rPr>
      </w:pPr>
      <w:r>
        <w:rPr>
          <w:rFonts w:ascii="Times New Roman" w:cs="Times New Roman" w:eastAsia="Times New Roman" w:hAnsi="Times New Roman"/>
          <w:sz w:val="18"/>
          <w:szCs w:val="18"/>
          <w:color w:val="auto"/>
        </w:rPr>
        <w:t>Amneal continues to seek to enhance its product line and develop a balanced portfolio of differentiated products through product acquisitions and in-licensing. Accordingly, Amneal, in certain instances, may be contractually obligated to make potential future development, regulatory, and commercial milestone, royalty and/or profit sharing payments in conjunction with collaborative agreements or acquisitions that Amneal has entered into with third parties. Amneal has also licensed certain technologies or intellectual property from various third parties. Amneal is generally required to make upfront payments as well as other payments upon successful completion of regulatory or sales milestones. The agreements generally permit Amneal to terminate the agreement with no significant continuing obligation. The payments that could be required to be made pursuant to these other arrangements are not individually significant. These payments are contingent upon the occurrence of certain future events and, given the nature of these events, it is unclear when, if ever, Amneal may be required to pay such amounts. Further, the timing of any future payment is not reasonably estimable.</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ectPr>
          <w:pgSz w:w="11900" w:h="16838" w:orient="portrait"/>
          <w:cols w:equalWidth="0" w:num="1">
            <w:col w:w="11420"/>
          </w:cols>
          <w:pgMar w:left="240" w:top="117" w:right="239" w:bottom="1440" w:gutter="0" w:footer="0" w:header="0"/>
        </w:sectPr>
      </w:pPr>
    </w:p>
    <w:bookmarkStart w:id="28" w:name="page29"/>
    <w:bookmarkEnd w:id="28"/>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(unaudited)</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Contingencies</w:t>
      </w:r>
    </w:p>
    <w:p>
      <w:pPr>
        <w:spacing w:after="0" w:line="229" w:lineRule="exact"/>
        <w:rPr>
          <w:sz w:val="20"/>
          <w:szCs w:val="20"/>
          <w:color w:val="auto"/>
        </w:rPr>
      </w:pPr>
    </w:p>
    <w:p>
      <w:pPr>
        <w:ind w:right="20"/>
        <w:spacing w:after="0" w:line="255" w:lineRule="auto"/>
        <w:rPr>
          <w:sz w:val="20"/>
          <w:szCs w:val="20"/>
          <w:color w:val="auto"/>
        </w:rPr>
      </w:pPr>
      <w:r>
        <w:rPr>
          <w:rFonts w:ascii="Times New Roman" w:cs="Times New Roman" w:eastAsia="Times New Roman" w:hAnsi="Times New Roman"/>
          <w:sz w:val="18"/>
          <w:szCs w:val="18"/>
          <w:color w:val="auto"/>
        </w:rPr>
        <w:t>Amneal’s legal proceedings are complex, constantly evolving and subject to uncertainty. As such, Amneal cannot predict the outcome or impact of the legal proceedings set forth below. While Amneal believes it has valid claims and/or defenses to the matters described below, the nature of litigation is unpredictable and the outcome of the following proceedings could include damages, fines, penalties and injunctive or administrative remedies. For any proceedings where losses are probable and reasonably capable of estimation, Amneal has accrued for such potential loss as described below. While these accruals have been deemed reasonable by Amneal’s management, the assessment process relies heavily on estimates and assumptions that may ultimately prove inaccurate or incomplete. Additionally, unforeseen circumstances or events may lead Amneal to subsequently change its estimates and assumptions. Unless otherwise indicated below, Amneal is at this time unable to estimate the possible loss, if any, associated with such litigation.</w:t>
      </w:r>
    </w:p>
    <w:p>
      <w:pPr>
        <w:spacing w:after="0" w:line="189" w:lineRule="exact"/>
        <w:rPr>
          <w:sz w:val="20"/>
          <w:szCs w:val="20"/>
          <w:color w:val="auto"/>
        </w:rPr>
      </w:pPr>
    </w:p>
    <w:p>
      <w:pPr>
        <w:ind w:right="40"/>
        <w:spacing w:after="0" w:line="261" w:lineRule="auto"/>
        <w:rPr>
          <w:sz w:val="20"/>
          <w:szCs w:val="20"/>
          <w:color w:val="auto"/>
        </w:rPr>
      </w:pPr>
      <w:r>
        <w:rPr>
          <w:rFonts w:ascii="Times New Roman" w:cs="Times New Roman" w:eastAsia="Times New Roman" w:hAnsi="Times New Roman"/>
          <w:sz w:val="18"/>
          <w:szCs w:val="18"/>
          <w:color w:val="auto"/>
        </w:rPr>
        <w:t>Amneal currently intends to vigorously prosecute and/or defend these proceedings as appropriate. From time to time, however, Amneal may settle or otherwise resolve these matters on terms and conditions that it believes to be in its best interest. Resolution of any or all claims, legal proceedings or investigations could have a material adverse effect on Amneal’s results of operations and/or cash flow in any given accounting period, or on Amneal’s overall financial condition.</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Medicaid Reimbursement Accrual</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Amneal is required to provide pricing information to state agencies that administer federal Medicaid programs.</w:t>
      </w:r>
    </w:p>
    <w:p>
      <w:pPr>
        <w:spacing w:after="0" w:line="27" w:lineRule="exact"/>
        <w:rPr>
          <w:sz w:val="20"/>
          <w:szCs w:val="20"/>
          <w:color w:val="auto"/>
        </w:rPr>
      </w:pPr>
    </w:p>
    <w:p>
      <w:pPr>
        <w:ind w:right="100"/>
        <w:spacing w:after="0" w:line="253" w:lineRule="auto"/>
        <w:rPr>
          <w:sz w:val="20"/>
          <w:szCs w:val="20"/>
          <w:color w:val="auto"/>
        </w:rPr>
      </w:pPr>
      <w:r>
        <w:rPr>
          <w:rFonts w:ascii="Times New Roman" w:cs="Times New Roman" w:eastAsia="Times New Roman" w:hAnsi="Times New Roman"/>
          <w:sz w:val="18"/>
          <w:szCs w:val="18"/>
          <w:color w:val="auto"/>
        </w:rPr>
        <w:t>Certain states agencies have alleged that manufacturers have reported improper pricing information, which allegedly caused them to overpay reimbursement costs. Reserves are periodically established by Amneal for any potential claims or settlements of overpayment. Although Amneal intends to vigorously defend against any such claims, it maintains a reserve of approximately $15 million. The ultimate settlement of any potential liability for such claims may be higher or lower than estimated. Amneal believes that all contingencies are adequately accrued for in the consolidated financial statements for each year presented.</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Patent Defense Matters</w:t>
      </w:r>
    </w:p>
    <w:p>
      <w:pPr>
        <w:spacing w:after="0" w:line="227"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18"/>
          <w:szCs w:val="18"/>
          <w:color w:val="auto"/>
        </w:rPr>
        <w:t>Amneal is a defendant in a patent infringement action, Merck Sharp &amp; Dohme Corp. v. Amneal Pharmaceuticals LLC, in the U.S. District Court for the District of Delaware. The complaint was filed on March 20, 2015, and involves Amneal’s filing of an ANDA for a generic alternative to Merck’s Nasonex® product. The District Court trial was completed on June 22, 2016. The court issued an opinion finding that Amneal’s proposed generic product did not infringe the asserted patent. Merck filed an appeal of that decision with the Court of Appeals for the Federal Circuit which remains pending. Amneal launched its generic version of the product on April 5, 2017, prior to the rendering of an appellate court decision, and continued to sell the product as of March 31, 2018. Amneal believes that it has substantial meritorious defenses to the claims alleged. However, these actions, if successful, could adversely affect Amneal and could have a material adverse effect on Amneal’s business, results of operations, financial condition and cash flows.</w:t>
      </w:r>
    </w:p>
    <w:p>
      <w:pPr>
        <w:spacing w:after="0" w:line="189" w:lineRule="exact"/>
        <w:rPr>
          <w:sz w:val="20"/>
          <w:szCs w:val="20"/>
          <w:color w:val="auto"/>
        </w:rPr>
      </w:pPr>
    </w:p>
    <w:p>
      <w:pPr>
        <w:ind w:right="20"/>
        <w:spacing w:after="0" w:line="255" w:lineRule="auto"/>
        <w:rPr>
          <w:sz w:val="20"/>
          <w:szCs w:val="20"/>
          <w:color w:val="auto"/>
        </w:rPr>
      </w:pPr>
      <w:r>
        <w:rPr>
          <w:rFonts w:ascii="Times New Roman" w:cs="Times New Roman" w:eastAsia="Times New Roman" w:hAnsi="Times New Roman"/>
          <w:sz w:val="18"/>
          <w:szCs w:val="18"/>
          <w:color w:val="auto"/>
        </w:rPr>
        <w:t>Amneal is a defendant in a patent infringement action, Otsuka Pharmaceutical Co. Ltd. v. Amneal Pharmaceuticals LLC, et al., in the U.S. District Court for the District of New Jersey. The first complaint was filed on March 2, 2015, and involves Amneal’s filing of an ANDA for a generic alternative to Otsuka’s Abilify® tablet product. Otsuka filed an appeal with the Court of Appeals for the Federal Circuit related to rulings from the District Court regarding some of the patents-in-suit. The District Court has not yet set a trial date for the remaining patents-in-suit. Amneal, like a number of other generic manufacturers, has launched its generic version of Otsuka’s Abilify® “at-risk,” prior to the rendering of an appellate court decision, and continued to sell the product as of March 31, 2018. Amneal believes that it has substantial meritorious defenses to the claims alleged. However, these actions, if successful, could adversely affect Amneal and could have a material adverse effect on Amneal’s business, results of operations, financial condition and cash flows.</w:t>
      </w:r>
    </w:p>
    <w:p>
      <w:pPr>
        <w:spacing w:after="0" w:line="200" w:lineRule="exact"/>
        <w:rPr>
          <w:sz w:val="20"/>
          <w:szCs w:val="20"/>
          <w:color w:val="auto"/>
        </w:rPr>
      </w:pPr>
    </w:p>
    <w:p>
      <w:pPr>
        <w:spacing w:after="0" w:line="23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24</w:t>
      </w:r>
    </w:p>
    <w:p>
      <w:pPr>
        <w:sectPr>
          <w:pgSz w:w="11900" w:h="16838" w:orient="portrait"/>
          <w:cols w:equalWidth="0" w:num="1">
            <w:col w:w="11420"/>
          </w:cols>
          <w:pgMar w:left="240" w:top="117" w:right="239" w:bottom="1440" w:gutter="0" w:footer="0" w:header="0"/>
        </w:sectPr>
      </w:pPr>
    </w:p>
    <w:bookmarkStart w:id="29" w:name="page30"/>
    <w:bookmarkEnd w:id="29"/>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(unaudited)</w:t>
      </w:r>
    </w:p>
    <w:p>
      <w:pPr>
        <w:spacing w:after="0" w:line="23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Antitrust Litigation</w:t>
      </w:r>
    </w:p>
    <w:p>
      <w:pPr>
        <w:spacing w:after="0" w:line="227" w:lineRule="exact"/>
        <w:rPr>
          <w:sz w:val="20"/>
          <w:szCs w:val="20"/>
          <w:color w:val="auto"/>
        </w:rPr>
      </w:pPr>
    </w:p>
    <w:p>
      <w:pPr>
        <w:spacing w:after="0" w:line="253" w:lineRule="auto"/>
        <w:rPr>
          <w:sz w:val="20"/>
          <w:szCs w:val="20"/>
          <w:color w:val="auto"/>
        </w:rPr>
      </w:pPr>
      <w:r>
        <w:rPr>
          <w:rFonts w:ascii="Times New Roman" w:cs="Times New Roman" w:eastAsia="Times New Roman" w:hAnsi="Times New Roman"/>
          <w:sz w:val="18"/>
          <w:szCs w:val="18"/>
          <w:color w:val="auto"/>
        </w:rPr>
        <w:t>Amneal is a defendant in a class action anti-trust action, Sergeants Benevolent Association Health &amp; Welfare Fund v. Actavis, PLC, et. al., in the U.S. District Court for the Southern District of New York. The complaint was filed on August 19, 2015, and involves patent litigation settlement agreements between Amneal and Forest Laboratories. Amneal was one of a number of pharmaceutical companies named in the lawsuit. The settlement agreement at issue settled the patent litigation between Forest Laboratories and Amneal regarding Namenda© immediate release tablets. On September 13, 2016, the court denied the defendants’ motion to dismiss with respect to the federal claims and stayed the state law claims pending against Amneal and the other generic pharmaceutical company defendants until the federal claims are resolved. The court denied the defendants’ motion to dismiss with respect to the state law claims without prejudice to renew the motion after the federal claims have been resolved. The court cited the interests of judicial economy and the myriad state antitrust and unfair business practices laws as the basis for severing the state law claims and placing them on the court’s inactive docket. The court’s decision places the entirety of the claims pending against Anneal and the other generic pharmaceutical companies on the court’s inactive docket, which effectively stays the litigation as to Amneal until the federal claims are resolved or until the court removes those claims from its inactive docket. Amneal believes that it has substantial meritorious defenses to the claims alleged. However, these actions, if successful, could adversely affect Amneal and could have a material adverse effect on Amneal’s business, results of operations, financial condition and cash flows.</w:t>
      </w:r>
    </w:p>
    <w:p>
      <w:pPr>
        <w:spacing w:after="0" w:line="191"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From time to time, Amneal may become subject to other legal proceedings, claims or litigation arising in the ordinary course of business. In addition, Amneal may receive letters alleging infringement of patents or other IP rights. If an unfavorable outcome were to occur in litigation, the impact could be material to Amneal’s business, financial condition, cash flow or results of operations, depending on the specific circumstances of the outcome.</w:t>
      </w:r>
    </w:p>
    <w:p>
      <w:pPr>
        <w:spacing w:after="0" w:line="172" w:lineRule="exact"/>
        <w:rPr>
          <w:sz w:val="20"/>
          <w:szCs w:val="20"/>
          <w:color w:val="auto"/>
        </w:rPr>
      </w:pPr>
    </w:p>
    <w:p>
      <w:pPr>
        <w:ind w:right="9640" w:firstLine="8"/>
        <w:spacing w:after="0" w:line="503" w:lineRule="auto"/>
        <w:tabs>
          <w:tab w:leader="none" w:pos="270"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Subsequent Events Combination</w:t>
      </w:r>
    </w:p>
    <w:p>
      <w:pPr>
        <w:spacing w:after="0" w:line="1" w:lineRule="exact"/>
        <w:rPr>
          <w:sz w:val="20"/>
          <w:szCs w:val="20"/>
          <w:color w:val="auto"/>
        </w:rPr>
      </w:pPr>
    </w:p>
    <w:p>
      <w:pPr>
        <w:jc w:val="both"/>
        <w:ind w:right="280"/>
        <w:spacing w:after="0" w:line="266" w:lineRule="auto"/>
        <w:rPr>
          <w:sz w:val="20"/>
          <w:szCs w:val="20"/>
          <w:color w:val="auto"/>
        </w:rPr>
      </w:pPr>
      <w:r>
        <w:rPr>
          <w:rFonts w:ascii="Times New Roman" w:cs="Times New Roman" w:eastAsia="Times New Roman" w:hAnsi="Times New Roman"/>
          <w:sz w:val="18"/>
          <w:szCs w:val="18"/>
          <w:color w:val="auto"/>
        </w:rPr>
        <w:t xml:space="preserve">On May 4, 2018, Amneal and Impax completed the Combination. The Combination will be accounted for as a business combination under the acquisition method of accounting in accordance with FASB ASC Topic 805, </w:t>
      </w:r>
      <w:r>
        <w:rPr>
          <w:rFonts w:ascii="Times New Roman" w:cs="Times New Roman" w:eastAsia="Times New Roman" w:hAnsi="Times New Roman"/>
          <w:sz w:val="18"/>
          <w:szCs w:val="18"/>
          <w:i w:val="1"/>
          <w:iCs w:val="1"/>
          <w:color w:val="auto"/>
        </w:rPr>
        <w:t>Business Combinations</w:t>
      </w:r>
      <w:r>
        <w:rPr>
          <w:rFonts w:ascii="Times New Roman" w:cs="Times New Roman" w:eastAsia="Times New Roman" w:hAnsi="Times New Roman"/>
          <w:sz w:val="18"/>
          <w:szCs w:val="18"/>
          <w:color w:val="auto"/>
        </w:rPr>
        <w:t>, with Amneal treated as the “acquirer” and Impax treated as the “acquired” company for financial reporting purposes. Refer to Note 1 for further detail on the Combination.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Refinancing</w:t>
      </w:r>
    </w:p>
    <w:p>
      <w:pPr>
        <w:spacing w:after="0" w:line="229" w:lineRule="exact"/>
        <w:rPr>
          <w:sz w:val="20"/>
          <w:szCs w:val="20"/>
          <w:color w:val="auto"/>
        </w:rPr>
      </w:pPr>
    </w:p>
    <w:p>
      <w:pPr>
        <w:ind w:right="100"/>
        <w:spacing w:after="0" w:line="258" w:lineRule="auto"/>
        <w:rPr>
          <w:sz w:val="20"/>
          <w:szCs w:val="20"/>
          <w:color w:val="auto"/>
        </w:rPr>
      </w:pPr>
      <w:r>
        <w:rPr>
          <w:rFonts w:ascii="Times New Roman" w:cs="Times New Roman" w:eastAsia="Times New Roman" w:hAnsi="Times New Roman"/>
          <w:sz w:val="18"/>
          <w:szCs w:val="18"/>
          <w:color w:val="auto"/>
        </w:rPr>
        <w:t>On May 4, 2018, in order to finance the Combination, Amneal consummated the following transactions (i) borrowed $2,700.0 million in aggregate principal amount of new senior secured term loan (the “New Term Facility”) at a rate of three-month LIBOR plus 350 basis points; and (ii) entered into a new senior secured asset based revolving credit facility with borrowing capacity of up to $500.0 million under which no amounts were drawn and outstanding upon completion of the Combination. The proceeds of the initial borrowings under the New Term Facility, were used to finance the repayment of the historical outstanding debt obligations of both Amneal and Impax in addition to all fees related to the financing.</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Gemini Acquisition</w:t>
      </w:r>
    </w:p>
    <w:p>
      <w:pPr>
        <w:spacing w:after="0" w:line="229" w:lineRule="exact"/>
        <w:rPr>
          <w:sz w:val="20"/>
          <w:szCs w:val="20"/>
          <w:color w:val="auto"/>
        </w:rPr>
      </w:pPr>
    </w:p>
    <w:p>
      <w:pPr>
        <w:ind w:right="180"/>
        <w:spacing w:after="0" w:line="282" w:lineRule="auto"/>
        <w:rPr>
          <w:sz w:val="20"/>
          <w:szCs w:val="20"/>
          <w:color w:val="auto"/>
        </w:rPr>
      </w:pPr>
      <w:r>
        <w:rPr>
          <w:rFonts w:ascii="Times New Roman" w:cs="Times New Roman" w:eastAsia="Times New Roman" w:hAnsi="Times New Roman"/>
          <w:sz w:val="18"/>
          <w:szCs w:val="18"/>
          <w:color w:val="auto"/>
        </w:rPr>
        <w:t>On May 7, 2018, Amneal acquired 98% of the outstanding equity interests in Gemini for total consideration of $117.2 million, including a $40 million cash payment due upon closing and a $77.2 million promissory note.</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Gemini’s portfolio includes licensed and owned, niche and mature branded products, and a pipeline of 505(b)(2) products for niche therapeutic areas.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Gemini’s lead product, Unithroid®, is detailed primarily to endocrinologists and high prescribing primary care physicians through a contracted salesforce.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Gemini has a long-term distribution agreement for Unithroid with Jerome Stevens Pharmaceuticals.</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Gemini is a related party of Amneal; refer to Note 11 for further detail on the nature of Gemini’s operations.</w:t>
      </w:r>
    </w:p>
    <w:p>
      <w:pPr>
        <w:spacing w:after="0" w:line="25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25</w:t>
      </w:r>
    </w:p>
    <w:p>
      <w:pPr>
        <w:sectPr>
          <w:pgSz w:w="11900" w:h="16838" w:orient="portrait"/>
          <w:cols w:equalWidth="0" w:num="1">
            <w:col w:w="11380"/>
          </w:cols>
          <w:pgMar w:left="240" w:top="117" w:right="279" w:bottom="1440" w:gutter="0" w:footer="0" w:header="0"/>
        </w:sectPr>
      </w:pPr>
    </w:p>
    <w:bookmarkStart w:id="30" w:name="page31"/>
    <w:bookmarkEnd w:id="30"/>
    <w:p>
      <w:pPr>
        <w:jc w:val="center"/>
        <w:ind w:right="-339"/>
        <w:spacing w:after="0"/>
        <w:rPr>
          <w:sz w:val="20"/>
          <w:szCs w:val="20"/>
          <w:color w:val="auto"/>
        </w:rPr>
      </w:pPr>
      <w:r>
        <w:rPr>
          <w:rFonts w:ascii="Times New Roman" w:cs="Times New Roman" w:eastAsia="Times New Roman" w:hAnsi="Times New Roman"/>
          <w:sz w:val="18"/>
          <w:szCs w:val="18"/>
          <w:b w:val="1"/>
          <w:bCs w:val="1"/>
          <w:color w:val="auto"/>
        </w:rPr>
        <w:t>Amneal Pharmaceuticals LLC and Subsidiaries</w:t>
      </w:r>
    </w:p>
    <w:p>
      <w:pPr>
        <w:spacing w:after="0" w:line="31" w:lineRule="exact"/>
        <w:rPr>
          <w:sz w:val="20"/>
          <w:szCs w:val="20"/>
          <w:color w:val="auto"/>
        </w:rPr>
      </w:pPr>
    </w:p>
    <w:p>
      <w:pPr>
        <w:jc w:val="center"/>
        <w:ind w:right="-33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(unaudited)</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Biosimilar Licensing and Supply Agreement</w:t>
      </w:r>
    </w:p>
    <w:p>
      <w:pPr>
        <w:spacing w:after="0" w:line="229"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On May 7, 2018, Amneal entered into a licensing and supply agreement, with Mabxience S.L, for its biosimilar candidate for Avastin® (bevacizumab). Amneal will be the exclusive partner in the US market. Amneal will pay up-front, development and regulatory milestone payments as well as commercial milestone payments on reaching pre-agreed sales targets in the market to Mabxience, up to $71.8 million.</w:t>
      </w:r>
    </w:p>
    <w:p>
      <w:pPr>
        <w:spacing w:after="0" w:line="203" w:lineRule="exact"/>
        <w:rPr>
          <w:sz w:val="20"/>
          <w:szCs w:val="20"/>
          <w:color w:val="auto"/>
        </w:rPr>
      </w:pPr>
    </w:p>
    <w:p>
      <w:pPr>
        <w:jc w:val="center"/>
        <w:ind w:right="-339"/>
        <w:spacing w:after="0"/>
        <w:rPr>
          <w:sz w:val="20"/>
          <w:szCs w:val="20"/>
          <w:color w:val="auto"/>
        </w:rPr>
      </w:pPr>
      <w:r>
        <w:rPr>
          <w:rFonts w:ascii="Times New Roman" w:cs="Times New Roman" w:eastAsia="Times New Roman" w:hAnsi="Times New Roman"/>
          <w:sz w:val="18"/>
          <w:szCs w:val="18"/>
          <w:color w:val="auto"/>
        </w:rPr>
        <w:t>26</w:t>
      </w:r>
    </w:p>
    <w:p>
      <w:pPr>
        <w:sectPr>
          <w:pgSz w:w="11900" w:h="16838" w:orient="portrait"/>
          <w:cols w:equalWidth="0" w:num="1">
            <w:col w:w="11080"/>
          </w:cols>
          <w:pgMar w:left="240" w:top="117" w:right="579" w:bottom="1440" w:gutter="0" w:footer="0" w:header="0"/>
        </w:sectPr>
      </w:pPr>
    </w:p>
    <w:bookmarkStart w:id="31" w:name="page32"/>
    <w:bookmarkEnd w:id="31"/>
    <w:p>
      <w:pPr>
        <w:jc w:val="right"/>
        <w:spacing w:after="0"/>
        <w:rPr>
          <w:sz w:val="20"/>
          <w:szCs w:val="20"/>
          <w:color w:val="auto"/>
        </w:rPr>
      </w:pPr>
      <w:r>
        <w:rPr>
          <w:rFonts w:ascii="Times New Roman" w:cs="Times New Roman" w:eastAsia="Times New Roman" w:hAnsi="Times New Roman"/>
          <w:sz w:val="18"/>
          <w:szCs w:val="18"/>
          <w:b w:val="1"/>
          <w:bCs w:val="1"/>
          <w:color w:val="auto"/>
        </w:rPr>
        <w:t>Exhibit 99.2</w:t>
      </w:r>
    </w:p>
    <w:p>
      <w:pPr>
        <w:spacing w:after="0" w:line="225" w:lineRule="exact"/>
        <w:rPr>
          <w:sz w:val="20"/>
          <w:szCs w:val="20"/>
          <w:color w:val="auto"/>
        </w:rPr>
      </w:pPr>
    </w:p>
    <w:p>
      <w:pPr>
        <w:jc w:val="center"/>
        <w:ind w:right="1200"/>
        <w:spacing w:after="0"/>
        <w:rPr>
          <w:sz w:val="20"/>
          <w:szCs w:val="20"/>
          <w:color w:val="auto"/>
        </w:rPr>
      </w:pPr>
      <w:r>
        <w:rPr>
          <w:rFonts w:ascii="Times New Roman" w:cs="Times New Roman" w:eastAsia="Times New Roman" w:hAnsi="Times New Roman"/>
          <w:sz w:val="18"/>
          <w:szCs w:val="18"/>
          <w:b w:val="1"/>
          <w:bCs w:val="1"/>
          <w:color w:val="auto"/>
        </w:rPr>
        <w:t>AMNEAL PHARMACEUTICALS, INC.</w:t>
      </w:r>
    </w:p>
    <w:p>
      <w:pPr>
        <w:spacing w:after="0" w:line="31" w:lineRule="exact"/>
        <w:rPr>
          <w:sz w:val="20"/>
          <w:szCs w:val="20"/>
          <w:color w:val="auto"/>
        </w:rPr>
      </w:pPr>
    </w:p>
    <w:p>
      <w:pPr>
        <w:jc w:val="center"/>
        <w:ind w:right="1200"/>
        <w:spacing w:after="0"/>
        <w:rPr>
          <w:sz w:val="20"/>
          <w:szCs w:val="20"/>
          <w:color w:val="auto"/>
        </w:rPr>
      </w:pPr>
      <w:r>
        <w:rPr>
          <w:rFonts w:ascii="Times New Roman" w:cs="Times New Roman" w:eastAsia="Times New Roman" w:hAnsi="Times New Roman"/>
          <w:sz w:val="17"/>
          <w:szCs w:val="17"/>
          <w:b w:val="1"/>
          <w:bCs w:val="1"/>
          <w:color w:val="auto"/>
        </w:rPr>
        <w:t>UNAUDITED PRO FORMA CONDENSED COMBINED FINANCIAL STATEMENTS</w:t>
      </w:r>
    </w:p>
    <w:p>
      <w:pPr>
        <w:sectPr>
          <w:pgSz w:w="11900" w:h="16838" w:orient="portrait"/>
          <w:cols w:equalWidth="0" w:num="1">
            <w:col w:w="10220"/>
          </w:cols>
          <w:pgMar w:left="1440" w:top="576" w:right="239" w:bottom="1440" w:gutter="0" w:footer="0" w:header="0"/>
        </w:sectPr>
      </w:pPr>
    </w:p>
    <w:bookmarkStart w:id="32" w:name="page33"/>
    <w:bookmarkEnd w:id="32"/>
    <w:p>
      <w:pPr>
        <w:jc w:val="center"/>
        <w:spacing w:after="0"/>
        <w:rPr>
          <w:sz w:val="20"/>
          <w:szCs w:val="20"/>
          <w:color w:val="auto"/>
        </w:rPr>
      </w:pPr>
      <w:r>
        <w:rPr>
          <w:rFonts w:ascii="Times New Roman" w:cs="Times New Roman" w:eastAsia="Times New Roman" w:hAnsi="Times New Roman"/>
          <w:sz w:val="18"/>
          <w:szCs w:val="18"/>
          <w:b w:val="1"/>
          <w:bCs w:val="1"/>
          <w:color w:val="auto"/>
        </w:rPr>
        <w:t>UNAUDITED PRO FORMA CONDENSED COMBINED FINANCIAL STATEMENTS</w:t>
      </w:r>
    </w:p>
    <w:p>
      <w:pPr>
        <w:spacing w:after="0" w:line="94"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This unaudited pro forma condensed combined financial information and explanatory notes of Amneal Pharmaceuticals, Inc. (“New Amneal” or the “Company”) present how the consolidated financial statements of New Amneal may have appeared had the Transactions, PIPE Investment and Closing Date Redemption (all as defined in “Note 1. Description of the Transactions” below) occurred at earlier dates. The unaudited pro forma condensed combined statements of operations for the three months ended March 31, 2018 and for the year ended December 31, 2017 combine the historical consolidated statements of operations of Impax Laboratories, LLC (formerly, Impax Laboratories, Inc.) (“Impax”) and the historical consolidated statements of income of Amneal Pharmaceuticals LLC (“Amneal”), giving effect to the Transactions, PIPE Investment and Closing Date Redemption as if they had been consummated on January 1, 2017. The unaudited pro forma condensed combined balance sheet combines the historical consolidated balance sheets of Impax and Amneal as of March 31, 2018, giving effect to the Transactions, PIPE Investment and Closing Date Redemption as if they had been consummated on March 31, 2018. See "Note 1. Description of the Transactions" herein for additional information on the Transactions, PIPE Investment, and Closing Date Redemption.</w:t>
      </w:r>
    </w:p>
    <w:p>
      <w:pPr>
        <w:spacing w:after="0" w:line="267"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following unaudited pro forma condensed combined financial statements of New Amneal present the combination of the historical financial information of Impax and Amneal adjusted to give effect to the Transactions, PIPE Investment and Closing Date Redemption, including the impacts of the following:</w:t>
      </w:r>
    </w:p>
    <w:p>
      <w:pPr>
        <w:spacing w:after="0" w:line="175" w:lineRule="exact"/>
        <w:rPr>
          <w:sz w:val="20"/>
          <w:szCs w:val="20"/>
          <w:color w:val="auto"/>
        </w:rPr>
      </w:pPr>
    </w:p>
    <w:p>
      <w:pPr>
        <w:jc w:val="both"/>
        <w:ind w:left="660" w:hanging="328"/>
        <w:spacing w:after="0" w:line="270"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effects caused by the PIPE Investment and Closing Date Redemption on (1) the Tax Receivable Agreement entered into with APHC Holdings, LLC (formerly, Amneal Holdings, LLC) (“Holdings”), which provides for the payment by New Amneal to Holdings and its permitted transferees of 85% of the amount of the cash savings, if any, in U.S. federal and state income tax that New Amneal is deemed to realize as a result of (i) certain tax attributes that are created as a result of the redemption of common units of Amneal (“Amneal Common Units”) for shares of Class A common stock of the Company, par value $0.01 per share (“Class A Common Stock”) or, in the case of the PIPE Investment, Class B-1 common stock of the Company, par value $0.01 per share (“Class B-1 Common Stock”), (ii) certain other tax attributes acquired from the acquisitions of Amneal Common Units and (iii) tax benefits attributable to payments made under the Tax Receivable Agreement (including imputed interest). If and when New Amneal subsequently realizes a related tax benefit, it will distribute the amount of any such tax benefit to Holdings and its permitted transferees in respect of their contribution;</w:t>
      </w:r>
    </w:p>
    <w:p>
      <w:pPr>
        <w:spacing w:after="0" w:line="200"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adjustments to the provision for income taxes and deferred income taxes reflecting the ownership of Amneal by New Amneal; and</w:t>
      </w:r>
    </w:p>
    <w:p>
      <w:pPr>
        <w:spacing w:after="0" w:line="252" w:lineRule="exact"/>
        <w:rPr>
          <w:rFonts w:ascii="Times New Roman" w:cs="Times New Roman" w:eastAsia="Times New Roman" w:hAnsi="Times New Roman"/>
          <w:sz w:val="18"/>
          <w:szCs w:val="18"/>
          <w:color w:val="auto"/>
        </w:rPr>
      </w:pPr>
    </w:p>
    <w:p>
      <w:pPr>
        <w:ind w:left="660" w:right="20" w:hanging="328"/>
        <w:spacing w:after="0" w:line="298"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allocation of net income (loss) between non-controlling interests and New Amneal based on New Amneal’s 43% ownership of Amneal following the consummation of the Transactions, PIPE Investment and Closing Date Redemption.</w:t>
      </w:r>
    </w:p>
    <w:p>
      <w:pPr>
        <w:spacing w:after="0" w:line="14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This unaudited pro forma condensed combined financial information is presented for informational purposes only and does not purport to represent what the results of operations or financial condition would have been had the Transactions, PIPE Investment and Closing Date Redemption actually occurred on the dates indicated, nor does it purport to project the results of operations or financial condition for any future period or as of any future date.</w:t>
      </w:r>
    </w:p>
    <w:p>
      <w:pPr>
        <w:spacing w:after="0" w:line="176"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 xml:space="preserve">The accompanying unaudited pro forma condensed combined financial statements of New Amneal have been prepared in accordance with Article 11 of U.S. Securities and Exchange Commission (“SEC”) Regulation S-X. The Combination (as defined in “Note 1. Description of the Transactions”) is considered a business combination and therefore will be accounted for under the acquisition method of accounting in accordance with Financial Accounting Standards Board’s Accounting Standards Codification Topic 805 </w:t>
      </w:r>
      <w:r>
        <w:rPr>
          <w:rFonts w:ascii="Times New Roman" w:cs="Times New Roman" w:eastAsia="Times New Roman" w:hAnsi="Times New Roman"/>
          <w:sz w:val="18"/>
          <w:szCs w:val="18"/>
          <w:i w:val="1"/>
          <w:iCs w:val="1"/>
          <w:color w:val="auto"/>
        </w:rPr>
        <w:t>Business Combinations</w:t>
      </w:r>
      <w:r>
        <w:rPr>
          <w:rFonts w:ascii="Times New Roman" w:cs="Times New Roman" w:eastAsia="Times New Roman" w:hAnsi="Times New Roman"/>
          <w:sz w:val="18"/>
          <w:szCs w:val="18"/>
          <w:color w:val="auto"/>
        </w:rPr>
        <w:t>. Under the acquisition method of accounting for purposes of these unaudited pro forma condensed combined financial statements, management of Impax and Amneal have determined a purchase price, calculated as described in “Note</w:t>
      </w:r>
    </w:p>
    <w:p>
      <w:pPr>
        <w:spacing w:after="0" w:line="3" w:lineRule="exact"/>
        <w:rPr>
          <w:sz w:val="20"/>
          <w:szCs w:val="20"/>
          <w:color w:val="auto"/>
        </w:rPr>
      </w:pPr>
    </w:p>
    <w:p>
      <w:pPr>
        <w:jc w:val="both"/>
        <w:ind w:firstLine="8"/>
        <w:spacing w:after="0" w:line="254" w:lineRule="auto"/>
        <w:tabs>
          <w:tab w:leader="none" w:pos="187"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Purchase Price and Preliminary Purchase Price Allocation” herein. The Impax assets acquired and liabilities assumed in connection with the Combination are recorded at their estimated acquisition date fair values. A final determination of the fair value for certain assets and liabilities will be completed as soon as the information necessary to complete the analysis is the obtained, but no later than one year from the acquisition date. Differences between these preliminary estimates and the final acquisition accounting may occur and these differences could be material.</w:t>
      </w:r>
    </w:p>
    <w:p>
      <w:pPr>
        <w:spacing w:after="0" w:line="18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historical combined financial information has been adjusted to give effect to pro forma events that are (1) directly attributable to the Transactions, PIPE Investment and Closing Date Redemption, (2) factually supportable, and (3) with respect to the statements of operations, expected to have a continuing impact on the combined results. The unaudited pro forma condensed combined financial statements should be read in conjunction with the accompanying notes to the unaudited pro forma condensed combined financial statements. In addition, the unaudited pro forma condensed combined financial statements were based on and should be read in conjunction with:</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w:t>
      </w:r>
    </w:p>
    <w:p>
      <w:pPr>
        <w:sectPr>
          <w:pgSz w:w="11900" w:h="16838" w:orient="portrait"/>
          <w:cols w:equalWidth="0" w:num="1">
            <w:col w:w="11420"/>
          </w:cols>
          <w:pgMar w:left="240" w:top="374" w:right="239" w:bottom="1440" w:gutter="0" w:footer="0" w:header="0"/>
        </w:sectPr>
      </w:pPr>
    </w:p>
    <w:bookmarkStart w:id="33" w:name="page34"/>
    <w:bookmarkEnd w:id="33"/>
    <w:p>
      <w:pPr>
        <w:ind w:left="328" w:right="100" w:hanging="328"/>
        <w:spacing w:after="0" w:line="282" w:lineRule="auto"/>
        <w:tabs>
          <w:tab w:leader="none" w:pos="328"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audited consolidated financial statements of Amneal as of December 31, 2017 and December 31, 2016 and for each of the three years in the period ended December 31, 2017 and the related notes included in New Amneal’s Registration Statement on Form S-1 filed with the SEC on March 7, 2018 (as amended);</w:t>
      </w:r>
    </w:p>
    <w:p>
      <w:pPr>
        <w:spacing w:after="0" w:line="188" w:lineRule="exact"/>
        <w:rPr>
          <w:rFonts w:ascii="Times New Roman" w:cs="Times New Roman" w:eastAsia="Times New Roman" w:hAnsi="Times New Roman"/>
          <w:sz w:val="18"/>
          <w:szCs w:val="18"/>
          <w:color w:val="auto"/>
        </w:rPr>
      </w:pPr>
    </w:p>
    <w:p>
      <w:pPr>
        <w:ind w:left="328" w:hanging="328"/>
        <w:spacing w:after="0" w:line="298" w:lineRule="auto"/>
        <w:tabs>
          <w:tab w:leader="none" w:pos="328"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unaudited consolidated financial statements of Amneal as of March 31, 2018 and for the three months ended March 31, 2018 and March 31, 2017 and the related notes included as Exhibit 99.1 to the Amendment No. 2 to the Current Report on Form 8-K;</w:t>
      </w:r>
    </w:p>
    <w:p>
      <w:pPr>
        <w:spacing w:after="0" w:line="161" w:lineRule="exact"/>
        <w:rPr>
          <w:rFonts w:ascii="Times New Roman" w:cs="Times New Roman" w:eastAsia="Times New Roman" w:hAnsi="Times New Roman"/>
          <w:sz w:val="18"/>
          <w:szCs w:val="18"/>
          <w:color w:val="auto"/>
        </w:rPr>
      </w:pPr>
    </w:p>
    <w:p>
      <w:pPr>
        <w:ind w:left="328" w:right="40" w:hanging="328"/>
        <w:spacing w:after="0" w:line="298" w:lineRule="auto"/>
        <w:tabs>
          <w:tab w:leader="none" w:pos="328"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audited consolidated financial statements of Impax as of December 31, 2017 and December 31, 2016 and for each of the three years in the period ended December 31, 2017 and the related notes included in Impax’s Annual Report on Form 10-K for the year ended December 31, 2017;</w:t>
      </w:r>
    </w:p>
    <w:p>
      <w:pPr>
        <w:spacing w:after="0" w:line="161" w:lineRule="exact"/>
        <w:rPr>
          <w:rFonts w:ascii="Times New Roman" w:cs="Times New Roman" w:eastAsia="Times New Roman" w:hAnsi="Times New Roman"/>
          <w:sz w:val="18"/>
          <w:szCs w:val="18"/>
          <w:color w:val="auto"/>
        </w:rPr>
      </w:pPr>
    </w:p>
    <w:p>
      <w:pPr>
        <w:ind w:left="328" w:right="120" w:hanging="328"/>
        <w:spacing w:after="0" w:line="298" w:lineRule="auto"/>
        <w:tabs>
          <w:tab w:leader="none" w:pos="328"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unaudited consolidated financial statements of Impax as of March 31, 2018 and for the three months ended March 31, 2018 and March 31, 2017 and the related notes included in Impax’s Quarterly Report on Form 10-Q for the quarter ended March 31, 2018.</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312"/>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1088"/>
          </w:cols>
          <w:pgMar w:left="572" w:top="378" w:right="239" w:bottom="1440" w:gutter="0" w:footer="0" w:header="0"/>
        </w:sectPr>
      </w:pPr>
    </w:p>
    <w:bookmarkStart w:id="34" w:name="page35"/>
    <w:bookmarkEnd w:id="34"/>
    <w:p>
      <w:pPr>
        <w:jc w:val="center"/>
        <w:spacing w:after="0"/>
        <w:rPr>
          <w:sz w:val="20"/>
          <w:szCs w:val="20"/>
          <w:color w:val="auto"/>
        </w:rPr>
      </w:pPr>
      <w:r>
        <w:rPr>
          <w:rFonts w:ascii="Times New Roman" w:cs="Times New Roman" w:eastAsia="Times New Roman" w:hAnsi="Times New Roman"/>
          <w:sz w:val="22"/>
          <w:szCs w:val="22"/>
          <w:b w:val="1"/>
          <w:bCs w:val="1"/>
          <w:color w:val="auto"/>
        </w:rPr>
        <w:t>UNAUDITED PRO FORMA CONDENSED COMBINED BALANCE SHEET AS OF MARCH 31, 2018</w:t>
      </w:r>
    </w:p>
    <w:p>
      <w:pPr>
        <w:spacing w:after="0" w:line="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(in thousands)</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3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Pr>
          <w:p>
            <w:pPr>
              <w:jc w:val="center"/>
              <w:ind w:right="81"/>
              <w:spacing w:after="0"/>
              <w:rPr>
                <w:sz w:val="20"/>
                <w:szCs w:val="20"/>
                <w:color w:val="auto"/>
              </w:rPr>
            </w:pPr>
            <w:r>
              <w:rPr>
                <w:rFonts w:ascii="Times New Roman" w:cs="Times New Roman" w:eastAsia="Times New Roman" w:hAnsi="Times New Roman"/>
                <w:sz w:val="13"/>
                <w:szCs w:val="13"/>
                <w:b w:val="1"/>
                <w:bCs w:val="1"/>
                <w:color w:val="auto"/>
                <w:w w:val="97"/>
              </w:rPr>
              <w:t>Financing &amp;</w:t>
            </w:r>
          </w:p>
        </w:tc>
        <w:tc>
          <w:tcPr>
            <w:tcW w:w="320" w:type="dxa"/>
            <w:vAlign w:val="bottom"/>
          </w:tcPr>
          <w:p>
            <w:pPr>
              <w:spacing w:after="0"/>
              <w:rPr>
                <w:sz w:val="12"/>
                <w:szCs w:val="12"/>
                <w:color w:val="auto"/>
              </w:rPr>
            </w:pPr>
          </w:p>
        </w:tc>
        <w:tc>
          <w:tcPr>
            <w:tcW w:w="1100" w:type="dxa"/>
            <w:vAlign w:val="bottom"/>
            <w:gridSpan w:val="3"/>
          </w:tcPr>
          <w:p>
            <w:pPr>
              <w:jc w:val="center"/>
              <w:ind w:right="100"/>
              <w:spacing w:after="0"/>
              <w:rPr>
                <w:sz w:val="20"/>
                <w:szCs w:val="20"/>
                <w:color w:val="auto"/>
              </w:rPr>
            </w:pPr>
            <w:r>
              <w:rPr>
                <w:rFonts w:ascii="Times New Roman" w:cs="Times New Roman" w:eastAsia="Times New Roman" w:hAnsi="Times New Roman"/>
                <w:sz w:val="13"/>
                <w:szCs w:val="13"/>
                <w:b w:val="1"/>
                <w:bCs w:val="1"/>
                <w:color w:val="auto"/>
                <w:w w:val="95"/>
              </w:rPr>
              <w:t>Non-controlling</w:t>
            </w:r>
          </w:p>
        </w:tc>
        <w:tc>
          <w:tcPr>
            <w:tcW w:w="1560" w:type="dxa"/>
            <w:vAlign w:val="bottom"/>
            <w:gridSpan w:val="2"/>
          </w:tcPr>
          <w:p>
            <w:pPr>
              <w:jc w:val="center"/>
              <w:spacing w:after="0"/>
              <w:rPr>
                <w:sz w:val="20"/>
                <w:szCs w:val="20"/>
                <w:color w:val="auto"/>
              </w:rPr>
            </w:pPr>
            <w:r>
              <w:rPr>
                <w:rFonts w:ascii="Times New Roman" w:cs="Times New Roman" w:eastAsia="Times New Roman" w:hAnsi="Times New Roman"/>
                <w:sz w:val="13"/>
                <w:szCs w:val="13"/>
                <w:b w:val="1"/>
                <w:bCs w:val="1"/>
                <w:color w:val="auto"/>
                <w:w w:val="97"/>
              </w:rPr>
              <w:t>PIPE Investment &amp; Closing</w:t>
            </w: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3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jc w:val="center"/>
              <w:ind w:right="41"/>
              <w:spacing w:after="0" w:line="135" w:lineRule="exact"/>
              <w:rPr>
                <w:sz w:val="20"/>
                <w:szCs w:val="20"/>
                <w:color w:val="auto"/>
              </w:rPr>
            </w:pPr>
            <w:r>
              <w:rPr>
                <w:rFonts w:ascii="Times New Roman" w:cs="Times New Roman" w:eastAsia="Times New Roman" w:hAnsi="Times New Roman"/>
                <w:sz w:val="13"/>
                <w:szCs w:val="13"/>
                <w:b w:val="1"/>
                <w:bCs w:val="1"/>
                <w:color w:val="auto"/>
                <w:w w:val="98"/>
              </w:rPr>
              <w:t>Historical</w:t>
            </w:r>
          </w:p>
        </w:tc>
        <w:tc>
          <w:tcPr>
            <w:tcW w:w="160" w:type="dxa"/>
            <w:vAlign w:val="bottom"/>
          </w:tcPr>
          <w:p>
            <w:pPr>
              <w:spacing w:after="0"/>
              <w:rPr>
                <w:sz w:val="11"/>
                <w:szCs w:val="11"/>
                <w:color w:val="auto"/>
              </w:rPr>
            </w:pPr>
          </w:p>
        </w:tc>
        <w:tc>
          <w:tcPr>
            <w:tcW w:w="720" w:type="dxa"/>
            <w:vAlign w:val="bottom"/>
          </w:tcPr>
          <w:p>
            <w:pPr>
              <w:jc w:val="center"/>
              <w:ind w:right="41"/>
              <w:spacing w:after="0" w:line="135" w:lineRule="exact"/>
              <w:rPr>
                <w:sz w:val="20"/>
                <w:szCs w:val="20"/>
                <w:color w:val="auto"/>
              </w:rPr>
            </w:pPr>
            <w:r>
              <w:rPr>
                <w:rFonts w:ascii="Times New Roman" w:cs="Times New Roman" w:eastAsia="Times New Roman" w:hAnsi="Times New Roman"/>
                <w:sz w:val="13"/>
                <w:szCs w:val="13"/>
                <w:b w:val="1"/>
                <w:bCs w:val="1"/>
                <w:color w:val="auto"/>
                <w:w w:val="98"/>
              </w:rPr>
              <w:t>Historical</w:t>
            </w:r>
          </w:p>
        </w:tc>
        <w:tc>
          <w:tcPr>
            <w:tcW w:w="140" w:type="dxa"/>
            <w:vAlign w:val="bottom"/>
          </w:tcPr>
          <w:p>
            <w:pPr>
              <w:spacing w:after="0"/>
              <w:rPr>
                <w:sz w:val="11"/>
                <w:szCs w:val="11"/>
                <w:color w:val="auto"/>
              </w:rPr>
            </w:pPr>
          </w:p>
        </w:tc>
        <w:tc>
          <w:tcPr>
            <w:tcW w:w="880" w:type="dxa"/>
            <w:vAlign w:val="bottom"/>
          </w:tcPr>
          <w:p>
            <w:pPr>
              <w:jc w:val="center"/>
              <w:ind w:right="41"/>
              <w:spacing w:after="0" w:line="135" w:lineRule="exact"/>
              <w:rPr>
                <w:sz w:val="20"/>
                <w:szCs w:val="20"/>
                <w:color w:val="auto"/>
              </w:rPr>
            </w:pPr>
            <w:r>
              <w:rPr>
                <w:rFonts w:ascii="Times New Roman" w:cs="Times New Roman" w:eastAsia="Times New Roman" w:hAnsi="Times New Roman"/>
                <w:sz w:val="13"/>
                <w:szCs w:val="13"/>
                <w:b w:val="1"/>
                <w:bCs w:val="1"/>
                <w:color w:val="auto"/>
                <w:w w:val="95"/>
              </w:rPr>
              <w:t>Combination</w:t>
            </w: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tcPr>
          <w:p>
            <w:pPr>
              <w:jc w:val="center"/>
              <w:ind w:right="61"/>
              <w:spacing w:after="0" w:line="135" w:lineRule="exact"/>
              <w:rPr>
                <w:sz w:val="20"/>
                <w:szCs w:val="20"/>
                <w:color w:val="auto"/>
              </w:rPr>
            </w:pPr>
            <w:r>
              <w:rPr>
                <w:rFonts w:ascii="Times New Roman" w:cs="Times New Roman" w:eastAsia="Times New Roman" w:hAnsi="Times New Roman"/>
                <w:sz w:val="13"/>
                <w:szCs w:val="13"/>
                <w:b w:val="1"/>
                <w:bCs w:val="1"/>
                <w:color w:val="auto"/>
              </w:rPr>
              <w:t>other</w:t>
            </w: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80" w:type="dxa"/>
            <w:vAlign w:val="bottom"/>
            <w:gridSpan w:val="2"/>
          </w:tcPr>
          <w:p>
            <w:pPr>
              <w:jc w:val="center"/>
              <w:ind w:right="220"/>
              <w:spacing w:after="0" w:line="135" w:lineRule="exact"/>
              <w:rPr>
                <w:sz w:val="20"/>
                <w:szCs w:val="20"/>
                <w:color w:val="auto"/>
              </w:rPr>
            </w:pPr>
            <w:r>
              <w:rPr>
                <w:rFonts w:ascii="Times New Roman" w:cs="Times New Roman" w:eastAsia="Times New Roman" w:hAnsi="Times New Roman"/>
                <w:sz w:val="13"/>
                <w:szCs w:val="13"/>
                <w:b w:val="1"/>
                <w:bCs w:val="1"/>
                <w:color w:val="auto"/>
                <w:w w:val="95"/>
              </w:rPr>
              <w:t>interest</w:t>
            </w:r>
          </w:p>
        </w:tc>
        <w:tc>
          <w:tcPr>
            <w:tcW w:w="200" w:type="dxa"/>
            <w:vAlign w:val="bottom"/>
          </w:tcPr>
          <w:p>
            <w:pPr>
              <w:spacing w:after="0"/>
              <w:rPr>
                <w:sz w:val="11"/>
                <w:szCs w:val="11"/>
                <w:color w:val="auto"/>
              </w:rPr>
            </w:pPr>
          </w:p>
        </w:tc>
        <w:tc>
          <w:tcPr>
            <w:tcW w:w="1360" w:type="dxa"/>
            <w:vAlign w:val="bottom"/>
          </w:tcPr>
          <w:p>
            <w:pPr>
              <w:jc w:val="center"/>
              <w:ind w:right="161"/>
              <w:spacing w:after="0" w:line="135" w:lineRule="exact"/>
              <w:rPr>
                <w:sz w:val="20"/>
                <w:szCs w:val="20"/>
                <w:color w:val="auto"/>
              </w:rPr>
            </w:pPr>
            <w:r>
              <w:rPr>
                <w:rFonts w:ascii="Times New Roman" w:cs="Times New Roman" w:eastAsia="Times New Roman" w:hAnsi="Times New Roman"/>
                <w:sz w:val="13"/>
                <w:szCs w:val="13"/>
                <w:b w:val="1"/>
                <w:bCs w:val="1"/>
                <w:color w:val="auto"/>
                <w:w w:val="96"/>
              </w:rPr>
              <w:t>Date Redemption</w:t>
            </w:r>
          </w:p>
        </w:tc>
        <w:tc>
          <w:tcPr>
            <w:tcW w:w="3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314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center"/>
              <w:ind w:right="41"/>
              <w:spacing w:after="0"/>
              <w:rPr>
                <w:sz w:val="20"/>
                <w:szCs w:val="20"/>
                <w:color w:val="auto"/>
              </w:rPr>
            </w:pPr>
            <w:r>
              <w:rPr>
                <w:rFonts w:ascii="Times New Roman" w:cs="Times New Roman" w:eastAsia="Times New Roman" w:hAnsi="Times New Roman"/>
                <w:sz w:val="13"/>
                <w:szCs w:val="13"/>
                <w:b w:val="1"/>
                <w:bCs w:val="1"/>
                <w:color w:val="auto"/>
                <w:w w:val="96"/>
              </w:rPr>
              <w:t>Amneal</w:t>
            </w:r>
          </w:p>
        </w:tc>
        <w:tc>
          <w:tcPr>
            <w:tcW w:w="16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center"/>
              <w:ind w:right="41"/>
              <w:spacing w:after="0"/>
              <w:rPr>
                <w:sz w:val="20"/>
                <w:szCs w:val="20"/>
                <w:color w:val="auto"/>
              </w:rPr>
            </w:pPr>
            <w:r>
              <w:rPr>
                <w:rFonts w:ascii="Times New Roman" w:cs="Times New Roman" w:eastAsia="Times New Roman" w:hAnsi="Times New Roman"/>
                <w:sz w:val="13"/>
                <w:szCs w:val="13"/>
                <w:b w:val="1"/>
                <w:bCs w:val="1"/>
                <w:color w:val="auto"/>
                <w:w w:val="94"/>
              </w:rPr>
              <w:t>Impax</w:t>
            </w: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41"/>
              <w:spacing w:after="0"/>
              <w:rPr>
                <w:sz w:val="20"/>
                <w:szCs w:val="20"/>
                <w:color w:val="auto"/>
              </w:rPr>
            </w:pPr>
            <w:r>
              <w:rPr>
                <w:rFonts w:ascii="Times New Roman" w:cs="Times New Roman" w:eastAsia="Times New Roman" w:hAnsi="Times New Roman"/>
                <w:sz w:val="13"/>
                <w:szCs w:val="13"/>
                <w:b w:val="1"/>
                <w:bCs w:val="1"/>
                <w:color w:val="auto"/>
                <w:w w:val="97"/>
              </w:rPr>
              <w:t>adjustments</w:t>
            </w:r>
          </w:p>
        </w:tc>
        <w:tc>
          <w:tcPr>
            <w:tcW w:w="2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center"/>
              <w:ind w:right="61"/>
              <w:spacing w:after="0"/>
              <w:rPr>
                <w:sz w:val="20"/>
                <w:szCs w:val="20"/>
                <w:color w:val="auto"/>
              </w:rPr>
            </w:pPr>
            <w:r>
              <w:rPr>
                <w:rFonts w:ascii="Times New Roman" w:cs="Times New Roman" w:eastAsia="Times New Roman" w:hAnsi="Times New Roman"/>
                <w:sz w:val="13"/>
                <w:szCs w:val="13"/>
                <w:b w:val="1"/>
                <w:bCs w:val="1"/>
                <w:color w:val="auto"/>
                <w:w w:val="97"/>
              </w:rPr>
              <w:t>adjustments</w:t>
            </w:r>
          </w:p>
        </w:tc>
        <w:tc>
          <w:tcPr>
            <w:tcW w:w="3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center"/>
              <w:ind w:right="61"/>
              <w:spacing w:after="0"/>
              <w:rPr>
                <w:sz w:val="20"/>
                <w:szCs w:val="20"/>
                <w:color w:val="auto"/>
              </w:rPr>
            </w:pPr>
            <w:r>
              <w:rPr>
                <w:rFonts w:ascii="Times New Roman" w:cs="Times New Roman" w:eastAsia="Times New Roman" w:hAnsi="Times New Roman"/>
                <w:sz w:val="13"/>
                <w:szCs w:val="13"/>
                <w:b w:val="1"/>
                <w:bCs w:val="1"/>
                <w:color w:val="auto"/>
                <w:w w:val="97"/>
              </w:rPr>
              <w:t>adjustments</w:t>
            </w: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center"/>
              <w:ind w:right="161"/>
              <w:spacing w:after="0"/>
              <w:rPr>
                <w:sz w:val="20"/>
                <w:szCs w:val="20"/>
                <w:color w:val="auto"/>
              </w:rPr>
            </w:pPr>
            <w:r>
              <w:rPr>
                <w:rFonts w:ascii="Times New Roman" w:cs="Times New Roman" w:eastAsia="Times New Roman" w:hAnsi="Times New Roman"/>
                <w:sz w:val="13"/>
                <w:szCs w:val="13"/>
                <w:b w:val="1"/>
                <w:bCs w:val="1"/>
                <w:color w:val="auto"/>
                <w:w w:val="97"/>
              </w:rPr>
              <w:t>adjustments</w:t>
            </w:r>
          </w:p>
        </w:tc>
        <w:tc>
          <w:tcPr>
            <w:tcW w:w="360" w:type="dxa"/>
            <w:vAlign w:val="bottom"/>
          </w:tcPr>
          <w:p>
            <w:pPr>
              <w:spacing w:after="0"/>
              <w:rPr>
                <w:sz w:val="16"/>
                <w:szCs w:val="16"/>
                <w:color w:val="auto"/>
              </w:rPr>
            </w:pPr>
          </w:p>
        </w:tc>
        <w:tc>
          <w:tcPr>
            <w:tcW w:w="74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13"/>
                <w:szCs w:val="13"/>
                <w:b w:val="1"/>
                <w:bCs w:val="1"/>
                <w:color w:val="auto"/>
              </w:rPr>
              <w:t>Pro forma</w:t>
            </w:r>
          </w:p>
        </w:tc>
        <w:tc>
          <w:tcPr>
            <w:tcW w:w="0" w:type="dxa"/>
            <w:vAlign w:val="bottom"/>
          </w:tcPr>
          <w:p>
            <w:pPr>
              <w:spacing w:after="0"/>
              <w:rPr>
                <w:sz w:val="1"/>
                <w:szCs w:val="1"/>
                <w:color w:val="auto"/>
              </w:rPr>
            </w:pPr>
          </w:p>
        </w:tc>
      </w:tr>
      <w:tr>
        <w:trPr>
          <w:trHeight w:val="250"/>
        </w:trPr>
        <w:tc>
          <w:tcPr>
            <w:tcW w:w="3140" w:type="dxa"/>
            <w:vAlign w:val="bottom"/>
          </w:tcPr>
          <w:p>
            <w:pPr>
              <w:ind w:left="40"/>
              <w:spacing w:after="0"/>
              <w:rPr>
                <w:sz w:val="20"/>
                <w:szCs w:val="20"/>
                <w:color w:val="auto"/>
              </w:rPr>
            </w:pPr>
            <w:r>
              <w:rPr>
                <w:rFonts w:ascii="Times New Roman" w:cs="Times New Roman" w:eastAsia="Times New Roman" w:hAnsi="Times New Roman"/>
                <w:sz w:val="12"/>
                <w:szCs w:val="12"/>
                <w:b w:val="1"/>
                <w:bCs w:val="1"/>
                <w:color w:val="auto"/>
              </w:rPr>
              <w:t>Assets</w:t>
            </w:r>
          </w:p>
        </w:tc>
        <w:tc>
          <w:tcPr>
            <w:tcW w:w="140" w:type="dxa"/>
            <w:vAlign w:val="bottom"/>
          </w:tcPr>
          <w:p>
            <w:pPr>
              <w:spacing w:after="0"/>
              <w:rPr>
                <w:sz w:val="21"/>
                <w:szCs w:val="21"/>
                <w:color w:val="auto"/>
              </w:rPr>
            </w:pPr>
          </w:p>
        </w:tc>
        <w:tc>
          <w:tcPr>
            <w:tcW w:w="720" w:type="dxa"/>
            <w:vAlign w:val="bottom"/>
          </w:tcPr>
          <w:p>
            <w:pPr>
              <w:jc w:val="center"/>
              <w:ind w:right="61"/>
              <w:spacing w:after="0"/>
              <w:rPr>
                <w:sz w:val="20"/>
                <w:szCs w:val="20"/>
                <w:color w:val="auto"/>
              </w:rPr>
            </w:pPr>
            <w:r>
              <w:rPr>
                <w:rFonts w:ascii="Times New Roman" w:cs="Times New Roman" w:eastAsia="Times New Roman" w:hAnsi="Times New Roman"/>
                <w:sz w:val="12"/>
                <w:szCs w:val="12"/>
                <w:b w:val="1"/>
                <w:bCs w:val="1"/>
                <w:color w:val="auto"/>
                <w:w w:val="97"/>
              </w:rPr>
              <w:t>(Note 4)</w:t>
            </w:r>
          </w:p>
        </w:tc>
        <w:tc>
          <w:tcPr>
            <w:tcW w:w="160" w:type="dxa"/>
            <w:vAlign w:val="bottom"/>
          </w:tcPr>
          <w:p>
            <w:pPr>
              <w:spacing w:after="0"/>
              <w:rPr>
                <w:sz w:val="21"/>
                <w:szCs w:val="21"/>
                <w:color w:val="auto"/>
              </w:rPr>
            </w:pPr>
          </w:p>
        </w:tc>
        <w:tc>
          <w:tcPr>
            <w:tcW w:w="720" w:type="dxa"/>
            <w:vAlign w:val="bottom"/>
          </w:tcPr>
          <w:p>
            <w:pPr>
              <w:jc w:val="center"/>
              <w:ind w:right="21"/>
              <w:spacing w:after="0"/>
              <w:rPr>
                <w:sz w:val="20"/>
                <w:szCs w:val="20"/>
                <w:color w:val="auto"/>
              </w:rPr>
            </w:pPr>
            <w:r>
              <w:rPr>
                <w:rFonts w:ascii="Times New Roman" w:cs="Times New Roman" w:eastAsia="Times New Roman" w:hAnsi="Times New Roman"/>
                <w:sz w:val="12"/>
                <w:szCs w:val="12"/>
                <w:b w:val="1"/>
                <w:bCs w:val="1"/>
                <w:color w:val="auto"/>
                <w:w w:val="97"/>
              </w:rPr>
              <w:t>(Note 4)</w:t>
            </w:r>
          </w:p>
        </w:tc>
        <w:tc>
          <w:tcPr>
            <w:tcW w:w="140" w:type="dxa"/>
            <w:vAlign w:val="bottom"/>
          </w:tcPr>
          <w:p>
            <w:pPr>
              <w:spacing w:after="0"/>
              <w:rPr>
                <w:sz w:val="21"/>
                <w:szCs w:val="21"/>
                <w:color w:val="auto"/>
              </w:rPr>
            </w:pPr>
          </w:p>
        </w:tc>
        <w:tc>
          <w:tcPr>
            <w:tcW w:w="880" w:type="dxa"/>
            <w:vAlign w:val="bottom"/>
          </w:tcPr>
          <w:p>
            <w:pPr>
              <w:jc w:val="center"/>
              <w:ind w:right="61"/>
              <w:spacing w:after="0"/>
              <w:rPr>
                <w:sz w:val="20"/>
                <w:szCs w:val="20"/>
                <w:color w:val="auto"/>
              </w:rPr>
            </w:pPr>
            <w:r>
              <w:rPr>
                <w:rFonts w:ascii="Times New Roman" w:cs="Times New Roman" w:eastAsia="Times New Roman" w:hAnsi="Times New Roman"/>
                <w:sz w:val="12"/>
                <w:szCs w:val="12"/>
                <w:b w:val="1"/>
                <w:bCs w:val="1"/>
                <w:color w:val="auto"/>
                <w:w w:val="97"/>
              </w:rPr>
              <w:t>(Note 5)</w:t>
            </w:r>
          </w:p>
        </w:tc>
        <w:tc>
          <w:tcPr>
            <w:tcW w:w="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60" w:type="dxa"/>
            <w:vAlign w:val="bottom"/>
          </w:tcPr>
          <w:p>
            <w:pPr>
              <w:jc w:val="center"/>
              <w:ind w:right="81"/>
              <w:spacing w:after="0"/>
              <w:rPr>
                <w:sz w:val="20"/>
                <w:szCs w:val="20"/>
                <w:color w:val="auto"/>
              </w:rPr>
            </w:pPr>
            <w:r>
              <w:rPr>
                <w:rFonts w:ascii="Times New Roman" w:cs="Times New Roman" w:eastAsia="Times New Roman" w:hAnsi="Times New Roman"/>
                <w:sz w:val="12"/>
                <w:szCs w:val="12"/>
                <w:b w:val="1"/>
                <w:bCs w:val="1"/>
                <w:color w:val="auto"/>
                <w:w w:val="97"/>
              </w:rPr>
              <w:t>(Note 6)</w:t>
            </w:r>
          </w:p>
        </w:tc>
        <w:tc>
          <w:tcPr>
            <w:tcW w:w="3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gridSpan w:val="2"/>
          </w:tcPr>
          <w:p>
            <w:pPr>
              <w:jc w:val="center"/>
              <w:ind w:right="220"/>
              <w:spacing w:after="0"/>
              <w:rPr>
                <w:sz w:val="20"/>
                <w:szCs w:val="20"/>
                <w:color w:val="auto"/>
              </w:rPr>
            </w:pPr>
            <w:r>
              <w:rPr>
                <w:rFonts w:ascii="Times New Roman" w:cs="Times New Roman" w:eastAsia="Times New Roman" w:hAnsi="Times New Roman"/>
                <w:sz w:val="12"/>
                <w:szCs w:val="12"/>
                <w:b w:val="1"/>
                <w:bCs w:val="1"/>
                <w:color w:val="auto"/>
                <w:w w:val="97"/>
              </w:rPr>
              <w:t>(Note 7)</w:t>
            </w:r>
          </w:p>
        </w:tc>
        <w:tc>
          <w:tcPr>
            <w:tcW w:w="200" w:type="dxa"/>
            <w:vAlign w:val="bottom"/>
          </w:tcPr>
          <w:p>
            <w:pPr>
              <w:spacing w:after="0"/>
              <w:rPr>
                <w:sz w:val="21"/>
                <w:szCs w:val="21"/>
                <w:color w:val="auto"/>
              </w:rPr>
            </w:pPr>
          </w:p>
        </w:tc>
        <w:tc>
          <w:tcPr>
            <w:tcW w:w="1360" w:type="dxa"/>
            <w:vAlign w:val="bottom"/>
          </w:tcPr>
          <w:p>
            <w:pPr>
              <w:jc w:val="center"/>
              <w:ind w:right="141"/>
              <w:spacing w:after="0"/>
              <w:rPr>
                <w:sz w:val="20"/>
                <w:szCs w:val="20"/>
                <w:color w:val="auto"/>
              </w:rPr>
            </w:pPr>
            <w:r>
              <w:rPr>
                <w:rFonts w:ascii="Times New Roman" w:cs="Times New Roman" w:eastAsia="Times New Roman" w:hAnsi="Times New Roman"/>
                <w:sz w:val="12"/>
                <w:szCs w:val="12"/>
                <w:b w:val="1"/>
                <w:bCs w:val="1"/>
                <w:color w:val="auto"/>
                <w:w w:val="97"/>
              </w:rPr>
              <w:t>(Note 8)</w:t>
            </w:r>
          </w:p>
        </w:tc>
        <w:tc>
          <w:tcPr>
            <w:tcW w:w="3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3140" w:type="dxa"/>
            <w:vAlign w:val="bottom"/>
          </w:tcPr>
          <w:p>
            <w:pPr>
              <w:ind w:left="40"/>
              <w:spacing w:after="0"/>
              <w:rPr>
                <w:sz w:val="20"/>
                <w:szCs w:val="20"/>
                <w:color w:val="auto"/>
              </w:rPr>
            </w:pPr>
            <w:r>
              <w:rPr>
                <w:rFonts w:ascii="Times New Roman" w:cs="Times New Roman" w:eastAsia="Times New Roman" w:hAnsi="Times New Roman"/>
                <w:sz w:val="12"/>
                <w:szCs w:val="12"/>
                <w:color w:val="auto"/>
              </w:rPr>
              <w:t>Current assets:</w:t>
            </w:r>
          </w:p>
        </w:tc>
        <w:tc>
          <w:tcPr>
            <w:tcW w:w="14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3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3140" w:type="dxa"/>
            <w:vAlign w:val="bottom"/>
            <w:vMerge w:val="restart"/>
            <w:shd w:val="clear" w:color="auto" w:fill="CCEEFF"/>
          </w:tcPr>
          <w:p>
            <w:pPr>
              <w:ind w:left="220"/>
              <w:spacing w:after="0"/>
              <w:rPr>
                <w:sz w:val="20"/>
                <w:szCs w:val="20"/>
                <w:color w:val="auto"/>
              </w:rPr>
            </w:pPr>
            <w:r>
              <w:rPr>
                <w:rFonts w:ascii="Times New Roman" w:cs="Times New Roman" w:eastAsia="Times New Roman" w:hAnsi="Times New Roman"/>
                <w:sz w:val="12"/>
                <w:szCs w:val="12"/>
                <w:color w:val="auto"/>
              </w:rPr>
              <w:t>Cash and cash equivalents</w:t>
            </w:r>
          </w:p>
        </w:tc>
        <w:tc>
          <w:tcPr>
            <w:tcW w:w="140" w:type="dxa"/>
            <w:vAlign w:val="bottom"/>
            <w:vMerge w:val="restart"/>
            <w:shd w:val="clear" w:color="auto" w:fill="CCEEFF"/>
          </w:tcPr>
          <w:p>
            <w:pPr>
              <w:jc w:val="right"/>
              <w:ind w:right="2"/>
              <w:spacing w:after="0"/>
              <w:rPr>
                <w:sz w:val="20"/>
                <w:szCs w:val="20"/>
                <w:color w:val="auto"/>
              </w:rPr>
            </w:pPr>
            <w:r>
              <w:rPr>
                <w:rFonts w:ascii="Times New Roman" w:cs="Times New Roman" w:eastAsia="Times New Roman" w:hAnsi="Times New Roman"/>
                <w:sz w:val="12"/>
                <w:szCs w:val="12"/>
                <w:color w:val="auto"/>
                <w:w w:val="99"/>
              </w:rPr>
              <w:t>$</w:t>
            </w:r>
          </w:p>
        </w:tc>
        <w:tc>
          <w:tcPr>
            <w:tcW w:w="720" w:type="dxa"/>
            <w:vAlign w:val="bottom"/>
            <w:vMerge w:val="restart"/>
            <w:shd w:val="clear" w:color="auto" w:fill="CCEEFF"/>
          </w:tcPr>
          <w:p>
            <w:pPr>
              <w:jc w:val="right"/>
              <w:ind w:right="21"/>
              <w:spacing w:after="0"/>
              <w:rPr>
                <w:sz w:val="20"/>
                <w:szCs w:val="20"/>
                <w:color w:val="auto"/>
              </w:rPr>
            </w:pPr>
            <w:r>
              <w:rPr>
                <w:rFonts w:ascii="Times New Roman" w:cs="Times New Roman" w:eastAsia="Times New Roman" w:hAnsi="Times New Roman"/>
                <w:sz w:val="12"/>
                <w:szCs w:val="12"/>
                <w:color w:val="auto"/>
              </w:rPr>
              <w:t>48,224</w:t>
            </w:r>
          </w:p>
        </w:tc>
        <w:tc>
          <w:tcPr>
            <w:tcW w:w="1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720" w:type="dxa"/>
            <w:vAlign w:val="bottom"/>
            <w:vMerge w:val="restart"/>
            <w:shd w:val="clear" w:color="auto" w:fill="CCEEFF"/>
          </w:tcPr>
          <w:p>
            <w:pPr>
              <w:jc w:val="right"/>
              <w:ind w:right="21"/>
              <w:spacing w:after="0"/>
              <w:rPr>
                <w:sz w:val="20"/>
                <w:szCs w:val="20"/>
                <w:color w:val="auto"/>
              </w:rPr>
            </w:pPr>
            <w:r>
              <w:rPr>
                <w:rFonts w:ascii="Times New Roman" w:cs="Times New Roman" w:eastAsia="Times New Roman" w:hAnsi="Times New Roman"/>
                <w:sz w:val="12"/>
                <w:szCs w:val="12"/>
                <w:color w:val="auto"/>
              </w:rPr>
              <w:t>104,192</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880" w:type="dxa"/>
            <w:vAlign w:val="bottom"/>
            <w:shd w:val="clear" w:color="auto" w:fill="CCEEFF"/>
          </w:tcPr>
          <w:p>
            <w:pPr>
              <w:jc w:val="right"/>
              <w:ind w:right="21"/>
              <w:spacing w:after="0"/>
              <w:rPr>
                <w:sz w:val="20"/>
                <w:szCs w:val="20"/>
                <w:color w:val="auto"/>
              </w:rPr>
            </w:pPr>
            <w:r>
              <w:rPr>
                <w:rFonts w:ascii="Times New Roman" w:cs="Times New Roman" w:eastAsia="Times New Roman" w:hAnsi="Times New Roman"/>
                <w:sz w:val="12"/>
                <w:szCs w:val="12"/>
                <w:color w:val="auto"/>
              </w:rPr>
              <w:t>(355,254)</w:t>
            </w:r>
          </w:p>
        </w:tc>
        <w:tc>
          <w:tcPr>
            <w:tcW w:w="340" w:type="dxa"/>
            <w:vAlign w:val="bottom"/>
            <w:gridSpan w:val="2"/>
            <w:vMerge w:val="restart"/>
            <w:shd w:val="clear" w:color="auto" w:fill="CCEEFF"/>
          </w:tcPr>
          <w:p>
            <w:pPr>
              <w:ind w:left="60"/>
              <w:spacing w:after="0"/>
              <w:rPr>
                <w:sz w:val="20"/>
                <w:szCs w:val="20"/>
                <w:color w:val="auto"/>
              </w:rPr>
            </w:pPr>
            <w:r>
              <w:rPr>
                <w:rFonts w:ascii="Times New Roman" w:cs="Times New Roman" w:eastAsia="Times New Roman" w:hAnsi="Times New Roman"/>
                <w:sz w:val="12"/>
                <w:szCs w:val="12"/>
                <w:color w:val="auto"/>
              </w:rPr>
              <w:t>(a) $</w:t>
            </w:r>
          </w:p>
        </w:tc>
        <w:tc>
          <w:tcPr>
            <w:tcW w:w="860" w:type="dxa"/>
            <w:vAlign w:val="bottom"/>
            <w:vMerge w:val="restart"/>
            <w:shd w:val="clear" w:color="auto" w:fill="CCEEFF"/>
          </w:tcPr>
          <w:p>
            <w:pPr>
              <w:jc w:val="right"/>
              <w:ind w:right="41"/>
              <w:spacing w:after="0"/>
              <w:rPr>
                <w:sz w:val="20"/>
                <w:szCs w:val="20"/>
                <w:color w:val="auto"/>
              </w:rPr>
            </w:pPr>
            <w:r>
              <w:rPr>
                <w:rFonts w:ascii="Times New Roman" w:cs="Times New Roman" w:eastAsia="Times New Roman" w:hAnsi="Times New Roman"/>
                <w:sz w:val="12"/>
                <w:szCs w:val="12"/>
                <w:color w:val="auto"/>
              </w:rPr>
              <w:t>1,080,077</w:t>
            </w:r>
          </w:p>
        </w:tc>
        <w:tc>
          <w:tcPr>
            <w:tcW w:w="3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(a)</w:t>
            </w: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980" w:type="dxa"/>
            <w:vAlign w:val="bottom"/>
            <w:gridSpan w:val="2"/>
            <w:vMerge w:val="restart"/>
            <w:shd w:val="clear" w:color="auto" w:fill="CCEEFF"/>
          </w:tcPr>
          <w:p>
            <w:pPr>
              <w:ind w:left="640"/>
              <w:spacing w:after="0"/>
              <w:rPr>
                <w:sz w:val="20"/>
                <w:szCs w:val="20"/>
                <w:color w:val="auto"/>
              </w:rPr>
            </w:pPr>
            <w:r>
              <w:rPr>
                <w:rFonts w:ascii="Times New Roman" w:cs="Times New Roman" w:eastAsia="Times New Roman" w:hAnsi="Times New Roman"/>
                <w:sz w:val="12"/>
                <w:szCs w:val="12"/>
                <w:color w:val="auto"/>
              </w:rPr>
              <w:t>—</w:t>
            </w:r>
          </w:p>
        </w:tc>
        <w:tc>
          <w:tcPr>
            <w:tcW w:w="200" w:type="dxa"/>
            <w:vAlign w:val="bottom"/>
            <w:vMerge w:val="restart"/>
            <w:shd w:val="clear" w:color="auto" w:fill="CCEEFF"/>
          </w:tcPr>
          <w:p>
            <w:pPr>
              <w:jc w:val="right"/>
              <w:ind w:right="60"/>
              <w:spacing w:after="0"/>
              <w:rPr>
                <w:sz w:val="20"/>
                <w:szCs w:val="20"/>
                <w:color w:val="auto"/>
              </w:rPr>
            </w:pPr>
            <w:r>
              <w:rPr>
                <w:rFonts w:ascii="Times New Roman" w:cs="Times New Roman" w:eastAsia="Times New Roman" w:hAnsi="Times New Roman"/>
                <w:sz w:val="12"/>
                <w:szCs w:val="12"/>
                <w:color w:val="auto"/>
                <w:w w:val="99"/>
              </w:rPr>
              <w:t>$</w:t>
            </w:r>
          </w:p>
        </w:tc>
        <w:tc>
          <w:tcPr>
            <w:tcW w:w="1360" w:type="dxa"/>
            <w:vAlign w:val="bottom"/>
            <w:vMerge w:val="restart"/>
            <w:shd w:val="clear" w:color="auto" w:fill="CCEEFF"/>
          </w:tcPr>
          <w:p>
            <w:pPr>
              <w:jc w:val="right"/>
              <w:ind w:right="61"/>
              <w:spacing w:after="0"/>
              <w:rPr>
                <w:sz w:val="20"/>
                <w:szCs w:val="20"/>
                <w:color w:val="auto"/>
              </w:rPr>
            </w:pPr>
            <w:r>
              <w:rPr>
                <w:rFonts w:ascii="Times New Roman" w:cs="Times New Roman" w:eastAsia="Times New Roman" w:hAnsi="Times New Roman"/>
                <w:sz w:val="12"/>
                <w:szCs w:val="12"/>
                <w:color w:val="auto"/>
              </w:rPr>
              <w:t>—</w:t>
            </w:r>
          </w:p>
        </w:tc>
        <w:tc>
          <w:tcPr>
            <w:tcW w:w="360" w:type="dxa"/>
            <w:vAlign w:val="bottom"/>
            <w:shd w:val="clear" w:color="auto" w:fill="CCEEFF"/>
          </w:tcPr>
          <w:p>
            <w:pPr>
              <w:spacing w:after="0"/>
              <w:rPr>
                <w:sz w:val="14"/>
                <w:szCs w:val="14"/>
                <w:color w:val="auto"/>
              </w:rPr>
            </w:pPr>
          </w:p>
        </w:tc>
        <w:tc>
          <w:tcPr>
            <w:tcW w:w="1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1"/>
                <w:szCs w:val="11"/>
                <w:color w:val="auto"/>
                <w:w w:val="71"/>
              </w:rPr>
              <w:t>$</w:t>
            </w:r>
          </w:p>
        </w:tc>
        <w:tc>
          <w:tcPr>
            <w:tcW w:w="580" w:type="dxa"/>
            <w:vAlign w:val="bottom"/>
            <w:shd w:val="clear" w:color="auto" w:fill="CCEEFF"/>
          </w:tcPr>
          <w:p>
            <w:pPr>
              <w:jc w:val="right"/>
              <w:ind w:right="42"/>
              <w:spacing w:after="0"/>
              <w:rPr>
                <w:sz w:val="20"/>
                <w:szCs w:val="20"/>
                <w:color w:val="auto"/>
              </w:rPr>
            </w:pPr>
            <w:r>
              <w:rPr>
                <w:rFonts w:ascii="Times New Roman" w:cs="Times New Roman" w:eastAsia="Times New Roman" w:hAnsi="Times New Roman"/>
                <w:sz w:val="12"/>
                <w:szCs w:val="12"/>
                <w:color w:val="auto"/>
              </w:rPr>
              <w:t>877,239</w:t>
            </w:r>
          </w:p>
        </w:tc>
        <w:tc>
          <w:tcPr>
            <w:tcW w:w="0" w:type="dxa"/>
            <w:vAlign w:val="bottom"/>
          </w:tcPr>
          <w:p>
            <w:pPr>
              <w:spacing w:after="0"/>
              <w:rPr>
                <w:sz w:val="1"/>
                <w:szCs w:val="1"/>
                <w:color w:val="auto"/>
              </w:rPr>
            </w:pPr>
          </w:p>
        </w:tc>
      </w:tr>
      <w:tr>
        <w:trPr>
          <w:trHeight w:val="81"/>
        </w:trPr>
        <w:tc>
          <w:tcPr>
            <w:tcW w:w="3140" w:type="dxa"/>
            <w:vAlign w:val="bottom"/>
            <w:tcBorders>
              <w:bottom w:val="single" w:sz="8" w:color="CCEEFF"/>
            </w:tcBorders>
            <w:vMerge w:val="continue"/>
            <w:shd w:val="clear" w:color="auto" w:fill="CCEEFF"/>
          </w:tcPr>
          <w:p>
            <w:pPr>
              <w:spacing w:after="0"/>
              <w:rPr>
                <w:sz w:val="7"/>
                <w:szCs w:val="7"/>
                <w:color w:val="auto"/>
              </w:rPr>
            </w:pPr>
          </w:p>
        </w:tc>
        <w:tc>
          <w:tcPr>
            <w:tcW w:w="140" w:type="dxa"/>
            <w:vAlign w:val="bottom"/>
            <w:tcBorders>
              <w:bottom w:val="single" w:sz="8" w:color="CCEEFF"/>
            </w:tcBorders>
            <w:vMerge w:val="continue"/>
            <w:shd w:val="clear" w:color="auto" w:fill="CCEEFF"/>
          </w:tcPr>
          <w:p>
            <w:pPr>
              <w:spacing w:after="0"/>
              <w:rPr>
                <w:sz w:val="7"/>
                <w:szCs w:val="7"/>
                <w:color w:val="auto"/>
              </w:rPr>
            </w:pPr>
          </w:p>
        </w:tc>
        <w:tc>
          <w:tcPr>
            <w:tcW w:w="720" w:type="dxa"/>
            <w:vAlign w:val="bottom"/>
            <w:tcBorders>
              <w:bottom w:val="single" w:sz="8" w:color="CCEEFF"/>
            </w:tcBorders>
            <w:vMerge w:val="continue"/>
            <w:shd w:val="clear" w:color="auto" w:fill="CCEEFF"/>
          </w:tcPr>
          <w:p>
            <w:pPr>
              <w:spacing w:after="0"/>
              <w:rPr>
                <w:sz w:val="7"/>
                <w:szCs w:val="7"/>
                <w:color w:val="auto"/>
              </w:rPr>
            </w:pPr>
          </w:p>
        </w:tc>
        <w:tc>
          <w:tcPr>
            <w:tcW w:w="160" w:type="dxa"/>
            <w:vAlign w:val="bottom"/>
            <w:tcBorders>
              <w:bottom w:val="single" w:sz="8" w:color="CCEEFF"/>
            </w:tcBorders>
            <w:vMerge w:val="continue"/>
            <w:shd w:val="clear" w:color="auto" w:fill="CCEEFF"/>
          </w:tcPr>
          <w:p>
            <w:pPr>
              <w:spacing w:after="0"/>
              <w:rPr>
                <w:sz w:val="7"/>
                <w:szCs w:val="7"/>
                <w:color w:val="auto"/>
              </w:rPr>
            </w:pPr>
          </w:p>
        </w:tc>
        <w:tc>
          <w:tcPr>
            <w:tcW w:w="720" w:type="dxa"/>
            <w:vAlign w:val="bottom"/>
            <w:tcBorders>
              <w:bottom w:val="single" w:sz="8" w:color="CCEEFF"/>
            </w:tcBorders>
            <w:vMerge w:val="continue"/>
            <w:shd w:val="clear" w:color="auto" w:fill="CCEEFF"/>
          </w:tcPr>
          <w:p>
            <w:pPr>
              <w:spacing w:after="0"/>
              <w:rPr>
                <w:sz w:val="7"/>
                <w:szCs w:val="7"/>
                <w:color w:val="auto"/>
              </w:rPr>
            </w:pPr>
          </w:p>
        </w:tc>
        <w:tc>
          <w:tcPr>
            <w:tcW w:w="140" w:type="dxa"/>
            <w:vAlign w:val="bottom"/>
            <w:tcBorders>
              <w:bottom w:val="single" w:sz="8" w:color="CCEEFF"/>
            </w:tcBorders>
            <w:shd w:val="clear" w:color="auto" w:fill="CCEEFF"/>
          </w:tcPr>
          <w:p>
            <w:pPr>
              <w:spacing w:after="0"/>
              <w:rPr>
                <w:sz w:val="7"/>
                <w:szCs w:val="7"/>
                <w:color w:val="auto"/>
              </w:rPr>
            </w:pPr>
          </w:p>
        </w:tc>
        <w:tc>
          <w:tcPr>
            <w:tcW w:w="880" w:type="dxa"/>
            <w:vAlign w:val="bottom"/>
            <w:tcBorders>
              <w:bottom w:val="single" w:sz="8" w:color="CCEEFF"/>
            </w:tcBorders>
            <w:shd w:val="clear" w:color="auto" w:fill="CCEEFF"/>
          </w:tcPr>
          <w:p>
            <w:pPr>
              <w:spacing w:after="0"/>
              <w:rPr>
                <w:sz w:val="7"/>
                <w:szCs w:val="7"/>
                <w:color w:val="auto"/>
              </w:rPr>
            </w:pPr>
          </w:p>
        </w:tc>
        <w:tc>
          <w:tcPr>
            <w:tcW w:w="340" w:type="dxa"/>
            <w:vAlign w:val="bottom"/>
            <w:tcBorders>
              <w:bottom w:val="single" w:sz="8" w:color="CCEEFF"/>
            </w:tcBorders>
            <w:gridSpan w:val="2"/>
            <w:vMerge w:val="continue"/>
            <w:shd w:val="clear" w:color="auto" w:fill="CCEEFF"/>
          </w:tcPr>
          <w:p>
            <w:pPr>
              <w:spacing w:after="0"/>
              <w:rPr>
                <w:sz w:val="7"/>
                <w:szCs w:val="7"/>
                <w:color w:val="auto"/>
              </w:rPr>
            </w:pPr>
          </w:p>
        </w:tc>
        <w:tc>
          <w:tcPr>
            <w:tcW w:w="860" w:type="dxa"/>
            <w:vAlign w:val="bottom"/>
            <w:tcBorders>
              <w:bottom w:val="single" w:sz="8" w:color="CCEEFF"/>
            </w:tcBorders>
            <w:vMerge w:val="continue"/>
            <w:shd w:val="clear" w:color="auto" w:fill="CCEEFF"/>
          </w:tcPr>
          <w:p>
            <w:pPr>
              <w:spacing w:after="0"/>
              <w:rPr>
                <w:sz w:val="7"/>
                <w:szCs w:val="7"/>
                <w:color w:val="auto"/>
              </w:rPr>
            </w:pPr>
          </w:p>
        </w:tc>
        <w:tc>
          <w:tcPr>
            <w:tcW w:w="320" w:type="dxa"/>
            <w:vAlign w:val="bottom"/>
            <w:tcBorders>
              <w:bottom w:val="single" w:sz="8" w:color="CCEEFF"/>
            </w:tcBorders>
            <w:vMerge w:val="continue"/>
            <w:shd w:val="clear" w:color="auto" w:fill="CCEEFF"/>
          </w:tcPr>
          <w:p>
            <w:pPr>
              <w:spacing w:after="0"/>
              <w:rPr>
                <w:sz w:val="7"/>
                <w:szCs w:val="7"/>
                <w:color w:val="auto"/>
              </w:rPr>
            </w:pPr>
          </w:p>
        </w:tc>
        <w:tc>
          <w:tcPr>
            <w:tcW w:w="120" w:type="dxa"/>
            <w:vAlign w:val="bottom"/>
            <w:tcBorders>
              <w:bottom w:val="single" w:sz="8" w:color="CCEEFF"/>
            </w:tcBorders>
            <w:vMerge w:val="continue"/>
            <w:shd w:val="clear" w:color="auto" w:fill="CCEEFF"/>
          </w:tcPr>
          <w:p>
            <w:pPr>
              <w:spacing w:after="0"/>
              <w:rPr>
                <w:sz w:val="7"/>
                <w:szCs w:val="7"/>
                <w:color w:val="auto"/>
              </w:rPr>
            </w:pPr>
          </w:p>
        </w:tc>
        <w:tc>
          <w:tcPr>
            <w:tcW w:w="980" w:type="dxa"/>
            <w:vAlign w:val="bottom"/>
            <w:tcBorders>
              <w:bottom w:val="single" w:sz="8" w:color="CCEEFF"/>
            </w:tcBorders>
            <w:gridSpan w:val="2"/>
            <w:vMerge w:val="continue"/>
            <w:shd w:val="clear" w:color="auto" w:fill="CCEEFF"/>
          </w:tcPr>
          <w:p>
            <w:pPr>
              <w:spacing w:after="0"/>
              <w:rPr>
                <w:sz w:val="7"/>
                <w:szCs w:val="7"/>
                <w:color w:val="auto"/>
              </w:rPr>
            </w:pPr>
          </w:p>
        </w:tc>
        <w:tc>
          <w:tcPr>
            <w:tcW w:w="200" w:type="dxa"/>
            <w:vAlign w:val="bottom"/>
            <w:tcBorders>
              <w:bottom w:val="single" w:sz="8" w:color="CCEEFF"/>
            </w:tcBorders>
            <w:vMerge w:val="continue"/>
            <w:shd w:val="clear" w:color="auto" w:fill="CCEEFF"/>
          </w:tcPr>
          <w:p>
            <w:pPr>
              <w:spacing w:after="0"/>
              <w:rPr>
                <w:sz w:val="7"/>
                <w:szCs w:val="7"/>
                <w:color w:val="auto"/>
              </w:rPr>
            </w:pPr>
          </w:p>
        </w:tc>
        <w:tc>
          <w:tcPr>
            <w:tcW w:w="1360" w:type="dxa"/>
            <w:vAlign w:val="bottom"/>
            <w:tcBorders>
              <w:bottom w:val="single" w:sz="8" w:color="CCEEFF"/>
            </w:tcBorders>
            <w:vMerge w:val="continue"/>
            <w:shd w:val="clear" w:color="auto" w:fill="CCEEFF"/>
          </w:tcPr>
          <w:p>
            <w:pPr>
              <w:spacing w:after="0"/>
              <w:rPr>
                <w:sz w:val="7"/>
                <w:szCs w:val="7"/>
                <w:color w:val="auto"/>
              </w:rPr>
            </w:pPr>
          </w:p>
        </w:tc>
        <w:tc>
          <w:tcPr>
            <w:tcW w:w="360" w:type="dxa"/>
            <w:vAlign w:val="bottom"/>
            <w:tcBorders>
              <w:bottom w:val="single" w:sz="8" w:color="CCEEFF"/>
            </w:tcBorders>
            <w:shd w:val="clear" w:color="auto" w:fill="CCEEFF"/>
          </w:tcPr>
          <w:p>
            <w:pPr>
              <w:spacing w:after="0"/>
              <w:rPr>
                <w:sz w:val="7"/>
                <w:szCs w:val="7"/>
                <w:color w:val="auto"/>
              </w:rPr>
            </w:pPr>
          </w:p>
        </w:tc>
        <w:tc>
          <w:tcPr>
            <w:tcW w:w="160" w:type="dxa"/>
            <w:vAlign w:val="bottom"/>
            <w:tcBorders>
              <w:bottom w:val="single" w:sz="8" w:color="CCEEFF"/>
            </w:tcBorders>
            <w:shd w:val="clear" w:color="auto" w:fill="CCEEFF"/>
          </w:tcPr>
          <w:p>
            <w:pPr>
              <w:spacing w:after="0"/>
              <w:rPr>
                <w:sz w:val="7"/>
                <w:szCs w:val="7"/>
                <w:color w:val="auto"/>
              </w:rPr>
            </w:pPr>
          </w:p>
        </w:tc>
        <w:tc>
          <w:tcPr>
            <w:tcW w:w="580" w:type="dxa"/>
            <w:vAlign w:val="bottom"/>
            <w:tcBorders>
              <w:bottom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69"/>
        </w:trPr>
        <w:tc>
          <w:tcPr>
            <w:tcW w:w="3140" w:type="dxa"/>
            <w:vAlign w:val="bottom"/>
            <w:vMerge w:val="restart"/>
          </w:tcPr>
          <w:p>
            <w:pPr>
              <w:ind w:left="220"/>
              <w:spacing w:after="0"/>
              <w:rPr>
                <w:sz w:val="20"/>
                <w:szCs w:val="20"/>
                <w:color w:val="auto"/>
              </w:rPr>
            </w:pPr>
            <w:r>
              <w:rPr>
                <w:rFonts w:ascii="Times New Roman" w:cs="Times New Roman" w:eastAsia="Times New Roman" w:hAnsi="Times New Roman"/>
                <w:sz w:val="12"/>
                <w:szCs w:val="12"/>
                <w:color w:val="auto"/>
              </w:rPr>
              <w:t>Restricted cash</w:t>
            </w:r>
          </w:p>
        </w:tc>
        <w:tc>
          <w:tcPr>
            <w:tcW w:w="140" w:type="dxa"/>
            <w:vAlign w:val="bottom"/>
          </w:tcPr>
          <w:p>
            <w:pPr>
              <w:spacing w:after="0"/>
              <w:rPr>
                <w:sz w:val="14"/>
                <w:szCs w:val="14"/>
                <w:color w:val="auto"/>
              </w:rPr>
            </w:pPr>
          </w:p>
        </w:tc>
        <w:tc>
          <w:tcPr>
            <w:tcW w:w="720" w:type="dxa"/>
            <w:vAlign w:val="bottom"/>
            <w:vMerge w:val="restart"/>
          </w:tcPr>
          <w:p>
            <w:pPr>
              <w:jc w:val="right"/>
              <w:ind w:right="21"/>
              <w:spacing w:after="0"/>
              <w:rPr>
                <w:sz w:val="20"/>
                <w:szCs w:val="20"/>
                <w:color w:val="auto"/>
              </w:rPr>
            </w:pPr>
            <w:r>
              <w:rPr>
                <w:rFonts w:ascii="Times New Roman" w:cs="Times New Roman" w:eastAsia="Times New Roman" w:hAnsi="Times New Roman"/>
                <w:sz w:val="12"/>
                <w:szCs w:val="12"/>
                <w:color w:val="auto"/>
              </w:rPr>
              <w:t>4,393</w:t>
            </w:r>
          </w:p>
        </w:tc>
        <w:tc>
          <w:tcPr>
            <w:tcW w:w="160" w:type="dxa"/>
            <w:vAlign w:val="bottom"/>
          </w:tcPr>
          <w:p>
            <w:pPr>
              <w:spacing w:after="0"/>
              <w:rPr>
                <w:sz w:val="14"/>
                <w:szCs w:val="14"/>
                <w:color w:val="auto"/>
              </w:rPr>
            </w:pPr>
          </w:p>
        </w:tc>
        <w:tc>
          <w:tcPr>
            <w:tcW w:w="720" w:type="dxa"/>
            <w:vAlign w:val="bottom"/>
            <w:vMerge w:val="restart"/>
          </w:tcPr>
          <w:p>
            <w:pPr>
              <w:jc w:val="right"/>
              <w:ind w:right="21"/>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tcPr>
          <w:p>
            <w:pPr>
              <w:spacing w:after="0"/>
              <w:rPr>
                <w:sz w:val="14"/>
                <w:szCs w:val="14"/>
                <w:color w:val="auto"/>
              </w:rPr>
            </w:pPr>
          </w:p>
        </w:tc>
        <w:tc>
          <w:tcPr>
            <w:tcW w:w="880" w:type="dxa"/>
            <w:vAlign w:val="bottom"/>
            <w:vMerge w:val="restart"/>
          </w:tcPr>
          <w:p>
            <w:pPr>
              <w:jc w:val="right"/>
              <w:ind w:right="61"/>
              <w:spacing w:after="0"/>
              <w:rPr>
                <w:sz w:val="20"/>
                <w:szCs w:val="20"/>
                <w:color w:val="auto"/>
              </w:rPr>
            </w:pPr>
            <w:r>
              <w:rPr>
                <w:rFonts w:ascii="Times New Roman" w:cs="Times New Roman" w:eastAsia="Times New Roman" w:hAnsi="Times New Roman"/>
                <w:sz w:val="12"/>
                <w:szCs w:val="12"/>
                <w:color w:val="auto"/>
              </w:rPr>
              <w:t>—</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vMerge w:val="restart"/>
          </w:tcPr>
          <w:p>
            <w:pPr>
              <w:jc w:val="right"/>
              <w:ind w:right="41"/>
              <w:spacing w:after="0"/>
              <w:rPr>
                <w:sz w:val="20"/>
                <w:szCs w:val="20"/>
                <w:color w:val="auto"/>
              </w:rPr>
            </w:pPr>
            <w:r>
              <w:rPr>
                <w:rFonts w:ascii="Times New Roman" w:cs="Times New Roman" w:eastAsia="Times New Roman" w:hAnsi="Times New Roman"/>
                <w:sz w:val="12"/>
                <w:szCs w:val="12"/>
                <w:color w:val="auto"/>
              </w:rPr>
              <w:t>—</w:t>
            </w: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gridSpan w:val="2"/>
            <w:vMerge w:val="restart"/>
          </w:tcPr>
          <w:p>
            <w:pPr>
              <w:ind w:left="640"/>
              <w:spacing w:after="0"/>
              <w:rPr>
                <w:sz w:val="20"/>
                <w:szCs w:val="20"/>
                <w:color w:val="auto"/>
              </w:rPr>
            </w:pPr>
            <w:r>
              <w:rPr>
                <w:rFonts w:ascii="Times New Roman" w:cs="Times New Roman" w:eastAsia="Times New Roman" w:hAnsi="Times New Roman"/>
                <w:sz w:val="12"/>
                <w:szCs w:val="12"/>
                <w:color w:val="auto"/>
              </w:rPr>
              <w:t>—</w:t>
            </w:r>
          </w:p>
        </w:tc>
        <w:tc>
          <w:tcPr>
            <w:tcW w:w="200" w:type="dxa"/>
            <w:vAlign w:val="bottom"/>
          </w:tcPr>
          <w:p>
            <w:pPr>
              <w:spacing w:after="0"/>
              <w:rPr>
                <w:sz w:val="14"/>
                <w:szCs w:val="14"/>
                <w:color w:val="auto"/>
              </w:rPr>
            </w:pPr>
          </w:p>
        </w:tc>
        <w:tc>
          <w:tcPr>
            <w:tcW w:w="1360" w:type="dxa"/>
            <w:vAlign w:val="bottom"/>
            <w:vMerge w:val="restart"/>
          </w:tcPr>
          <w:p>
            <w:pPr>
              <w:jc w:val="right"/>
              <w:ind w:right="61"/>
              <w:spacing w:after="0"/>
              <w:rPr>
                <w:sz w:val="20"/>
                <w:szCs w:val="20"/>
                <w:color w:val="auto"/>
              </w:rPr>
            </w:pPr>
            <w:r>
              <w:rPr>
                <w:rFonts w:ascii="Times New Roman" w:cs="Times New Roman" w:eastAsia="Times New Roman" w:hAnsi="Times New Roman"/>
                <w:sz w:val="12"/>
                <w:szCs w:val="12"/>
                <w:color w:val="auto"/>
              </w:rPr>
              <w:t>—</w:t>
            </w:r>
          </w:p>
        </w:tc>
        <w:tc>
          <w:tcPr>
            <w:tcW w:w="3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rPr>
              <w:t>4,393</w:t>
            </w:r>
          </w:p>
        </w:tc>
        <w:tc>
          <w:tcPr>
            <w:tcW w:w="0" w:type="dxa"/>
            <w:vAlign w:val="bottom"/>
          </w:tcPr>
          <w:p>
            <w:pPr>
              <w:spacing w:after="0"/>
              <w:rPr>
                <w:sz w:val="1"/>
                <w:szCs w:val="1"/>
                <w:color w:val="auto"/>
              </w:rPr>
            </w:pPr>
          </w:p>
        </w:tc>
      </w:tr>
      <w:tr>
        <w:trPr>
          <w:trHeight w:val="81"/>
        </w:trPr>
        <w:tc>
          <w:tcPr>
            <w:tcW w:w="314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88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120" w:type="dxa"/>
            <w:vAlign w:val="bottom"/>
          </w:tcPr>
          <w:p>
            <w:pPr>
              <w:spacing w:after="0"/>
              <w:rPr>
                <w:sz w:val="7"/>
                <w:szCs w:val="7"/>
                <w:color w:val="auto"/>
              </w:rPr>
            </w:pPr>
          </w:p>
        </w:tc>
        <w:tc>
          <w:tcPr>
            <w:tcW w:w="86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120" w:type="dxa"/>
            <w:vAlign w:val="bottom"/>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360" w:type="dxa"/>
            <w:vAlign w:val="bottom"/>
            <w:vMerge w:val="continue"/>
          </w:tcPr>
          <w:p>
            <w:pPr>
              <w:spacing w:after="0"/>
              <w:rPr>
                <w:sz w:val="7"/>
                <w:szCs w:val="7"/>
                <w:color w:val="auto"/>
              </w:rPr>
            </w:pPr>
          </w:p>
        </w:tc>
        <w:tc>
          <w:tcPr>
            <w:tcW w:w="360" w:type="dxa"/>
            <w:vAlign w:val="bottom"/>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3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3140" w:type="dxa"/>
            <w:vAlign w:val="bottom"/>
            <w:vMerge w:val="restart"/>
            <w:shd w:val="clear" w:color="auto" w:fill="CCEEFF"/>
          </w:tcPr>
          <w:p>
            <w:pPr>
              <w:ind w:left="220"/>
              <w:spacing w:after="0"/>
              <w:rPr>
                <w:sz w:val="20"/>
                <w:szCs w:val="20"/>
                <w:color w:val="auto"/>
              </w:rPr>
            </w:pPr>
            <w:r>
              <w:rPr>
                <w:rFonts w:ascii="Times New Roman" w:cs="Times New Roman" w:eastAsia="Times New Roman" w:hAnsi="Times New Roman"/>
                <w:sz w:val="12"/>
                <w:szCs w:val="12"/>
                <w:color w:val="auto"/>
              </w:rPr>
              <w:t>Trade accounts receivable - net</w:t>
            </w:r>
          </w:p>
        </w:tc>
        <w:tc>
          <w:tcPr>
            <w:tcW w:w="140" w:type="dxa"/>
            <w:vAlign w:val="bottom"/>
            <w:shd w:val="clear" w:color="auto" w:fill="CCEEFF"/>
          </w:tcPr>
          <w:p>
            <w:pPr>
              <w:spacing w:after="0"/>
              <w:rPr>
                <w:sz w:val="14"/>
                <w:szCs w:val="14"/>
                <w:color w:val="auto"/>
              </w:rPr>
            </w:pPr>
          </w:p>
        </w:tc>
        <w:tc>
          <w:tcPr>
            <w:tcW w:w="720" w:type="dxa"/>
            <w:vAlign w:val="bottom"/>
            <w:vMerge w:val="restart"/>
            <w:shd w:val="clear" w:color="auto" w:fill="CCEEFF"/>
          </w:tcPr>
          <w:p>
            <w:pPr>
              <w:jc w:val="right"/>
              <w:ind w:right="21"/>
              <w:spacing w:after="0"/>
              <w:rPr>
                <w:sz w:val="20"/>
                <w:szCs w:val="20"/>
                <w:color w:val="auto"/>
              </w:rPr>
            </w:pPr>
            <w:r>
              <w:rPr>
                <w:rFonts w:ascii="Times New Roman" w:cs="Times New Roman" w:eastAsia="Times New Roman" w:hAnsi="Times New Roman"/>
                <w:sz w:val="12"/>
                <w:szCs w:val="12"/>
                <w:color w:val="auto"/>
              </w:rPr>
              <w:t>346,680</w:t>
            </w:r>
          </w:p>
        </w:tc>
        <w:tc>
          <w:tcPr>
            <w:tcW w:w="160" w:type="dxa"/>
            <w:vAlign w:val="bottom"/>
            <w:shd w:val="clear" w:color="auto" w:fill="CCEEFF"/>
          </w:tcPr>
          <w:p>
            <w:pPr>
              <w:spacing w:after="0"/>
              <w:rPr>
                <w:sz w:val="14"/>
                <w:szCs w:val="14"/>
                <w:color w:val="auto"/>
              </w:rPr>
            </w:pPr>
          </w:p>
        </w:tc>
        <w:tc>
          <w:tcPr>
            <w:tcW w:w="720" w:type="dxa"/>
            <w:vAlign w:val="bottom"/>
            <w:vMerge w:val="restart"/>
            <w:shd w:val="clear" w:color="auto" w:fill="CCEEFF"/>
          </w:tcPr>
          <w:p>
            <w:pPr>
              <w:jc w:val="right"/>
              <w:ind w:right="21"/>
              <w:spacing w:after="0"/>
              <w:rPr>
                <w:sz w:val="20"/>
                <w:szCs w:val="20"/>
                <w:color w:val="auto"/>
              </w:rPr>
            </w:pPr>
            <w:r>
              <w:rPr>
                <w:rFonts w:ascii="Times New Roman" w:cs="Times New Roman" w:eastAsia="Times New Roman" w:hAnsi="Times New Roman"/>
                <w:sz w:val="12"/>
                <w:szCs w:val="12"/>
                <w:color w:val="auto"/>
              </w:rPr>
              <w:t>213,208</w:t>
            </w:r>
          </w:p>
        </w:tc>
        <w:tc>
          <w:tcPr>
            <w:tcW w:w="140" w:type="dxa"/>
            <w:vAlign w:val="bottom"/>
            <w:shd w:val="clear" w:color="auto" w:fill="CCEEFF"/>
          </w:tcPr>
          <w:p>
            <w:pPr>
              <w:spacing w:after="0"/>
              <w:rPr>
                <w:sz w:val="14"/>
                <w:szCs w:val="14"/>
                <w:color w:val="auto"/>
              </w:rPr>
            </w:pPr>
          </w:p>
        </w:tc>
        <w:tc>
          <w:tcPr>
            <w:tcW w:w="880" w:type="dxa"/>
            <w:vAlign w:val="bottom"/>
            <w:vMerge w:val="restart"/>
            <w:shd w:val="clear" w:color="auto" w:fill="CCEEFF"/>
          </w:tcPr>
          <w:p>
            <w:pPr>
              <w:jc w:val="right"/>
              <w:ind w:right="61"/>
              <w:spacing w:after="0"/>
              <w:rPr>
                <w:sz w:val="20"/>
                <w:szCs w:val="20"/>
                <w:color w:val="auto"/>
              </w:rPr>
            </w:pPr>
            <w:r>
              <w:rPr>
                <w:rFonts w:ascii="Times New Roman" w:cs="Times New Roman" w:eastAsia="Times New Roman" w:hAnsi="Times New Roman"/>
                <w:sz w:val="12"/>
                <w:szCs w:val="12"/>
                <w:color w:val="auto"/>
              </w:rPr>
              <w:t>—</w:t>
            </w:r>
          </w:p>
        </w:tc>
        <w:tc>
          <w:tcPr>
            <w:tcW w:w="2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60" w:type="dxa"/>
            <w:vAlign w:val="bottom"/>
            <w:vMerge w:val="restart"/>
            <w:shd w:val="clear" w:color="auto" w:fill="CCEEFF"/>
          </w:tcPr>
          <w:p>
            <w:pPr>
              <w:jc w:val="right"/>
              <w:ind w:right="41"/>
              <w:spacing w:after="0"/>
              <w:rPr>
                <w:sz w:val="20"/>
                <w:szCs w:val="20"/>
                <w:color w:val="auto"/>
              </w:rPr>
            </w:pPr>
            <w:r>
              <w:rPr>
                <w:rFonts w:ascii="Times New Roman" w:cs="Times New Roman" w:eastAsia="Times New Roman" w:hAnsi="Times New Roman"/>
                <w:sz w:val="12"/>
                <w:szCs w:val="12"/>
                <w:color w:val="auto"/>
              </w:rPr>
              <w:t>—</w:t>
            </w:r>
          </w:p>
        </w:tc>
        <w:tc>
          <w:tcPr>
            <w:tcW w:w="3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80" w:type="dxa"/>
            <w:vAlign w:val="bottom"/>
            <w:gridSpan w:val="2"/>
            <w:vMerge w:val="restart"/>
            <w:shd w:val="clear" w:color="auto" w:fill="CCEEFF"/>
          </w:tcPr>
          <w:p>
            <w:pPr>
              <w:ind w:left="640"/>
              <w:spacing w:after="0"/>
              <w:rPr>
                <w:sz w:val="20"/>
                <w:szCs w:val="20"/>
                <w:color w:val="auto"/>
              </w:rPr>
            </w:pPr>
            <w:r>
              <w:rPr>
                <w:rFonts w:ascii="Times New Roman" w:cs="Times New Roman" w:eastAsia="Times New Roman" w:hAnsi="Times New Roman"/>
                <w:sz w:val="12"/>
                <w:szCs w:val="12"/>
                <w:color w:val="auto"/>
              </w:rPr>
              <w:t>—</w:t>
            </w:r>
          </w:p>
        </w:tc>
        <w:tc>
          <w:tcPr>
            <w:tcW w:w="200" w:type="dxa"/>
            <w:vAlign w:val="bottom"/>
            <w:shd w:val="clear" w:color="auto" w:fill="CCEEFF"/>
          </w:tcPr>
          <w:p>
            <w:pPr>
              <w:spacing w:after="0"/>
              <w:rPr>
                <w:sz w:val="14"/>
                <w:szCs w:val="14"/>
                <w:color w:val="auto"/>
              </w:rPr>
            </w:pPr>
          </w:p>
        </w:tc>
        <w:tc>
          <w:tcPr>
            <w:tcW w:w="1360" w:type="dxa"/>
            <w:vAlign w:val="bottom"/>
            <w:vMerge w:val="restart"/>
            <w:shd w:val="clear" w:color="auto" w:fill="CCEEFF"/>
          </w:tcPr>
          <w:p>
            <w:pPr>
              <w:jc w:val="right"/>
              <w:ind w:right="61"/>
              <w:spacing w:after="0"/>
              <w:rPr>
                <w:sz w:val="20"/>
                <w:szCs w:val="20"/>
                <w:color w:val="auto"/>
              </w:rPr>
            </w:pPr>
            <w:r>
              <w:rPr>
                <w:rFonts w:ascii="Times New Roman" w:cs="Times New Roman" w:eastAsia="Times New Roman" w:hAnsi="Times New Roman"/>
                <w:sz w:val="12"/>
                <w:szCs w:val="12"/>
                <w:color w:val="auto"/>
              </w:rPr>
              <w:t>—</w:t>
            </w:r>
          </w:p>
        </w:tc>
        <w:tc>
          <w:tcPr>
            <w:tcW w:w="3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80" w:type="dxa"/>
            <w:vAlign w:val="bottom"/>
            <w:shd w:val="clear" w:color="auto" w:fill="CCEEFF"/>
          </w:tcPr>
          <w:p>
            <w:pPr>
              <w:jc w:val="right"/>
              <w:ind w:right="42"/>
              <w:spacing w:after="0"/>
              <w:rPr>
                <w:sz w:val="20"/>
                <w:szCs w:val="20"/>
                <w:color w:val="auto"/>
              </w:rPr>
            </w:pPr>
            <w:r>
              <w:rPr>
                <w:rFonts w:ascii="Times New Roman" w:cs="Times New Roman" w:eastAsia="Times New Roman" w:hAnsi="Times New Roman"/>
                <w:sz w:val="12"/>
                <w:szCs w:val="12"/>
                <w:color w:val="auto"/>
              </w:rPr>
              <w:t>559,888</w:t>
            </w:r>
          </w:p>
        </w:tc>
        <w:tc>
          <w:tcPr>
            <w:tcW w:w="0" w:type="dxa"/>
            <w:vAlign w:val="bottom"/>
          </w:tcPr>
          <w:p>
            <w:pPr>
              <w:spacing w:after="0"/>
              <w:rPr>
                <w:sz w:val="1"/>
                <w:szCs w:val="1"/>
                <w:color w:val="auto"/>
              </w:rPr>
            </w:pPr>
          </w:p>
        </w:tc>
      </w:tr>
      <w:tr>
        <w:trPr>
          <w:trHeight w:val="81"/>
        </w:trPr>
        <w:tc>
          <w:tcPr>
            <w:tcW w:w="3140" w:type="dxa"/>
            <w:vAlign w:val="bottom"/>
            <w:tcBorders>
              <w:bottom w:val="single" w:sz="8" w:color="CCEEFF"/>
            </w:tcBorders>
            <w:vMerge w:val="continue"/>
            <w:shd w:val="clear" w:color="auto" w:fill="CCEEFF"/>
          </w:tcPr>
          <w:p>
            <w:pPr>
              <w:spacing w:after="0"/>
              <w:rPr>
                <w:sz w:val="7"/>
                <w:szCs w:val="7"/>
                <w:color w:val="auto"/>
              </w:rPr>
            </w:pPr>
          </w:p>
        </w:tc>
        <w:tc>
          <w:tcPr>
            <w:tcW w:w="140" w:type="dxa"/>
            <w:vAlign w:val="bottom"/>
            <w:tcBorders>
              <w:bottom w:val="single" w:sz="8" w:color="CCEEFF"/>
            </w:tcBorders>
            <w:shd w:val="clear" w:color="auto" w:fill="CCEEFF"/>
          </w:tcPr>
          <w:p>
            <w:pPr>
              <w:spacing w:after="0"/>
              <w:rPr>
                <w:sz w:val="7"/>
                <w:szCs w:val="7"/>
                <w:color w:val="auto"/>
              </w:rPr>
            </w:pPr>
          </w:p>
        </w:tc>
        <w:tc>
          <w:tcPr>
            <w:tcW w:w="720" w:type="dxa"/>
            <w:vAlign w:val="bottom"/>
            <w:tcBorders>
              <w:bottom w:val="single" w:sz="8" w:color="CCEEFF"/>
            </w:tcBorders>
            <w:vMerge w:val="continue"/>
            <w:shd w:val="clear" w:color="auto" w:fill="CCEEFF"/>
          </w:tcPr>
          <w:p>
            <w:pPr>
              <w:spacing w:after="0"/>
              <w:rPr>
                <w:sz w:val="7"/>
                <w:szCs w:val="7"/>
                <w:color w:val="auto"/>
              </w:rPr>
            </w:pPr>
          </w:p>
        </w:tc>
        <w:tc>
          <w:tcPr>
            <w:tcW w:w="160" w:type="dxa"/>
            <w:vAlign w:val="bottom"/>
            <w:tcBorders>
              <w:bottom w:val="single" w:sz="8" w:color="CCEEFF"/>
            </w:tcBorders>
            <w:shd w:val="clear" w:color="auto" w:fill="CCEEFF"/>
          </w:tcPr>
          <w:p>
            <w:pPr>
              <w:spacing w:after="0"/>
              <w:rPr>
                <w:sz w:val="7"/>
                <w:szCs w:val="7"/>
                <w:color w:val="auto"/>
              </w:rPr>
            </w:pPr>
          </w:p>
        </w:tc>
        <w:tc>
          <w:tcPr>
            <w:tcW w:w="720" w:type="dxa"/>
            <w:vAlign w:val="bottom"/>
            <w:tcBorders>
              <w:bottom w:val="single" w:sz="8" w:color="CCEEFF"/>
            </w:tcBorders>
            <w:vMerge w:val="continue"/>
            <w:shd w:val="clear" w:color="auto" w:fill="CCEEFF"/>
          </w:tcPr>
          <w:p>
            <w:pPr>
              <w:spacing w:after="0"/>
              <w:rPr>
                <w:sz w:val="7"/>
                <w:szCs w:val="7"/>
                <w:color w:val="auto"/>
              </w:rPr>
            </w:pPr>
          </w:p>
        </w:tc>
        <w:tc>
          <w:tcPr>
            <w:tcW w:w="140" w:type="dxa"/>
            <w:vAlign w:val="bottom"/>
            <w:tcBorders>
              <w:bottom w:val="single" w:sz="8" w:color="CCEEFF"/>
            </w:tcBorders>
            <w:shd w:val="clear" w:color="auto" w:fill="CCEEFF"/>
          </w:tcPr>
          <w:p>
            <w:pPr>
              <w:spacing w:after="0"/>
              <w:rPr>
                <w:sz w:val="7"/>
                <w:szCs w:val="7"/>
                <w:color w:val="auto"/>
              </w:rPr>
            </w:pPr>
          </w:p>
        </w:tc>
        <w:tc>
          <w:tcPr>
            <w:tcW w:w="880" w:type="dxa"/>
            <w:vAlign w:val="bottom"/>
            <w:tcBorders>
              <w:bottom w:val="single" w:sz="8" w:color="CCEEFF"/>
            </w:tcBorders>
            <w:vMerge w:val="continue"/>
            <w:shd w:val="clear" w:color="auto" w:fill="CCEEFF"/>
          </w:tcPr>
          <w:p>
            <w:pPr>
              <w:spacing w:after="0"/>
              <w:rPr>
                <w:sz w:val="7"/>
                <w:szCs w:val="7"/>
                <w:color w:val="auto"/>
              </w:rPr>
            </w:pPr>
          </w:p>
        </w:tc>
        <w:tc>
          <w:tcPr>
            <w:tcW w:w="220" w:type="dxa"/>
            <w:vAlign w:val="bottom"/>
            <w:tcBorders>
              <w:bottom w:val="single" w:sz="8" w:color="CCEEFF"/>
            </w:tcBorders>
            <w:shd w:val="clear" w:color="auto" w:fill="CCEEFF"/>
          </w:tcPr>
          <w:p>
            <w:pPr>
              <w:spacing w:after="0"/>
              <w:rPr>
                <w:sz w:val="7"/>
                <w:szCs w:val="7"/>
                <w:color w:val="auto"/>
              </w:rPr>
            </w:pPr>
          </w:p>
        </w:tc>
        <w:tc>
          <w:tcPr>
            <w:tcW w:w="120" w:type="dxa"/>
            <w:vAlign w:val="bottom"/>
            <w:tcBorders>
              <w:bottom w:val="single" w:sz="8" w:color="CCEEFF"/>
            </w:tcBorders>
            <w:shd w:val="clear" w:color="auto" w:fill="CCEEFF"/>
          </w:tcPr>
          <w:p>
            <w:pPr>
              <w:spacing w:after="0"/>
              <w:rPr>
                <w:sz w:val="7"/>
                <w:szCs w:val="7"/>
                <w:color w:val="auto"/>
              </w:rPr>
            </w:pPr>
          </w:p>
        </w:tc>
        <w:tc>
          <w:tcPr>
            <w:tcW w:w="860" w:type="dxa"/>
            <w:vAlign w:val="bottom"/>
            <w:tcBorders>
              <w:bottom w:val="single" w:sz="8" w:color="CCEEFF"/>
            </w:tcBorders>
            <w:vMerge w:val="continue"/>
            <w:shd w:val="clear" w:color="auto" w:fill="CCEEFF"/>
          </w:tcPr>
          <w:p>
            <w:pPr>
              <w:spacing w:after="0"/>
              <w:rPr>
                <w:sz w:val="7"/>
                <w:szCs w:val="7"/>
                <w:color w:val="auto"/>
              </w:rPr>
            </w:pPr>
          </w:p>
        </w:tc>
        <w:tc>
          <w:tcPr>
            <w:tcW w:w="320" w:type="dxa"/>
            <w:vAlign w:val="bottom"/>
            <w:tcBorders>
              <w:bottom w:val="single" w:sz="8" w:color="CCEEFF"/>
            </w:tcBorders>
            <w:shd w:val="clear" w:color="auto" w:fill="CCEEFF"/>
          </w:tcPr>
          <w:p>
            <w:pPr>
              <w:spacing w:after="0"/>
              <w:rPr>
                <w:sz w:val="7"/>
                <w:szCs w:val="7"/>
                <w:color w:val="auto"/>
              </w:rPr>
            </w:pPr>
          </w:p>
        </w:tc>
        <w:tc>
          <w:tcPr>
            <w:tcW w:w="120" w:type="dxa"/>
            <w:vAlign w:val="bottom"/>
            <w:tcBorders>
              <w:bottom w:val="single" w:sz="8" w:color="CCEEFF"/>
            </w:tcBorders>
            <w:shd w:val="clear" w:color="auto" w:fill="CCEEFF"/>
          </w:tcPr>
          <w:p>
            <w:pPr>
              <w:spacing w:after="0"/>
              <w:rPr>
                <w:sz w:val="7"/>
                <w:szCs w:val="7"/>
                <w:color w:val="auto"/>
              </w:rPr>
            </w:pPr>
          </w:p>
        </w:tc>
        <w:tc>
          <w:tcPr>
            <w:tcW w:w="980" w:type="dxa"/>
            <w:vAlign w:val="bottom"/>
            <w:tcBorders>
              <w:bottom w:val="single" w:sz="8" w:color="CCEEFF"/>
            </w:tcBorders>
            <w:gridSpan w:val="2"/>
            <w:vMerge w:val="continue"/>
            <w:shd w:val="clear" w:color="auto" w:fill="CCEEFF"/>
          </w:tcPr>
          <w:p>
            <w:pPr>
              <w:spacing w:after="0"/>
              <w:rPr>
                <w:sz w:val="7"/>
                <w:szCs w:val="7"/>
                <w:color w:val="auto"/>
              </w:rPr>
            </w:pPr>
          </w:p>
        </w:tc>
        <w:tc>
          <w:tcPr>
            <w:tcW w:w="200" w:type="dxa"/>
            <w:vAlign w:val="bottom"/>
            <w:tcBorders>
              <w:bottom w:val="single" w:sz="8" w:color="CCEEFF"/>
            </w:tcBorders>
            <w:shd w:val="clear" w:color="auto" w:fill="CCEEFF"/>
          </w:tcPr>
          <w:p>
            <w:pPr>
              <w:spacing w:after="0"/>
              <w:rPr>
                <w:sz w:val="7"/>
                <w:szCs w:val="7"/>
                <w:color w:val="auto"/>
              </w:rPr>
            </w:pPr>
          </w:p>
        </w:tc>
        <w:tc>
          <w:tcPr>
            <w:tcW w:w="1360" w:type="dxa"/>
            <w:vAlign w:val="bottom"/>
            <w:tcBorders>
              <w:bottom w:val="single" w:sz="8" w:color="CCEEFF"/>
            </w:tcBorders>
            <w:vMerge w:val="continue"/>
            <w:shd w:val="clear" w:color="auto" w:fill="CCEEFF"/>
          </w:tcPr>
          <w:p>
            <w:pPr>
              <w:spacing w:after="0"/>
              <w:rPr>
                <w:sz w:val="7"/>
                <w:szCs w:val="7"/>
                <w:color w:val="auto"/>
              </w:rPr>
            </w:pPr>
          </w:p>
        </w:tc>
        <w:tc>
          <w:tcPr>
            <w:tcW w:w="360" w:type="dxa"/>
            <w:vAlign w:val="bottom"/>
            <w:tcBorders>
              <w:bottom w:val="single" w:sz="8" w:color="CCEEFF"/>
            </w:tcBorders>
            <w:shd w:val="clear" w:color="auto" w:fill="CCEEFF"/>
          </w:tcPr>
          <w:p>
            <w:pPr>
              <w:spacing w:after="0"/>
              <w:rPr>
                <w:sz w:val="7"/>
                <w:szCs w:val="7"/>
                <w:color w:val="auto"/>
              </w:rPr>
            </w:pPr>
          </w:p>
        </w:tc>
        <w:tc>
          <w:tcPr>
            <w:tcW w:w="160" w:type="dxa"/>
            <w:vAlign w:val="bottom"/>
            <w:tcBorders>
              <w:bottom w:val="single" w:sz="8" w:color="CCEEFF"/>
            </w:tcBorders>
            <w:shd w:val="clear" w:color="auto" w:fill="CCEEFF"/>
          </w:tcPr>
          <w:p>
            <w:pPr>
              <w:spacing w:after="0"/>
              <w:rPr>
                <w:sz w:val="7"/>
                <w:szCs w:val="7"/>
                <w:color w:val="auto"/>
              </w:rPr>
            </w:pPr>
          </w:p>
        </w:tc>
        <w:tc>
          <w:tcPr>
            <w:tcW w:w="580" w:type="dxa"/>
            <w:vAlign w:val="bottom"/>
            <w:tcBorders>
              <w:bottom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69"/>
        </w:trPr>
        <w:tc>
          <w:tcPr>
            <w:tcW w:w="3140" w:type="dxa"/>
            <w:vAlign w:val="bottom"/>
            <w:vMerge w:val="restart"/>
          </w:tcPr>
          <w:p>
            <w:pPr>
              <w:ind w:left="220"/>
              <w:spacing w:after="0"/>
              <w:rPr>
                <w:sz w:val="20"/>
                <w:szCs w:val="20"/>
                <w:color w:val="auto"/>
              </w:rPr>
            </w:pPr>
            <w:r>
              <w:rPr>
                <w:rFonts w:ascii="Times New Roman" w:cs="Times New Roman" w:eastAsia="Times New Roman" w:hAnsi="Times New Roman"/>
                <w:sz w:val="12"/>
                <w:szCs w:val="12"/>
                <w:color w:val="auto"/>
              </w:rPr>
              <w:t>Inventories</w:t>
            </w:r>
          </w:p>
        </w:tc>
        <w:tc>
          <w:tcPr>
            <w:tcW w:w="140" w:type="dxa"/>
            <w:vAlign w:val="bottom"/>
          </w:tcPr>
          <w:p>
            <w:pPr>
              <w:spacing w:after="0"/>
              <w:rPr>
                <w:sz w:val="14"/>
                <w:szCs w:val="14"/>
                <w:color w:val="auto"/>
              </w:rPr>
            </w:pPr>
          </w:p>
        </w:tc>
        <w:tc>
          <w:tcPr>
            <w:tcW w:w="720" w:type="dxa"/>
            <w:vAlign w:val="bottom"/>
            <w:vMerge w:val="restart"/>
          </w:tcPr>
          <w:p>
            <w:pPr>
              <w:jc w:val="right"/>
              <w:ind w:right="21"/>
              <w:spacing w:after="0"/>
              <w:rPr>
                <w:sz w:val="20"/>
                <w:szCs w:val="20"/>
                <w:color w:val="auto"/>
              </w:rPr>
            </w:pPr>
            <w:r>
              <w:rPr>
                <w:rFonts w:ascii="Times New Roman" w:cs="Times New Roman" w:eastAsia="Times New Roman" w:hAnsi="Times New Roman"/>
                <w:sz w:val="12"/>
                <w:szCs w:val="12"/>
                <w:color w:val="auto"/>
              </w:rPr>
              <w:t>327,886</w:t>
            </w:r>
          </w:p>
        </w:tc>
        <w:tc>
          <w:tcPr>
            <w:tcW w:w="160" w:type="dxa"/>
            <w:vAlign w:val="bottom"/>
          </w:tcPr>
          <w:p>
            <w:pPr>
              <w:spacing w:after="0"/>
              <w:rPr>
                <w:sz w:val="14"/>
                <w:szCs w:val="14"/>
                <w:color w:val="auto"/>
              </w:rPr>
            </w:pPr>
          </w:p>
        </w:tc>
        <w:tc>
          <w:tcPr>
            <w:tcW w:w="720" w:type="dxa"/>
            <w:vAlign w:val="bottom"/>
            <w:vMerge w:val="restart"/>
          </w:tcPr>
          <w:p>
            <w:pPr>
              <w:jc w:val="right"/>
              <w:ind w:right="21"/>
              <w:spacing w:after="0"/>
              <w:rPr>
                <w:sz w:val="20"/>
                <w:szCs w:val="20"/>
                <w:color w:val="auto"/>
              </w:rPr>
            </w:pPr>
            <w:r>
              <w:rPr>
                <w:rFonts w:ascii="Times New Roman" w:cs="Times New Roman" w:eastAsia="Times New Roman" w:hAnsi="Times New Roman"/>
                <w:sz w:val="12"/>
                <w:szCs w:val="12"/>
                <w:color w:val="auto"/>
              </w:rPr>
              <w:t>158,591</w:t>
            </w:r>
          </w:p>
        </w:tc>
        <w:tc>
          <w:tcPr>
            <w:tcW w:w="140" w:type="dxa"/>
            <w:vAlign w:val="bottom"/>
          </w:tcPr>
          <w:p>
            <w:pPr>
              <w:spacing w:after="0"/>
              <w:rPr>
                <w:sz w:val="14"/>
                <w:szCs w:val="14"/>
                <w:color w:val="auto"/>
              </w:rPr>
            </w:pPr>
          </w:p>
        </w:tc>
        <w:tc>
          <w:tcPr>
            <w:tcW w:w="880" w:type="dxa"/>
            <w:vAlign w:val="bottom"/>
          </w:tcPr>
          <w:p>
            <w:pPr>
              <w:jc w:val="right"/>
              <w:ind w:right="41"/>
              <w:spacing w:after="0"/>
              <w:rPr>
                <w:sz w:val="20"/>
                <w:szCs w:val="20"/>
                <w:color w:val="auto"/>
              </w:rPr>
            </w:pPr>
            <w:r>
              <w:rPr>
                <w:rFonts w:ascii="Times New Roman" w:cs="Times New Roman" w:eastAsia="Times New Roman" w:hAnsi="Times New Roman"/>
                <w:sz w:val="12"/>
                <w:szCs w:val="12"/>
                <w:color w:val="auto"/>
              </w:rPr>
              <w:t>8,509</w:t>
            </w:r>
          </w:p>
        </w:tc>
        <w:tc>
          <w:tcPr>
            <w:tcW w:w="340" w:type="dxa"/>
            <w:vAlign w:val="bottom"/>
            <w:gridSpan w:val="2"/>
          </w:tcPr>
          <w:p>
            <w:pPr>
              <w:ind w:left="60"/>
              <w:spacing w:after="0"/>
              <w:rPr>
                <w:sz w:val="20"/>
                <w:szCs w:val="20"/>
                <w:color w:val="auto"/>
              </w:rPr>
            </w:pPr>
            <w:r>
              <w:rPr>
                <w:rFonts w:ascii="Times New Roman" w:cs="Times New Roman" w:eastAsia="Times New Roman" w:hAnsi="Times New Roman"/>
                <w:sz w:val="12"/>
                <w:szCs w:val="12"/>
                <w:color w:val="auto"/>
              </w:rPr>
              <w:t>(b)</w:t>
            </w:r>
          </w:p>
        </w:tc>
        <w:tc>
          <w:tcPr>
            <w:tcW w:w="860" w:type="dxa"/>
            <w:vAlign w:val="bottom"/>
            <w:vMerge w:val="restart"/>
          </w:tcPr>
          <w:p>
            <w:pPr>
              <w:jc w:val="right"/>
              <w:ind w:right="41"/>
              <w:spacing w:after="0"/>
              <w:rPr>
                <w:sz w:val="20"/>
                <w:szCs w:val="20"/>
                <w:color w:val="auto"/>
              </w:rPr>
            </w:pPr>
            <w:r>
              <w:rPr>
                <w:rFonts w:ascii="Times New Roman" w:cs="Times New Roman" w:eastAsia="Times New Roman" w:hAnsi="Times New Roman"/>
                <w:sz w:val="12"/>
                <w:szCs w:val="12"/>
                <w:color w:val="auto"/>
              </w:rPr>
              <w:t>—</w:t>
            </w: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gridSpan w:val="2"/>
            <w:vMerge w:val="restart"/>
          </w:tcPr>
          <w:p>
            <w:pPr>
              <w:ind w:left="640"/>
              <w:spacing w:after="0"/>
              <w:rPr>
                <w:sz w:val="20"/>
                <w:szCs w:val="20"/>
                <w:color w:val="auto"/>
              </w:rPr>
            </w:pPr>
            <w:r>
              <w:rPr>
                <w:rFonts w:ascii="Times New Roman" w:cs="Times New Roman" w:eastAsia="Times New Roman" w:hAnsi="Times New Roman"/>
                <w:sz w:val="12"/>
                <w:szCs w:val="12"/>
                <w:color w:val="auto"/>
              </w:rPr>
              <w:t>—</w:t>
            </w:r>
          </w:p>
        </w:tc>
        <w:tc>
          <w:tcPr>
            <w:tcW w:w="200" w:type="dxa"/>
            <w:vAlign w:val="bottom"/>
          </w:tcPr>
          <w:p>
            <w:pPr>
              <w:spacing w:after="0"/>
              <w:rPr>
                <w:sz w:val="14"/>
                <w:szCs w:val="14"/>
                <w:color w:val="auto"/>
              </w:rPr>
            </w:pPr>
          </w:p>
        </w:tc>
        <w:tc>
          <w:tcPr>
            <w:tcW w:w="1360" w:type="dxa"/>
            <w:vAlign w:val="bottom"/>
            <w:vMerge w:val="restart"/>
          </w:tcPr>
          <w:p>
            <w:pPr>
              <w:jc w:val="right"/>
              <w:ind w:right="61"/>
              <w:spacing w:after="0"/>
              <w:rPr>
                <w:sz w:val="20"/>
                <w:szCs w:val="20"/>
                <w:color w:val="auto"/>
              </w:rPr>
            </w:pPr>
            <w:r>
              <w:rPr>
                <w:rFonts w:ascii="Times New Roman" w:cs="Times New Roman" w:eastAsia="Times New Roman" w:hAnsi="Times New Roman"/>
                <w:sz w:val="12"/>
                <w:szCs w:val="12"/>
                <w:color w:val="auto"/>
              </w:rPr>
              <w:t>—</w:t>
            </w:r>
          </w:p>
        </w:tc>
        <w:tc>
          <w:tcPr>
            <w:tcW w:w="3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rPr>
              <w:t>494,986</w:t>
            </w:r>
          </w:p>
        </w:tc>
        <w:tc>
          <w:tcPr>
            <w:tcW w:w="0" w:type="dxa"/>
            <w:vAlign w:val="bottom"/>
          </w:tcPr>
          <w:p>
            <w:pPr>
              <w:spacing w:after="0"/>
              <w:rPr>
                <w:sz w:val="1"/>
                <w:szCs w:val="1"/>
                <w:color w:val="auto"/>
              </w:rPr>
            </w:pPr>
          </w:p>
        </w:tc>
      </w:tr>
      <w:tr>
        <w:trPr>
          <w:trHeight w:val="81"/>
        </w:trPr>
        <w:tc>
          <w:tcPr>
            <w:tcW w:w="314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880" w:type="dxa"/>
            <w:vAlign w:val="bottom"/>
          </w:tcPr>
          <w:p>
            <w:pPr>
              <w:spacing w:after="0"/>
              <w:rPr>
                <w:sz w:val="7"/>
                <w:szCs w:val="7"/>
                <w:color w:val="auto"/>
              </w:rPr>
            </w:pPr>
          </w:p>
        </w:tc>
        <w:tc>
          <w:tcPr>
            <w:tcW w:w="220" w:type="dxa"/>
            <w:vAlign w:val="bottom"/>
          </w:tcPr>
          <w:p>
            <w:pPr>
              <w:spacing w:after="0"/>
              <w:rPr>
                <w:sz w:val="7"/>
                <w:szCs w:val="7"/>
                <w:color w:val="auto"/>
              </w:rPr>
            </w:pPr>
          </w:p>
        </w:tc>
        <w:tc>
          <w:tcPr>
            <w:tcW w:w="120" w:type="dxa"/>
            <w:vAlign w:val="bottom"/>
          </w:tcPr>
          <w:p>
            <w:pPr>
              <w:spacing w:after="0"/>
              <w:rPr>
                <w:sz w:val="7"/>
                <w:szCs w:val="7"/>
                <w:color w:val="auto"/>
              </w:rPr>
            </w:pPr>
          </w:p>
        </w:tc>
        <w:tc>
          <w:tcPr>
            <w:tcW w:w="86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120" w:type="dxa"/>
            <w:vAlign w:val="bottom"/>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360" w:type="dxa"/>
            <w:vAlign w:val="bottom"/>
            <w:vMerge w:val="continue"/>
          </w:tcPr>
          <w:p>
            <w:pPr>
              <w:spacing w:after="0"/>
              <w:rPr>
                <w:sz w:val="7"/>
                <w:szCs w:val="7"/>
                <w:color w:val="auto"/>
              </w:rPr>
            </w:pPr>
          </w:p>
        </w:tc>
        <w:tc>
          <w:tcPr>
            <w:tcW w:w="360" w:type="dxa"/>
            <w:vAlign w:val="bottom"/>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3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3140" w:type="dxa"/>
            <w:vAlign w:val="bottom"/>
            <w:vMerge w:val="restart"/>
            <w:shd w:val="clear" w:color="auto" w:fill="CCEEFF"/>
          </w:tcPr>
          <w:p>
            <w:pPr>
              <w:ind w:left="220"/>
              <w:spacing w:after="0"/>
              <w:rPr>
                <w:sz w:val="20"/>
                <w:szCs w:val="20"/>
                <w:color w:val="auto"/>
              </w:rPr>
            </w:pPr>
            <w:r>
              <w:rPr>
                <w:rFonts w:ascii="Times New Roman" w:cs="Times New Roman" w:eastAsia="Times New Roman" w:hAnsi="Times New Roman"/>
                <w:sz w:val="12"/>
                <w:szCs w:val="12"/>
                <w:color w:val="auto"/>
              </w:rPr>
              <w:t>Prepaid expenses and other current assets</w:t>
            </w:r>
          </w:p>
        </w:tc>
        <w:tc>
          <w:tcPr>
            <w:tcW w:w="140" w:type="dxa"/>
            <w:vAlign w:val="bottom"/>
            <w:shd w:val="clear" w:color="auto" w:fill="CCEEFF"/>
          </w:tcPr>
          <w:p>
            <w:pPr>
              <w:spacing w:after="0"/>
              <w:rPr>
                <w:sz w:val="14"/>
                <w:szCs w:val="14"/>
                <w:color w:val="auto"/>
              </w:rPr>
            </w:pPr>
          </w:p>
        </w:tc>
        <w:tc>
          <w:tcPr>
            <w:tcW w:w="720" w:type="dxa"/>
            <w:vAlign w:val="bottom"/>
            <w:vMerge w:val="restart"/>
            <w:shd w:val="clear" w:color="auto" w:fill="CCEEFF"/>
          </w:tcPr>
          <w:p>
            <w:pPr>
              <w:jc w:val="right"/>
              <w:ind w:right="21"/>
              <w:spacing w:after="0"/>
              <w:rPr>
                <w:sz w:val="20"/>
                <w:szCs w:val="20"/>
                <w:color w:val="auto"/>
              </w:rPr>
            </w:pPr>
            <w:r>
              <w:rPr>
                <w:rFonts w:ascii="Times New Roman" w:cs="Times New Roman" w:eastAsia="Times New Roman" w:hAnsi="Times New Roman"/>
                <w:sz w:val="12"/>
                <w:szCs w:val="12"/>
                <w:color w:val="auto"/>
              </w:rPr>
              <w:t>37,299</w:t>
            </w:r>
          </w:p>
        </w:tc>
        <w:tc>
          <w:tcPr>
            <w:tcW w:w="160" w:type="dxa"/>
            <w:vAlign w:val="bottom"/>
            <w:shd w:val="clear" w:color="auto" w:fill="CCEEFF"/>
          </w:tcPr>
          <w:p>
            <w:pPr>
              <w:spacing w:after="0"/>
              <w:rPr>
                <w:sz w:val="14"/>
                <w:szCs w:val="14"/>
                <w:color w:val="auto"/>
              </w:rPr>
            </w:pPr>
          </w:p>
        </w:tc>
        <w:tc>
          <w:tcPr>
            <w:tcW w:w="720" w:type="dxa"/>
            <w:vAlign w:val="bottom"/>
            <w:vMerge w:val="restart"/>
            <w:shd w:val="clear" w:color="auto" w:fill="CCEEFF"/>
          </w:tcPr>
          <w:p>
            <w:pPr>
              <w:jc w:val="right"/>
              <w:ind w:right="21"/>
              <w:spacing w:after="0"/>
              <w:rPr>
                <w:sz w:val="20"/>
                <w:szCs w:val="20"/>
                <w:color w:val="auto"/>
              </w:rPr>
            </w:pPr>
            <w:r>
              <w:rPr>
                <w:rFonts w:ascii="Times New Roman" w:cs="Times New Roman" w:eastAsia="Times New Roman" w:hAnsi="Times New Roman"/>
                <w:sz w:val="12"/>
                <w:szCs w:val="12"/>
                <w:color w:val="auto"/>
              </w:rPr>
              <w:t>88,505</w:t>
            </w:r>
          </w:p>
        </w:tc>
        <w:tc>
          <w:tcPr>
            <w:tcW w:w="140" w:type="dxa"/>
            <w:vAlign w:val="bottom"/>
            <w:shd w:val="clear" w:color="auto" w:fill="CCEEFF"/>
          </w:tcPr>
          <w:p>
            <w:pPr>
              <w:spacing w:after="0"/>
              <w:rPr>
                <w:sz w:val="14"/>
                <w:szCs w:val="14"/>
                <w:color w:val="auto"/>
              </w:rPr>
            </w:pPr>
          </w:p>
        </w:tc>
        <w:tc>
          <w:tcPr>
            <w:tcW w:w="880" w:type="dxa"/>
            <w:vAlign w:val="bottom"/>
            <w:shd w:val="clear" w:color="auto" w:fill="CCEEFF"/>
          </w:tcPr>
          <w:p>
            <w:pPr>
              <w:jc w:val="right"/>
              <w:ind w:right="41"/>
              <w:spacing w:after="0"/>
              <w:rPr>
                <w:sz w:val="20"/>
                <w:szCs w:val="20"/>
                <w:color w:val="auto"/>
              </w:rPr>
            </w:pPr>
            <w:r>
              <w:rPr>
                <w:rFonts w:ascii="Times New Roman" w:cs="Times New Roman" w:eastAsia="Times New Roman" w:hAnsi="Times New Roman"/>
                <w:sz w:val="12"/>
                <w:szCs w:val="12"/>
                <w:color w:val="auto"/>
              </w:rPr>
              <w:t>1,521</w:t>
            </w:r>
          </w:p>
        </w:tc>
        <w:tc>
          <w:tcPr>
            <w:tcW w:w="340" w:type="dxa"/>
            <w:vAlign w:val="bottom"/>
            <w:gridSpan w:val="2"/>
            <w:shd w:val="clear" w:color="auto" w:fill="CCEEFF"/>
          </w:tcPr>
          <w:p>
            <w:pPr>
              <w:ind w:left="60"/>
              <w:spacing w:after="0"/>
              <w:rPr>
                <w:sz w:val="20"/>
                <w:szCs w:val="20"/>
                <w:color w:val="auto"/>
              </w:rPr>
            </w:pPr>
            <w:r>
              <w:rPr>
                <w:rFonts w:ascii="Times New Roman" w:cs="Times New Roman" w:eastAsia="Times New Roman" w:hAnsi="Times New Roman"/>
                <w:sz w:val="12"/>
                <w:szCs w:val="12"/>
                <w:color w:val="auto"/>
              </w:rPr>
              <w:t>(h)</w:t>
            </w:r>
          </w:p>
        </w:tc>
        <w:tc>
          <w:tcPr>
            <w:tcW w:w="860" w:type="dxa"/>
            <w:vAlign w:val="bottom"/>
            <w:vMerge w:val="restart"/>
            <w:shd w:val="clear" w:color="auto" w:fill="CCEEFF"/>
          </w:tcPr>
          <w:p>
            <w:pPr>
              <w:jc w:val="right"/>
              <w:ind w:right="41"/>
              <w:spacing w:after="0"/>
              <w:rPr>
                <w:sz w:val="20"/>
                <w:szCs w:val="20"/>
                <w:color w:val="auto"/>
              </w:rPr>
            </w:pPr>
            <w:r>
              <w:rPr>
                <w:rFonts w:ascii="Times New Roman" w:cs="Times New Roman" w:eastAsia="Times New Roman" w:hAnsi="Times New Roman"/>
                <w:sz w:val="12"/>
                <w:szCs w:val="12"/>
                <w:color w:val="auto"/>
              </w:rPr>
              <w:t>—</w:t>
            </w:r>
          </w:p>
        </w:tc>
        <w:tc>
          <w:tcPr>
            <w:tcW w:w="3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80" w:type="dxa"/>
            <w:vAlign w:val="bottom"/>
            <w:gridSpan w:val="2"/>
            <w:vMerge w:val="restart"/>
            <w:shd w:val="clear" w:color="auto" w:fill="CCEEFF"/>
          </w:tcPr>
          <w:p>
            <w:pPr>
              <w:ind w:left="640"/>
              <w:spacing w:after="0"/>
              <w:rPr>
                <w:sz w:val="20"/>
                <w:szCs w:val="20"/>
                <w:color w:val="auto"/>
              </w:rPr>
            </w:pPr>
            <w:r>
              <w:rPr>
                <w:rFonts w:ascii="Times New Roman" w:cs="Times New Roman" w:eastAsia="Times New Roman" w:hAnsi="Times New Roman"/>
                <w:sz w:val="12"/>
                <w:szCs w:val="12"/>
                <w:color w:val="auto"/>
              </w:rPr>
              <w:t>—</w:t>
            </w:r>
          </w:p>
        </w:tc>
        <w:tc>
          <w:tcPr>
            <w:tcW w:w="200" w:type="dxa"/>
            <w:vAlign w:val="bottom"/>
            <w:shd w:val="clear" w:color="auto" w:fill="CCEEFF"/>
          </w:tcPr>
          <w:p>
            <w:pPr>
              <w:spacing w:after="0"/>
              <w:rPr>
                <w:sz w:val="14"/>
                <w:szCs w:val="14"/>
                <w:color w:val="auto"/>
              </w:rPr>
            </w:pPr>
          </w:p>
        </w:tc>
        <w:tc>
          <w:tcPr>
            <w:tcW w:w="1360" w:type="dxa"/>
            <w:vAlign w:val="bottom"/>
            <w:vMerge w:val="restart"/>
            <w:shd w:val="clear" w:color="auto" w:fill="CCEEFF"/>
          </w:tcPr>
          <w:p>
            <w:pPr>
              <w:jc w:val="right"/>
              <w:ind w:right="61"/>
              <w:spacing w:after="0"/>
              <w:rPr>
                <w:sz w:val="20"/>
                <w:szCs w:val="20"/>
                <w:color w:val="auto"/>
              </w:rPr>
            </w:pPr>
            <w:r>
              <w:rPr>
                <w:rFonts w:ascii="Times New Roman" w:cs="Times New Roman" w:eastAsia="Times New Roman" w:hAnsi="Times New Roman"/>
                <w:sz w:val="12"/>
                <w:szCs w:val="12"/>
                <w:color w:val="auto"/>
              </w:rPr>
              <w:t>—</w:t>
            </w:r>
          </w:p>
        </w:tc>
        <w:tc>
          <w:tcPr>
            <w:tcW w:w="3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80" w:type="dxa"/>
            <w:vAlign w:val="bottom"/>
            <w:shd w:val="clear" w:color="auto" w:fill="CCEEFF"/>
          </w:tcPr>
          <w:p>
            <w:pPr>
              <w:jc w:val="right"/>
              <w:ind w:right="42"/>
              <w:spacing w:after="0"/>
              <w:rPr>
                <w:sz w:val="20"/>
                <w:szCs w:val="20"/>
                <w:color w:val="auto"/>
              </w:rPr>
            </w:pPr>
            <w:r>
              <w:rPr>
                <w:rFonts w:ascii="Times New Roman" w:cs="Times New Roman" w:eastAsia="Times New Roman" w:hAnsi="Times New Roman"/>
                <w:sz w:val="12"/>
                <w:szCs w:val="12"/>
                <w:color w:val="auto"/>
              </w:rPr>
              <w:t>127,325</w:t>
            </w:r>
          </w:p>
        </w:tc>
        <w:tc>
          <w:tcPr>
            <w:tcW w:w="0" w:type="dxa"/>
            <w:vAlign w:val="bottom"/>
          </w:tcPr>
          <w:p>
            <w:pPr>
              <w:spacing w:after="0"/>
              <w:rPr>
                <w:sz w:val="1"/>
                <w:szCs w:val="1"/>
                <w:color w:val="auto"/>
              </w:rPr>
            </w:pPr>
          </w:p>
        </w:tc>
      </w:tr>
      <w:tr>
        <w:trPr>
          <w:trHeight w:val="81"/>
        </w:trPr>
        <w:tc>
          <w:tcPr>
            <w:tcW w:w="3140" w:type="dxa"/>
            <w:vAlign w:val="bottom"/>
            <w:tcBorders>
              <w:bottom w:val="single" w:sz="8" w:color="CCEEFF"/>
            </w:tcBorders>
            <w:vMerge w:val="continue"/>
            <w:shd w:val="clear" w:color="auto" w:fill="CCEEFF"/>
          </w:tcPr>
          <w:p>
            <w:pPr>
              <w:spacing w:after="0"/>
              <w:rPr>
                <w:sz w:val="7"/>
                <w:szCs w:val="7"/>
                <w:color w:val="auto"/>
              </w:rPr>
            </w:pPr>
          </w:p>
        </w:tc>
        <w:tc>
          <w:tcPr>
            <w:tcW w:w="140" w:type="dxa"/>
            <w:vAlign w:val="bottom"/>
            <w:tcBorders>
              <w:bottom w:val="single" w:sz="8" w:color="CCEEFF"/>
            </w:tcBorders>
            <w:shd w:val="clear" w:color="auto" w:fill="CCEEFF"/>
          </w:tcPr>
          <w:p>
            <w:pPr>
              <w:spacing w:after="0"/>
              <w:rPr>
                <w:sz w:val="7"/>
                <w:szCs w:val="7"/>
                <w:color w:val="auto"/>
              </w:rPr>
            </w:pPr>
          </w:p>
        </w:tc>
        <w:tc>
          <w:tcPr>
            <w:tcW w:w="720" w:type="dxa"/>
            <w:vAlign w:val="bottom"/>
            <w:tcBorders>
              <w:bottom w:val="single" w:sz="8" w:color="CCEEFF"/>
            </w:tcBorders>
            <w:vMerge w:val="continue"/>
            <w:shd w:val="clear" w:color="auto" w:fill="CCEEFF"/>
          </w:tcPr>
          <w:p>
            <w:pPr>
              <w:spacing w:after="0"/>
              <w:rPr>
                <w:sz w:val="7"/>
                <w:szCs w:val="7"/>
                <w:color w:val="auto"/>
              </w:rPr>
            </w:pPr>
          </w:p>
        </w:tc>
        <w:tc>
          <w:tcPr>
            <w:tcW w:w="160" w:type="dxa"/>
            <w:vAlign w:val="bottom"/>
            <w:tcBorders>
              <w:bottom w:val="single" w:sz="8" w:color="CCEEFF"/>
            </w:tcBorders>
            <w:shd w:val="clear" w:color="auto" w:fill="CCEEFF"/>
          </w:tcPr>
          <w:p>
            <w:pPr>
              <w:spacing w:after="0"/>
              <w:rPr>
                <w:sz w:val="7"/>
                <w:szCs w:val="7"/>
                <w:color w:val="auto"/>
              </w:rPr>
            </w:pPr>
          </w:p>
        </w:tc>
        <w:tc>
          <w:tcPr>
            <w:tcW w:w="720" w:type="dxa"/>
            <w:vAlign w:val="bottom"/>
            <w:tcBorders>
              <w:bottom w:val="single" w:sz="8" w:color="CCEEFF"/>
            </w:tcBorders>
            <w:vMerge w:val="continue"/>
            <w:shd w:val="clear" w:color="auto" w:fill="CCEEFF"/>
          </w:tcPr>
          <w:p>
            <w:pPr>
              <w:spacing w:after="0"/>
              <w:rPr>
                <w:sz w:val="7"/>
                <w:szCs w:val="7"/>
                <w:color w:val="auto"/>
              </w:rPr>
            </w:pPr>
          </w:p>
        </w:tc>
        <w:tc>
          <w:tcPr>
            <w:tcW w:w="140" w:type="dxa"/>
            <w:vAlign w:val="bottom"/>
            <w:tcBorders>
              <w:bottom w:val="single" w:sz="8" w:color="CCEEFF"/>
            </w:tcBorders>
            <w:shd w:val="clear" w:color="auto" w:fill="CCEEFF"/>
          </w:tcPr>
          <w:p>
            <w:pPr>
              <w:spacing w:after="0"/>
              <w:rPr>
                <w:sz w:val="7"/>
                <w:szCs w:val="7"/>
                <w:color w:val="auto"/>
              </w:rPr>
            </w:pPr>
          </w:p>
        </w:tc>
        <w:tc>
          <w:tcPr>
            <w:tcW w:w="880" w:type="dxa"/>
            <w:vAlign w:val="bottom"/>
            <w:tcBorders>
              <w:bottom w:val="single" w:sz="8" w:color="CCEEFF"/>
            </w:tcBorders>
            <w:shd w:val="clear" w:color="auto" w:fill="CCEEFF"/>
          </w:tcPr>
          <w:p>
            <w:pPr>
              <w:spacing w:after="0"/>
              <w:rPr>
                <w:sz w:val="7"/>
                <w:szCs w:val="7"/>
                <w:color w:val="auto"/>
              </w:rPr>
            </w:pPr>
          </w:p>
        </w:tc>
        <w:tc>
          <w:tcPr>
            <w:tcW w:w="220" w:type="dxa"/>
            <w:vAlign w:val="bottom"/>
            <w:tcBorders>
              <w:bottom w:val="single" w:sz="8" w:color="CCEEFF"/>
            </w:tcBorders>
            <w:shd w:val="clear" w:color="auto" w:fill="CCEEFF"/>
          </w:tcPr>
          <w:p>
            <w:pPr>
              <w:spacing w:after="0"/>
              <w:rPr>
                <w:sz w:val="7"/>
                <w:szCs w:val="7"/>
                <w:color w:val="auto"/>
              </w:rPr>
            </w:pPr>
          </w:p>
        </w:tc>
        <w:tc>
          <w:tcPr>
            <w:tcW w:w="120" w:type="dxa"/>
            <w:vAlign w:val="bottom"/>
            <w:tcBorders>
              <w:bottom w:val="single" w:sz="8" w:color="CCEEFF"/>
            </w:tcBorders>
            <w:shd w:val="clear" w:color="auto" w:fill="CCEEFF"/>
          </w:tcPr>
          <w:p>
            <w:pPr>
              <w:spacing w:after="0"/>
              <w:rPr>
                <w:sz w:val="7"/>
                <w:szCs w:val="7"/>
                <w:color w:val="auto"/>
              </w:rPr>
            </w:pPr>
          </w:p>
        </w:tc>
        <w:tc>
          <w:tcPr>
            <w:tcW w:w="860" w:type="dxa"/>
            <w:vAlign w:val="bottom"/>
            <w:tcBorders>
              <w:bottom w:val="single" w:sz="8" w:color="CCEEFF"/>
            </w:tcBorders>
            <w:vMerge w:val="continue"/>
            <w:shd w:val="clear" w:color="auto" w:fill="CCEEFF"/>
          </w:tcPr>
          <w:p>
            <w:pPr>
              <w:spacing w:after="0"/>
              <w:rPr>
                <w:sz w:val="7"/>
                <w:szCs w:val="7"/>
                <w:color w:val="auto"/>
              </w:rPr>
            </w:pPr>
          </w:p>
        </w:tc>
        <w:tc>
          <w:tcPr>
            <w:tcW w:w="320" w:type="dxa"/>
            <w:vAlign w:val="bottom"/>
            <w:tcBorders>
              <w:bottom w:val="single" w:sz="8" w:color="CCEEFF"/>
            </w:tcBorders>
            <w:shd w:val="clear" w:color="auto" w:fill="CCEEFF"/>
          </w:tcPr>
          <w:p>
            <w:pPr>
              <w:spacing w:after="0"/>
              <w:rPr>
                <w:sz w:val="7"/>
                <w:szCs w:val="7"/>
                <w:color w:val="auto"/>
              </w:rPr>
            </w:pPr>
          </w:p>
        </w:tc>
        <w:tc>
          <w:tcPr>
            <w:tcW w:w="120" w:type="dxa"/>
            <w:vAlign w:val="bottom"/>
            <w:tcBorders>
              <w:bottom w:val="single" w:sz="8" w:color="CCEEFF"/>
            </w:tcBorders>
            <w:shd w:val="clear" w:color="auto" w:fill="CCEEFF"/>
          </w:tcPr>
          <w:p>
            <w:pPr>
              <w:spacing w:after="0"/>
              <w:rPr>
                <w:sz w:val="7"/>
                <w:szCs w:val="7"/>
                <w:color w:val="auto"/>
              </w:rPr>
            </w:pPr>
          </w:p>
        </w:tc>
        <w:tc>
          <w:tcPr>
            <w:tcW w:w="980" w:type="dxa"/>
            <w:vAlign w:val="bottom"/>
            <w:tcBorders>
              <w:bottom w:val="single" w:sz="8" w:color="CCEEFF"/>
            </w:tcBorders>
            <w:gridSpan w:val="2"/>
            <w:vMerge w:val="continue"/>
            <w:shd w:val="clear" w:color="auto" w:fill="CCEEFF"/>
          </w:tcPr>
          <w:p>
            <w:pPr>
              <w:spacing w:after="0"/>
              <w:rPr>
                <w:sz w:val="7"/>
                <w:szCs w:val="7"/>
                <w:color w:val="auto"/>
              </w:rPr>
            </w:pPr>
          </w:p>
        </w:tc>
        <w:tc>
          <w:tcPr>
            <w:tcW w:w="200" w:type="dxa"/>
            <w:vAlign w:val="bottom"/>
            <w:tcBorders>
              <w:bottom w:val="single" w:sz="8" w:color="CCEEFF"/>
            </w:tcBorders>
            <w:shd w:val="clear" w:color="auto" w:fill="CCEEFF"/>
          </w:tcPr>
          <w:p>
            <w:pPr>
              <w:spacing w:after="0"/>
              <w:rPr>
                <w:sz w:val="7"/>
                <w:szCs w:val="7"/>
                <w:color w:val="auto"/>
              </w:rPr>
            </w:pPr>
          </w:p>
        </w:tc>
        <w:tc>
          <w:tcPr>
            <w:tcW w:w="1360" w:type="dxa"/>
            <w:vAlign w:val="bottom"/>
            <w:tcBorders>
              <w:bottom w:val="single" w:sz="8" w:color="CCEEFF"/>
            </w:tcBorders>
            <w:vMerge w:val="continue"/>
            <w:shd w:val="clear" w:color="auto" w:fill="CCEEFF"/>
          </w:tcPr>
          <w:p>
            <w:pPr>
              <w:spacing w:after="0"/>
              <w:rPr>
                <w:sz w:val="7"/>
                <w:szCs w:val="7"/>
                <w:color w:val="auto"/>
              </w:rPr>
            </w:pPr>
          </w:p>
        </w:tc>
        <w:tc>
          <w:tcPr>
            <w:tcW w:w="360" w:type="dxa"/>
            <w:vAlign w:val="bottom"/>
            <w:tcBorders>
              <w:bottom w:val="single" w:sz="8" w:color="CCEEFF"/>
            </w:tcBorders>
            <w:shd w:val="clear" w:color="auto" w:fill="CCEEFF"/>
          </w:tcPr>
          <w:p>
            <w:pPr>
              <w:spacing w:after="0"/>
              <w:rPr>
                <w:sz w:val="7"/>
                <w:szCs w:val="7"/>
                <w:color w:val="auto"/>
              </w:rPr>
            </w:pPr>
          </w:p>
        </w:tc>
        <w:tc>
          <w:tcPr>
            <w:tcW w:w="160" w:type="dxa"/>
            <w:vAlign w:val="bottom"/>
            <w:tcBorders>
              <w:bottom w:val="single" w:sz="8" w:color="CCEEFF"/>
            </w:tcBorders>
            <w:shd w:val="clear" w:color="auto" w:fill="CCEEFF"/>
          </w:tcPr>
          <w:p>
            <w:pPr>
              <w:spacing w:after="0"/>
              <w:rPr>
                <w:sz w:val="7"/>
                <w:szCs w:val="7"/>
                <w:color w:val="auto"/>
              </w:rPr>
            </w:pPr>
          </w:p>
        </w:tc>
        <w:tc>
          <w:tcPr>
            <w:tcW w:w="580" w:type="dxa"/>
            <w:vAlign w:val="bottom"/>
            <w:tcBorders>
              <w:bottom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69"/>
        </w:trPr>
        <w:tc>
          <w:tcPr>
            <w:tcW w:w="3140" w:type="dxa"/>
            <w:vAlign w:val="bottom"/>
            <w:vMerge w:val="restart"/>
          </w:tcPr>
          <w:p>
            <w:pPr>
              <w:ind w:left="220"/>
              <w:spacing w:after="0"/>
              <w:rPr>
                <w:sz w:val="20"/>
                <w:szCs w:val="20"/>
                <w:color w:val="auto"/>
              </w:rPr>
            </w:pPr>
            <w:r>
              <w:rPr>
                <w:rFonts w:ascii="Times New Roman" w:cs="Times New Roman" w:eastAsia="Times New Roman" w:hAnsi="Times New Roman"/>
                <w:sz w:val="12"/>
                <w:szCs w:val="12"/>
                <w:color w:val="auto"/>
              </w:rPr>
              <w:t>Related party receivables</w:t>
            </w:r>
          </w:p>
        </w:tc>
        <w:tc>
          <w:tcPr>
            <w:tcW w:w="140" w:type="dxa"/>
            <w:vAlign w:val="bottom"/>
          </w:tcPr>
          <w:p>
            <w:pPr>
              <w:spacing w:after="0"/>
              <w:rPr>
                <w:sz w:val="14"/>
                <w:szCs w:val="14"/>
                <w:color w:val="auto"/>
              </w:rPr>
            </w:pPr>
          </w:p>
        </w:tc>
        <w:tc>
          <w:tcPr>
            <w:tcW w:w="720" w:type="dxa"/>
            <w:vAlign w:val="bottom"/>
            <w:vMerge w:val="restart"/>
          </w:tcPr>
          <w:p>
            <w:pPr>
              <w:jc w:val="right"/>
              <w:ind w:right="21"/>
              <w:spacing w:after="0"/>
              <w:rPr>
                <w:sz w:val="20"/>
                <w:szCs w:val="20"/>
                <w:color w:val="auto"/>
              </w:rPr>
            </w:pPr>
            <w:r>
              <w:rPr>
                <w:rFonts w:ascii="Times New Roman" w:cs="Times New Roman" w:eastAsia="Times New Roman" w:hAnsi="Times New Roman"/>
                <w:sz w:val="12"/>
                <w:szCs w:val="12"/>
                <w:color w:val="auto"/>
              </w:rPr>
              <w:t>10,982</w:t>
            </w:r>
          </w:p>
        </w:tc>
        <w:tc>
          <w:tcPr>
            <w:tcW w:w="160" w:type="dxa"/>
            <w:vAlign w:val="bottom"/>
          </w:tcPr>
          <w:p>
            <w:pPr>
              <w:spacing w:after="0"/>
              <w:rPr>
                <w:sz w:val="14"/>
                <w:szCs w:val="14"/>
                <w:color w:val="auto"/>
              </w:rPr>
            </w:pPr>
          </w:p>
        </w:tc>
        <w:tc>
          <w:tcPr>
            <w:tcW w:w="720" w:type="dxa"/>
            <w:vAlign w:val="bottom"/>
            <w:vMerge w:val="restart"/>
          </w:tcPr>
          <w:p>
            <w:pPr>
              <w:jc w:val="right"/>
              <w:ind w:right="21"/>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tcPr>
          <w:p>
            <w:pPr>
              <w:spacing w:after="0"/>
              <w:rPr>
                <w:sz w:val="14"/>
                <w:szCs w:val="14"/>
                <w:color w:val="auto"/>
              </w:rPr>
            </w:pPr>
          </w:p>
        </w:tc>
        <w:tc>
          <w:tcPr>
            <w:tcW w:w="880" w:type="dxa"/>
            <w:vAlign w:val="bottom"/>
            <w:vMerge w:val="restart"/>
          </w:tcPr>
          <w:p>
            <w:pPr>
              <w:jc w:val="right"/>
              <w:ind w:right="61"/>
              <w:spacing w:after="0"/>
              <w:rPr>
                <w:sz w:val="20"/>
                <w:szCs w:val="20"/>
                <w:color w:val="auto"/>
              </w:rPr>
            </w:pPr>
            <w:r>
              <w:rPr>
                <w:rFonts w:ascii="Times New Roman" w:cs="Times New Roman" w:eastAsia="Times New Roman" w:hAnsi="Times New Roman"/>
                <w:sz w:val="12"/>
                <w:szCs w:val="12"/>
                <w:color w:val="auto"/>
              </w:rPr>
              <w:t>—</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vMerge w:val="restart"/>
          </w:tcPr>
          <w:p>
            <w:pPr>
              <w:jc w:val="right"/>
              <w:ind w:right="41"/>
              <w:spacing w:after="0"/>
              <w:rPr>
                <w:sz w:val="20"/>
                <w:szCs w:val="20"/>
                <w:color w:val="auto"/>
              </w:rPr>
            </w:pPr>
            <w:r>
              <w:rPr>
                <w:rFonts w:ascii="Times New Roman" w:cs="Times New Roman" w:eastAsia="Times New Roman" w:hAnsi="Times New Roman"/>
                <w:sz w:val="12"/>
                <w:szCs w:val="12"/>
                <w:color w:val="auto"/>
              </w:rPr>
              <w:t>—</w:t>
            </w: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gridSpan w:val="2"/>
            <w:vMerge w:val="restart"/>
          </w:tcPr>
          <w:p>
            <w:pPr>
              <w:ind w:left="640"/>
              <w:spacing w:after="0"/>
              <w:rPr>
                <w:sz w:val="20"/>
                <w:szCs w:val="20"/>
                <w:color w:val="auto"/>
              </w:rPr>
            </w:pPr>
            <w:r>
              <w:rPr>
                <w:rFonts w:ascii="Times New Roman" w:cs="Times New Roman" w:eastAsia="Times New Roman" w:hAnsi="Times New Roman"/>
                <w:sz w:val="12"/>
                <w:szCs w:val="12"/>
                <w:color w:val="auto"/>
              </w:rPr>
              <w:t>—</w:t>
            </w:r>
          </w:p>
        </w:tc>
        <w:tc>
          <w:tcPr>
            <w:tcW w:w="200" w:type="dxa"/>
            <w:vAlign w:val="bottom"/>
          </w:tcPr>
          <w:p>
            <w:pPr>
              <w:spacing w:after="0"/>
              <w:rPr>
                <w:sz w:val="14"/>
                <w:szCs w:val="14"/>
                <w:color w:val="auto"/>
              </w:rPr>
            </w:pPr>
          </w:p>
        </w:tc>
        <w:tc>
          <w:tcPr>
            <w:tcW w:w="1360" w:type="dxa"/>
            <w:vAlign w:val="bottom"/>
            <w:vMerge w:val="restart"/>
          </w:tcPr>
          <w:p>
            <w:pPr>
              <w:jc w:val="right"/>
              <w:ind w:right="61"/>
              <w:spacing w:after="0"/>
              <w:rPr>
                <w:sz w:val="20"/>
                <w:szCs w:val="20"/>
                <w:color w:val="auto"/>
              </w:rPr>
            </w:pPr>
            <w:r>
              <w:rPr>
                <w:rFonts w:ascii="Times New Roman" w:cs="Times New Roman" w:eastAsia="Times New Roman" w:hAnsi="Times New Roman"/>
                <w:sz w:val="12"/>
                <w:szCs w:val="12"/>
                <w:color w:val="auto"/>
              </w:rPr>
              <w:t>—</w:t>
            </w:r>
          </w:p>
        </w:tc>
        <w:tc>
          <w:tcPr>
            <w:tcW w:w="3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rPr>
              <w:t>10,982</w:t>
            </w:r>
          </w:p>
        </w:tc>
        <w:tc>
          <w:tcPr>
            <w:tcW w:w="0" w:type="dxa"/>
            <w:vAlign w:val="bottom"/>
          </w:tcPr>
          <w:p>
            <w:pPr>
              <w:spacing w:after="0"/>
              <w:rPr>
                <w:sz w:val="1"/>
                <w:szCs w:val="1"/>
                <w:color w:val="auto"/>
              </w:rPr>
            </w:pPr>
          </w:p>
        </w:tc>
      </w:tr>
      <w:tr>
        <w:trPr>
          <w:trHeight w:val="81"/>
        </w:trPr>
        <w:tc>
          <w:tcPr>
            <w:tcW w:w="314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88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120" w:type="dxa"/>
            <w:vAlign w:val="bottom"/>
          </w:tcPr>
          <w:p>
            <w:pPr>
              <w:spacing w:after="0"/>
              <w:rPr>
                <w:sz w:val="7"/>
                <w:szCs w:val="7"/>
                <w:color w:val="auto"/>
              </w:rPr>
            </w:pPr>
          </w:p>
        </w:tc>
        <w:tc>
          <w:tcPr>
            <w:tcW w:w="86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120" w:type="dxa"/>
            <w:vAlign w:val="bottom"/>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360" w:type="dxa"/>
            <w:vAlign w:val="bottom"/>
            <w:vMerge w:val="continue"/>
          </w:tcPr>
          <w:p>
            <w:pPr>
              <w:spacing w:after="0"/>
              <w:rPr>
                <w:sz w:val="7"/>
                <w:szCs w:val="7"/>
                <w:color w:val="auto"/>
              </w:rPr>
            </w:pPr>
          </w:p>
        </w:tc>
        <w:tc>
          <w:tcPr>
            <w:tcW w:w="360" w:type="dxa"/>
            <w:vAlign w:val="bottom"/>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314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3140" w:type="dxa"/>
            <w:vAlign w:val="bottom"/>
            <w:vMerge w:val="restart"/>
            <w:shd w:val="clear" w:color="auto" w:fill="CCEEFF"/>
          </w:tcPr>
          <w:p>
            <w:pPr>
              <w:ind w:left="340"/>
              <w:spacing w:after="0"/>
              <w:rPr>
                <w:sz w:val="20"/>
                <w:szCs w:val="20"/>
                <w:color w:val="auto"/>
              </w:rPr>
            </w:pPr>
            <w:r>
              <w:rPr>
                <w:rFonts w:ascii="Times New Roman" w:cs="Times New Roman" w:eastAsia="Times New Roman" w:hAnsi="Times New Roman"/>
                <w:sz w:val="12"/>
                <w:szCs w:val="12"/>
                <w:color w:val="auto"/>
              </w:rPr>
              <w:t>Total current assets</w:t>
            </w:r>
          </w:p>
        </w:tc>
        <w:tc>
          <w:tcPr>
            <w:tcW w:w="140" w:type="dxa"/>
            <w:vAlign w:val="bottom"/>
            <w:shd w:val="clear" w:color="auto" w:fill="CCEEFF"/>
          </w:tcPr>
          <w:p>
            <w:pPr>
              <w:spacing w:after="0"/>
              <w:rPr>
                <w:sz w:val="14"/>
                <w:szCs w:val="14"/>
                <w:color w:val="auto"/>
              </w:rPr>
            </w:pPr>
          </w:p>
        </w:tc>
        <w:tc>
          <w:tcPr>
            <w:tcW w:w="720" w:type="dxa"/>
            <w:vAlign w:val="bottom"/>
            <w:shd w:val="clear" w:color="auto" w:fill="CCEEFF"/>
          </w:tcPr>
          <w:p>
            <w:pPr>
              <w:jc w:val="right"/>
              <w:ind w:right="21"/>
              <w:spacing w:after="0"/>
              <w:rPr>
                <w:sz w:val="20"/>
                <w:szCs w:val="20"/>
                <w:color w:val="auto"/>
              </w:rPr>
            </w:pPr>
            <w:r>
              <w:rPr>
                <w:rFonts w:ascii="Times New Roman" w:cs="Times New Roman" w:eastAsia="Times New Roman" w:hAnsi="Times New Roman"/>
                <w:sz w:val="12"/>
                <w:szCs w:val="12"/>
                <w:color w:val="auto"/>
              </w:rPr>
              <w:t>775,464</w:t>
            </w:r>
          </w:p>
        </w:tc>
        <w:tc>
          <w:tcPr>
            <w:tcW w:w="160" w:type="dxa"/>
            <w:vAlign w:val="bottom"/>
            <w:shd w:val="clear" w:color="auto" w:fill="CCEEFF"/>
          </w:tcPr>
          <w:p>
            <w:pPr>
              <w:spacing w:after="0"/>
              <w:rPr>
                <w:sz w:val="14"/>
                <w:szCs w:val="14"/>
                <w:color w:val="auto"/>
              </w:rPr>
            </w:pPr>
          </w:p>
        </w:tc>
        <w:tc>
          <w:tcPr>
            <w:tcW w:w="720" w:type="dxa"/>
            <w:vAlign w:val="bottom"/>
            <w:shd w:val="clear" w:color="auto" w:fill="CCEEFF"/>
          </w:tcPr>
          <w:p>
            <w:pPr>
              <w:jc w:val="right"/>
              <w:ind w:right="21"/>
              <w:spacing w:after="0"/>
              <w:rPr>
                <w:sz w:val="20"/>
                <w:szCs w:val="20"/>
                <w:color w:val="auto"/>
              </w:rPr>
            </w:pPr>
            <w:r>
              <w:rPr>
                <w:rFonts w:ascii="Times New Roman" w:cs="Times New Roman" w:eastAsia="Times New Roman" w:hAnsi="Times New Roman"/>
                <w:sz w:val="12"/>
                <w:szCs w:val="12"/>
                <w:color w:val="auto"/>
              </w:rPr>
              <w:t>564,496</w:t>
            </w:r>
          </w:p>
        </w:tc>
        <w:tc>
          <w:tcPr>
            <w:tcW w:w="140" w:type="dxa"/>
            <w:vAlign w:val="bottom"/>
            <w:shd w:val="clear" w:color="auto" w:fill="CCEEFF"/>
          </w:tcPr>
          <w:p>
            <w:pPr>
              <w:spacing w:after="0"/>
              <w:rPr>
                <w:sz w:val="14"/>
                <w:szCs w:val="14"/>
                <w:color w:val="auto"/>
              </w:rPr>
            </w:pPr>
          </w:p>
        </w:tc>
        <w:tc>
          <w:tcPr>
            <w:tcW w:w="880" w:type="dxa"/>
            <w:vAlign w:val="bottom"/>
            <w:shd w:val="clear" w:color="auto" w:fill="CCEEFF"/>
          </w:tcPr>
          <w:p>
            <w:pPr>
              <w:jc w:val="right"/>
              <w:ind w:right="41"/>
              <w:spacing w:after="0"/>
              <w:rPr>
                <w:sz w:val="20"/>
                <w:szCs w:val="20"/>
                <w:color w:val="auto"/>
              </w:rPr>
            </w:pPr>
            <w:r>
              <w:rPr>
                <w:rFonts w:ascii="Times New Roman" w:cs="Times New Roman" w:eastAsia="Times New Roman" w:hAnsi="Times New Roman"/>
                <w:sz w:val="12"/>
                <w:szCs w:val="12"/>
                <w:color w:val="auto"/>
              </w:rPr>
              <w:t>(345,224)</w:t>
            </w:r>
          </w:p>
        </w:tc>
        <w:tc>
          <w:tcPr>
            <w:tcW w:w="2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60" w:type="dxa"/>
            <w:vAlign w:val="bottom"/>
            <w:shd w:val="clear" w:color="auto" w:fill="CCEEFF"/>
          </w:tcPr>
          <w:p>
            <w:pPr>
              <w:jc w:val="right"/>
              <w:ind w:right="41"/>
              <w:spacing w:after="0"/>
              <w:rPr>
                <w:sz w:val="20"/>
                <w:szCs w:val="20"/>
                <w:color w:val="auto"/>
              </w:rPr>
            </w:pPr>
            <w:r>
              <w:rPr>
                <w:rFonts w:ascii="Times New Roman" w:cs="Times New Roman" w:eastAsia="Times New Roman" w:hAnsi="Times New Roman"/>
                <w:sz w:val="12"/>
                <w:szCs w:val="12"/>
                <w:color w:val="auto"/>
              </w:rPr>
              <w:t>1,080,077</w:t>
            </w:r>
          </w:p>
        </w:tc>
        <w:tc>
          <w:tcPr>
            <w:tcW w:w="3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80" w:type="dxa"/>
            <w:vAlign w:val="bottom"/>
            <w:gridSpan w:val="2"/>
            <w:vMerge w:val="restart"/>
            <w:shd w:val="clear" w:color="auto" w:fill="CCEEFF"/>
          </w:tcPr>
          <w:p>
            <w:pPr>
              <w:ind w:left="640"/>
              <w:spacing w:after="0"/>
              <w:rPr>
                <w:sz w:val="20"/>
                <w:szCs w:val="20"/>
                <w:color w:val="auto"/>
              </w:rPr>
            </w:pPr>
            <w:r>
              <w:rPr>
                <w:rFonts w:ascii="Times New Roman" w:cs="Times New Roman" w:eastAsia="Times New Roman" w:hAnsi="Times New Roman"/>
                <w:sz w:val="12"/>
                <w:szCs w:val="12"/>
                <w:color w:val="auto"/>
              </w:rPr>
              <w:t>—</w:t>
            </w:r>
          </w:p>
        </w:tc>
        <w:tc>
          <w:tcPr>
            <w:tcW w:w="200" w:type="dxa"/>
            <w:vAlign w:val="bottom"/>
            <w:shd w:val="clear" w:color="auto" w:fill="CCEEFF"/>
          </w:tcPr>
          <w:p>
            <w:pPr>
              <w:spacing w:after="0"/>
              <w:rPr>
                <w:sz w:val="14"/>
                <w:szCs w:val="14"/>
                <w:color w:val="auto"/>
              </w:rPr>
            </w:pPr>
          </w:p>
        </w:tc>
        <w:tc>
          <w:tcPr>
            <w:tcW w:w="1360" w:type="dxa"/>
            <w:vAlign w:val="bottom"/>
            <w:vMerge w:val="restart"/>
            <w:shd w:val="clear" w:color="auto" w:fill="CCEEFF"/>
          </w:tcPr>
          <w:p>
            <w:pPr>
              <w:jc w:val="right"/>
              <w:ind w:right="61"/>
              <w:spacing w:after="0"/>
              <w:rPr>
                <w:sz w:val="20"/>
                <w:szCs w:val="20"/>
                <w:color w:val="auto"/>
              </w:rPr>
            </w:pPr>
            <w:r>
              <w:rPr>
                <w:rFonts w:ascii="Times New Roman" w:cs="Times New Roman" w:eastAsia="Times New Roman" w:hAnsi="Times New Roman"/>
                <w:sz w:val="12"/>
                <w:szCs w:val="12"/>
                <w:color w:val="auto"/>
              </w:rPr>
              <w:t>—</w:t>
            </w:r>
          </w:p>
        </w:tc>
        <w:tc>
          <w:tcPr>
            <w:tcW w:w="3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80" w:type="dxa"/>
            <w:vAlign w:val="bottom"/>
            <w:shd w:val="clear" w:color="auto" w:fill="CCEEFF"/>
          </w:tcPr>
          <w:p>
            <w:pPr>
              <w:jc w:val="right"/>
              <w:ind w:right="42"/>
              <w:spacing w:after="0"/>
              <w:rPr>
                <w:sz w:val="20"/>
                <w:szCs w:val="20"/>
                <w:color w:val="auto"/>
              </w:rPr>
            </w:pPr>
            <w:r>
              <w:rPr>
                <w:rFonts w:ascii="Times New Roman" w:cs="Times New Roman" w:eastAsia="Times New Roman" w:hAnsi="Times New Roman"/>
                <w:sz w:val="12"/>
                <w:szCs w:val="12"/>
                <w:color w:val="auto"/>
                <w:w w:val="95"/>
              </w:rPr>
              <w:t>2,074,813</w:t>
            </w:r>
          </w:p>
        </w:tc>
        <w:tc>
          <w:tcPr>
            <w:tcW w:w="0" w:type="dxa"/>
            <w:vAlign w:val="bottom"/>
          </w:tcPr>
          <w:p>
            <w:pPr>
              <w:spacing w:after="0"/>
              <w:rPr>
                <w:sz w:val="1"/>
                <w:szCs w:val="1"/>
                <w:color w:val="auto"/>
              </w:rPr>
            </w:pPr>
          </w:p>
        </w:tc>
      </w:tr>
      <w:tr>
        <w:trPr>
          <w:trHeight w:val="68"/>
        </w:trPr>
        <w:tc>
          <w:tcPr>
            <w:tcW w:w="3140" w:type="dxa"/>
            <w:vAlign w:val="bottom"/>
            <w:tcBorders>
              <w:bottom w:val="single" w:sz="8" w:color="CCEEFF"/>
            </w:tcBorders>
            <w:vMerge w:val="continue"/>
            <w:shd w:val="clear" w:color="auto" w:fill="CCEEFF"/>
          </w:tcPr>
          <w:p>
            <w:pPr>
              <w:spacing w:after="0"/>
              <w:rPr>
                <w:sz w:val="5"/>
                <w:szCs w:val="5"/>
                <w:color w:val="auto"/>
              </w:rPr>
            </w:pPr>
          </w:p>
        </w:tc>
        <w:tc>
          <w:tcPr>
            <w:tcW w:w="140" w:type="dxa"/>
            <w:vAlign w:val="bottom"/>
            <w:tcBorders>
              <w:bottom w:val="single" w:sz="8" w:color="CCEEFF"/>
            </w:tcBorders>
            <w:shd w:val="clear" w:color="auto" w:fill="CCEEFF"/>
          </w:tcPr>
          <w:p>
            <w:pPr>
              <w:spacing w:after="0"/>
              <w:rPr>
                <w:sz w:val="5"/>
                <w:szCs w:val="5"/>
                <w:color w:val="auto"/>
              </w:rPr>
            </w:pPr>
          </w:p>
        </w:tc>
        <w:tc>
          <w:tcPr>
            <w:tcW w:w="720" w:type="dxa"/>
            <w:vAlign w:val="bottom"/>
            <w:tcBorders>
              <w:bottom w:val="single" w:sz="8" w:color="CCEEFF"/>
            </w:tcBorders>
            <w:shd w:val="clear" w:color="auto" w:fill="CCEEFF"/>
          </w:tcPr>
          <w:p>
            <w:pPr>
              <w:spacing w:after="0"/>
              <w:rPr>
                <w:sz w:val="5"/>
                <w:szCs w:val="5"/>
                <w:color w:val="auto"/>
              </w:rPr>
            </w:pPr>
          </w:p>
        </w:tc>
        <w:tc>
          <w:tcPr>
            <w:tcW w:w="160" w:type="dxa"/>
            <w:vAlign w:val="bottom"/>
            <w:tcBorders>
              <w:bottom w:val="single" w:sz="8" w:color="CCEEFF"/>
            </w:tcBorders>
            <w:shd w:val="clear" w:color="auto" w:fill="CCEEFF"/>
          </w:tcPr>
          <w:p>
            <w:pPr>
              <w:spacing w:after="0"/>
              <w:rPr>
                <w:sz w:val="5"/>
                <w:szCs w:val="5"/>
                <w:color w:val="auto"/>
              </w:rPr>
            </w:pPr>
          </w:p>
        </w:tc>
        <w:tc>
          <w:tcPr>
            <w:tcW w:w="720" w:type="dxa"/>
            <w:vAlign w:val="bottom"/>
            <w:tcBorders>
              <w:bottom w:val="single" w:sz="8" w:color="CCEEFF"/>
            </w:tcBorders>
            <w:shd w:val="clear" w:color="auto" w:fill="CCEEFF"/>
          </w:tcPr>
          <w:p>
            <w:pPr>
              <w:spacing w:after="0"/>
              <w:rPr>
                <w:sz w:val="5"/>
                <w:szCs w:val="5"/>
                <w:color w:val="auto"/>
              </w:rPr>
            </w:pPr>
          </w:p>
        </w:tc>
        <w:tc>
          <w:tcPr>
            <w:tcW w:w="140" w:type="dxa"/>
            <w:vAlign w:val="bottom"/>
            <w:tcBorders>
              <w:bottom w:val="single" w:sz="8" w:color="CCEEFF"/>
            </w:tcBorders>
            <w:shd w:val="clear" w:color="auto" w:fill="CCEEFF"/>
          </w:tcPr>
          <w:p>
            <w:pPr>
              <w:spacing w:after="0"/>
              <w:rPr>
                <w:sz w:val="5"/>
                <w:szCs w:val="5"/>
                <w:color w:val="auto"/>
              </w:rPr>
            </w:pPr>
          </w:p>
        </w:tc>
        <w:tc>
          <w:tcPr>
            <w:tcW w:w="880" w:type="dxa"/>
            <w:vAlign w:val="bottom"/>
            <w:tcBorders>
              <w:bottom w:val="single" w:sz="8" w:color="CCEEFF"/>
            </w:tcBorders>
            <w:shd w:val="clear" w:color="auto" w:fill="CCEEFF"/>
          </w:tcPr>
          <w:p>
            <w:pPr>
              <w:spacing w:after="0"/>
              <w:rPr>
                <w:sz w:val="5"/>
                <w:szCs w:val="5"/>
                <w:color w:val="auto"/>
              </w:rPr>
            </w:pPr>
          </w:p>
        </w:tc>
        <w:tc>
          <w:tcPr>
            <w:tcW w:w="220" w:type="dxa"/>
            <w:vAlign w:val="bottom"/>
            <w:tcBorders>
              <w:bottom w:val="single" w:sz="8" w:color="CCEEFF"/>
            </w:tcBorders>
            <w:shd w:val="clear" w:color="auto" w:fill="CCEEFF"/>
          </w:tcPr>
          <w:p>
            <w:pPr>
              <w:spacing w:after="0"/>
              <w:rPr>
                <w:sz w:val="5"/>
                <w:szCs w:val="5"/>
                <w:color w:val="auto"/>
              </w:rPr>
            </w:pPr>
          </w:p>
        </w:tc>
        <w:tc>
          <w:tcPr>
            <w:tcW w:w="120" w:type="dxa"/>
            <w:vAlign w:val="bottom"/>
            <w:tcBorders>
              <w:bottom w:val="single" w:sz="8" w:color="CCEEFF"/>
            </w:tcBorders>
            <w:shd w:val="clear" w:color="auto" w:fill="CCEEFF"/>
          </w:tcPr>
          <w:p>
            <w:pPr>
              <w:spacing w:after="0"/>
              <w:rPr>
                <w:sz w:val="5"/>
                <w:szCs w:val="5"/>
                <w:color w:val="auto"/>
              </w:rPr>
            </w:pPr>
          </w:p>
        </w:tc>
        <w:tc>
          <w:tcPr>
            <w:tcW w:w="860" w:type="dxa"/>
            <w:vAlign w:val="bottom"/>
            <w:tcBorders>
              <w:bottom w:val="single" w:sz="8" w:color="CCEEFF"/>
            </w:tcBorders>
            <w:shd w:val="clear" w:color="auto" w:fill="CCEEFF"/>
          </w:tcPr>
          <w:p>
            <w:pPr>
              <w:spacing w:after="0"/>
              <w:rPr>
                <w:sz w:val="5"/>
                <w:szCs w:val="5"/>
                <w:color w:val="auto"/>
              </w:rPr>
            </w:pPr>
          </w:p>
        </w:tc>
        <w:tc>
          <w:tcPr>
            <w:tcW w:w="320" w:type="dxa"/>
            <w:vAlign w:val="bottom"/>
            <w:tcBorders>
              <w:bottom w:val="single" w:sz="8" w:color="CCEEFF"/>
            </w:tcBorders>
            <w:shd w:val="clear" w:color="auto" w:fill="CCEEFF"/>
          </w:tcPr>
          <w:p>
            <w:pPr>
              <w:spacing w:after="0"/>
              <w:rPr>
                <w:sz w:val="5"/>
                <w:szCs w:val="5"/>
                <w:color w:val="auto"/>
              </w:rPr>
            </w:pPr>
          </w:p>
        </w:tc>
        <w:tc>
          <w:tcPr>
            <w:tcW w:w="120" w:type="dxa"/>
            <w:vAlign w:val="bottom"/>
            <w:tcBorders>
              <w:bottom w:val="single" w:sz="8" w:color="CCEEFF"/>
            </w:tcBorders>
            <w:shd w:val="clear" w:color="auto" w:fill="CCEEFF"/>
          </w:tcPr>
          <w:p>
            <w:pPr>
              <w:spacing w:after="0"/>
              <w:rPr>
                <w:sz w:val="5"/>
                <w:szCs w:val="5"/>
                <w:color w:val="auto"/>
              </w:rPr>
            </w:pPr>
          </w:p>
        </w:tc>
        <w:tc>
          <w:tcPr>
            <w:tcW w:w="980" w:type="dxa"/>
            <w:vAlign w:val="bottom"/>
            <w:tcBorders>
              <w:bottom w:val="single" w:sz="8" w:color="CCEEFF"/>
            </w:tcBorders>
            <w:gridSpan w:val="2"/>
            <w:vMerge w:val="continue"/>
            <w:shd w:val="clear" w:color="auto" w:fill="CCEEFF"/>
          </w:tcPr>
          <w:p>
            <w:pPr>
              <w:spacing w:after="0"/>
              <w:rPr>
                <w:sz w:val="5"/>
                <w:szCs w:val="5"/>
                <w:color w:val="auto"/>
              </w:rPr>
            </w:pPr>
          </w:p>
        </w:tc>
        <w:tc>
          <w:tcPr>
            <w:tcW w:w="200" w:type="dxa"/>
            <w:vAlign w:val="bottom"/>
            <w:tcBorders>
              <w:bottom w:val="single" w:sz="8" w:color="CCEEFF"/>
            </w:tcBorders>
            <w:shd w:val="clear" w:color="auto" w:fill="CCEEFF"/>
          </w:tcPr>
          <w:p>
            <w:pPr>
              <w:spacing w:after="0"/>
              <w:rPr>
                <w:sz w:val="5"/>
                <w:szCs w:val="5"/>
                <w:color w:val="auto"/>
              </w:rPr>
            </w:pPr>
          </w:p>
        </w:tc>
        <w:tc>
          <w:tcPr>
            <w:tcW w:w="1360" w:type="dxa"/>
            <w:vAlign w:val="bottom"/>
            <w:tcBorders>
              <w:bottom w:val="single" w:sz="8" w:color="CCEEFF"/>
            </w:tcBorders>
            <w:vMerge w:val="continue"/>
            <w:shd w:val="clear" w:color="auto" w:fill="CCEEFF"/>
          </w:tcPr>
          <w:p>
            <w:pPr>
              <w:spacing w:after="0"/>
              <w:rPr>
                <w:sz w:val="5"/>
                <w:szCs w:val="5"/>
                <w:color w:val="auto"/>
              </w:rPr>
            </w:pPr>
          </w:p>
        </w:tc>
        <w:tc>
          <w:tcPr>
            <w:tcW w:w="360" w:type="dxa"/>
            <w:vAlign w:val="bottom"/>
            <w:tcBorders>
              <w:bottom w:val="single" w:sz="8" w:color="CCEEFF"/>
            </w:tcBorders>
            <w:shd w:val="clear" w:color="auto" w:fill="CCEEFF"/>
          </w:tcPr>
          <w:p>
            <w:pPr>
              <w:spacing w:after="0"/>
              <w:rPr>
                <w:sz w:val="5"/>
                <w:szCs w:val="5"/>
                <w:color w:val="auto"/>
              </w:rPr>
            </w:pPr>
          </w:p>
        </w:tc>
        <w:tc>
          <w:tcPr>
            <w:tcW w:w="160" w:type="dxa"/>
            <w:vAlign w:val="bottom"/>
            <w:tcBorders>
              <w:bottom w:val="single" w:sz="8" w:color="CCEEFF"/>
            </w:tcBorders>
            <w:shd w:val="clear" w:color="auto" w:fill="CCEEFF"/>
          </w:tcPr>
          <w:p>
            <w:pPr>
              <w:spacing w:after="0"/>
              <w:rPr>
                <w:sz w:val="5"/>
                <w:szCs w:val="5"/>
                <w:color w:val="auto"/>
              </w:rPr>
            </w:pPr>
          </w:p>
        </w:tc>
        <w:tc>
          <w:tcPr>
            <w:tcW w:w="580" w:type="dxa"/>
            <w:vAlign w:val="bottom"/>
            <w:tcBorders>
              <w:bottom w:val="single" w:sz="8" w:color="CCEEFF"/>
            </w:tcBorders>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96"/>
        </w:trPr>
        <w:tc>
          <w:tcPr>
            <w:tcW w:w="3140" w:type="dxa"/>
            <w:vAlign w:val="bottom"/>
            <w:vMerge w:val="restart"/>
          </w:tcPr>
          <w:p>
            <w:pPr>
              <w:ind w:left="40"/>
              <w:spacing w:after="0"/>
              <w:rPr>
                <w:sz w:val="20"/>
                <w:szCs w:val="20"/>
                <w:color w:val="auto"/>
              </w:rPr>
            </w:pPr>
            <w:r>
              <w:rPr>
                <w:rFonts w:ascii="Times New Roman" w:cs="Times New Roman" w:eastAsia="Times New Roman" w:hAnsi="Times New Roman"/>
                <w:sz w:val="12"/>
                <w:szCs w:val="12"/>
                <w:color w:val="auto"/>
              </w:rPr>
              <w:t>Property, plant and equipment - net</w:t>
            </w:r>
          </w:p>
        </w:tc>
        <w:tc>
          <w:tcPr>
            <w:tcW w:w="140" w:type="dxa"/>
            <w:vAlign w:val="bottom"/>
          </w:tcPr>
          <w:p>
            <w:pPr>
              <w:spacing w:after="0"/>
              <w:rPr>
                <w:sz w:val="17"/>
                <w:szCs w:val="17"/>
                <w:color w:val="auto"/>
              </w:rPr>
            </w:pPr>
          </w:p>
        </w:tc>
        <w:tc>
          <w:tcPr>
            <w:tcW w:w="720" w:type="dxa"/>
            <w:vAlign w:val="bottom"/>
          </w:tcPr>
          <w:p>
            <w:pPr>
              <w:jc w:val="right"/>
              <w:ind w:right="21"/>
              <w:spacing w:after="0"/>
              <w:rPr>
                <w:sz w:val="20"/>
                <w:szCs w:val="20"/>
                <w:color w:val="auto"/>
              </w:rPr>
            </w:pPr>
            <w:r>
              <w:rPr>
                <w:rFonts w:ascii="Times New Roman" w:cs="Times New Roman" w:eastAsia="Times New Roman" w:hAnsi="Times New Roman"/>
                <w:sz w:val="12"/>
                <w:szCs w:val="12"/>
                <w:color w:val="auto"/>
              </w:rPr>
              <w:t>489,947</w:t>
            </w:r>
          </w:p>
        </w:tc>
        <w:tc>
          <w:tcPr>
            <w:tcW w:w="160" w:type="dxa"/>
            <w:vAlign w:val="bottom"/>
          </w:tcPr>
          <w:p>
            <w:pPr>
              <w:spacing w:after="0"/>
              <w:rPr>
                <w:sz w:val="17"/>
                <w:szCs w:val="17"/>
                <w:color w:val="auto"/>
              </w:rPr>
            </w:pPr>
          </w:p>
        </w:tc>
        <w:tc>
          <w:tcPr>
            <w:tcW w:w="720" w:type="dxa"/>
            <w:vAlign w:val="bottom"/>
            <w:vMerge w:val="restart"/>
          </w:tcPr>
          <w:p>
            <w:pPr>
              <w:jc w:val="right"/>
              <w:ind w:right="21"/>
              <w:spacing w:after="0"/>
              <w:rPr>
                <w:sz w:val="20"/>
                <w:szCs w:val="20"/>
                <w:color w:val="auto"/>
              </w:rPr>
            </w:pPr>
            <w:r>
              <w:rPr>
                <w:rFonts w:ascii="Times New Roman" w:cs="Times New Roman" w:eastAsia="Times New Roman" w:hAnsi="Times New Roman"/>
                <w:sz w:val="12"/>
                <w:szCs w:val="12"/>
                <w:color w:val="auto"/>
              </w:rPr>
              <w:t>123,288</w:t>
            </w:r>
          </w:p>
        </w:tc>
        <w:tc>
          <w:tcPr>
            <w:tcW w:w="140" w:type="dxa"/>
            <w:vAlign w:val="bottom"/>
          </w:tcPr>
          <w:p>
            <w:pPr>
              <w:spacing w:after="0"/>
              <w:rPr>
                <w:sz w:val="17"/>
                <w:szCs w:val="17"/>
                <w:color w:val="auto"/>
              </w:rPr>
            </w:pPr>
          </w:p>
        </w:tc>
        <w:tc>
          <w:tcPr>
            <w:tcW w:w="880" w:type="dxa"/>
            <w:vAlign w:val="bottom"/>
            <w:vMerge w:val="restart"/>
          </w:tcPr>
          <w:p>
            <w:pPr>
              <w:jc w:val="right"/>
              <w:ind w:right="41"/>
              <w:spacing w:after="0"/>
              <w:rPr>
                <w:sz w:val="20"/>
                <w:szCs w:val="20"/>
                <w:color w:val="auto"/>
              </w:rPr>
            </w:pPr>
            <w:r>
              <w:rPr>
                <w:rFonts w:ascii="Times New Roman" w:cs="Times New Roman" w:eastAsia="Times New Roman" w:hAnsi="Times New Roman"/>
                <w:sz w:val="12"/>
                <w:szCs w:val="12"/>
                <w:color w:val="auto"/>
              </w:rPr>
              <w:t>(42,323)</w:t>
            </w:r>
          </w:p>
        </w:tc>
        <w:tc>
          <w:tcPr>
            <w:tcW w:w="340" w:type="dxa"/>
            <w:vAlign w:val="bottom"/>
            <w:gridSpan w:val="2"/>
          </w:tcPr>
          <w:p>
            <w:pPr>
              <w:ind w:left="60"/>
              <w:spacing w:after="0"/>
              <w:rPr>
                <w:sz w:val="20"/>
                <w:szCs w:val="20"/>
                <w:color w:val="auto"/>
              </w:rPr>
            </w:pPr>
            <w:r>
              <w:rPr>
                <w:rFonts w:ascii="Times New Roman" w:cs="Times New Roman" w:eastAsia="Times New Roman" w:hAnsi="Times New Roman"/>
                <w:sz w:val="12"/>
                <w:szCs w:val="12"/>
                <w:color w:val="auto"/>
              </w:rPr>
              <w:t>(n)</w:t>
            </w:r>
          </w:p>
        </w:tc>
        <w:tc>
          <w:tcPr>
            <w:tcW w:w="860" w:type="dxa"/>
            <w:vAlign w:val="bottom"/>
            <w:vMerge w:val="restart"/>
          </w:tcPr>
          <w:p>
            <w:pPr>
              <w:jc w:val="right"/>
              <w:ind w:right="41"/>
              <w:spacing w:after="0"/>
              <w:rPr>
                <w:sz w:val="20"/>
                <w:szCs w:val="20"/>
                <w:color w:val="auto"/>
              </w:rPr>
            </w:pPr>
            <w:r>
              <w:rPr>
                <w:rFonts w:ascii="Times New Roman" w:cs="Times New Roman" w:eastAsia="Times New Roman" w:hAnsi="Times New Roman"/>
                <w:sz w:val="12"/>
                <w:szCs w:val="12"/>
                <w:color w:val="auto"/>
              </w:rPr>
              <w:t>—</w:t>
            </w:r>
          </w:p>
        </w:tc>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gridSpan w:val="2"/>
            <w:vMerge w:val="restart"/>
          </w:tcPr>
          <w:p>
            <w:pPr>
              <w:ind w:left="640"/>
              <w:spacing w:after="0"/>
              <w:rPr>
                <w:sz w:val="20"/>
                <w:szCs w:val="20"/>
                <w:color w:val="auto"/>
              </w:rPr>
            </w:pPr>
            <w:r>
              <w:rPr>
                <w:rFonts w:ascii="Times New Roman" w:cs="Times New Roman" w:eastAsia="Times New Roman" w:hAnsi="Times New Roman"/>
                <w:sz w:val="12"/>
                <w:szCs w:val="12"/>
                <w:color w:val="auto"/>
              </w:rPr>
              <w:t>—</w:t>
            </w:r>
          </w:p>
        </w:tc>
        <w:tc>
          <w:tcPr>
            <w:tcW w:w="200" w:type="dxa"/>
            <w:vAlign w:val="bottom"/>
          </w:tcPr>
          <w:p>
            <w:pPr>
              <w:spacing w:after="0"/>
              <w:rPr>
                <w:sz w:val="17"/>
                <w:szCs w:val="17"/>
                <w:color w:val="auto"/>
              </w:rPr>
            </w:pPr>
          </w:p>
        </w:tc>
        <w:tc>
          <w:tcPr>
            <w:tcW w:w="1360" w:type="dxa"/>
            <w:vAlign w:val="bottom"/>
            <w:vMerge w:val="restart"/>
          </w:tcPr>
          <w:p>
            <w:pPr>
              <w:jc w:val="right"/>
              <w:ind w:right="61"/>
              <w:spacing w:after="0"/>
              <w:rPr>
                <w:sz w:val="20"/>
                <w:szCs w:val="20"/>
                <w:color w:val="auto"/>
              </w:rPr>
            </w:pPr>
            <w:r>
              <w:rPr>
                <w:rFonts w:ascii="Times New Roman" w:cs="Times New Roman" w:eastAsia="Times New Roman" w:hAnsi="Times New Roman"/>
                <w:sz w:val="12"/>
                <w:szCs w:val="12"/>
                <w:color w:val="auto"/>
              </w:rPr>
              <w:t>—</w:t>
            </w:r>
          </w:p>
        </w:tc>
        <w:tc>
          <w:tcPr>
            <w:tcW w:w="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8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rPr>
              <w:t>570,912</w:t>
            </w:r>
          </w:p>
        </w:tc>
        <w:tc>
          <w:tcPr>
            <w:tcW w:w="0" w:type="dxa"/>
            <w:vAlign w:val="bottom"/>
          </w:tcPr>
          <w:p>
            <w:pPr>
              <w:spacing w:after="0"/>
              <w:rPr>
                <w:sz w:val="1"/>
                <w:szCs w:val="1"/>
                <w:color w:val="auto"/>
              </w:rPr>
            </w:pPr>
          </w:p>
        </w:tc>
      </w:tr>
      <w:tr>
        <w:trPr>
          <w:trHeight w:val="54"/>
        </w:trPr>
        <w:tc>
          <w:tcPr>
            <w:tcW w:w="3140" w:type="dxa"/>
            <w:vAlign w:val="bottom"/>
            <w:vMerge w:val="continue"/>
          </w:tcPr>
          <w:p>
            <w:pPr>
              <w:spacing w:after="0"/>
              <w:rPr>
                <w:sz w:val="4"/>
                <w:szCs w:val="4"/>
                <w:color w:val="auto"/>
              </w:rPr>
            </w:pPr>
          </w:p>
        </w:tc>
        <w:tc>
          <w:tcPr>
            <w:tcW w:w="140" w:type="dxa"/>
            <w:vAlign w:val="bottom"/>
          </w:tcPr>
          <w:p>
            <w:pPr>
              <w:spacing w:after="0"/>
              <w:rPr>
                <w:sz w:val="4"/>
                <w:szCs w:val="4"/>
                <w:color w:val="auto"/>
              </w:rPr>
            </w:pPr>
          </w:p>
        </w:tc>
        <w:tc>
          <w:tcPr>
            <w:tcW w:w="720" w:type="dxa"/>
            <w:vAlign w:val="bottom"/>
          </w:tcPr>
          <w:p>
            <w:pPr>
              <w:spacing w:after="0"/>
              <w:rPr>
                <w:sz w:val="4"/>
                <w:szCs w:val="4"/>
                <w:color w:val="auto"/>
              </w:rPr>
            </w:pPr>
          </w:p>
        </w:tc>
        <w:tc>
          <w:tcPr>
            <w:tcW w:w="16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140" w:type="dxa"/>
            <w:vAlign w:val="bottom"/>
          </w:tcPr>
          <w:p>
            <w:pPr>
              <w:spacing w:after="0"/>
              <w:rPr>
                <w:sz w:val="4"/>
                <w:szCs w:val="4"/>
                <w:color w:val="auto"/>
              </w:rPr>
            </w:pPr>
          </w:p>
        </w:tc>
        <w:tc>
          <w:tcPr>
            <w:tcW w:w="880" w:type="dxa"/>
            <w:vAlign w:val="bottom"/>
            <w:vMerge w:val="continue"/>
          </w:tcPr>
          <w:p>
            <w:pPr>
              <w:spacing w:after="0"/>
              <w:rPr>
                <w:sz w:val="4"/>
                <w:szCs w:val="4"/>
                <w:color w:val="auto"/>
              </w:rPr>
            </w:pPr>
          </w:p>
        </w:tc>
        <w:tc>
          <w:tcPr>
            <w:tcW w:w="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860" w:type="dxa"/>
            <w:vAlign w:val="bottom"/>
            <w:vMerge w:val="continue"/>
          </w:tcPr>
          <w:p>
            <w:pPr>
              <w:spacing w:after="0"/>
              <w:rPr>
                <w:sz w:val="4"/>
                <w:szCs w:val="4"/>
                <w:color w:val="auto"/>
              </w:rPr>
            </w:pPr>
          </w:p>
        </w:tc>
        <w:tc>
          <w:tcPr>
            <w:tcW w:w="320" w:type="dxa"/>
            <w:vAlign w:val="bottom"/>
          </w:tcPr>
          <w:p>
            <w:pPr>
              <w:spacing w:after="0"/>
              <w:rPr>
                <w:sz w:val="4"/>
                <w:szCs w:val="4"/>
                <w:color w:val="auto"/>
              </w:rPr>
            </w:pPr>
          </w:p>
        </w:tc>
        <w:tc>
          <w:tcPr>
            <w:tcW w:w="120" w:type="dxa"/>
            <w:vAlign w:val="bottom"/>
          </w:tcPr>
          <w:p>
            <w:pPr>
              <w:spacing w:after="0"/>
              <w:rPr>
                <w:sz w:val="4"/>
                <w:szCs w:val="4"/>
                <w:color w:val="auto"/>
              </w:rPr>
            </w:pPr>
          </w:p>
        </w:tc>
        <w:tc>
          <w:tcPr>
            <w:tcW w:w="980" w:type="dxa"/>
            <w:vAlign w:val="bottom"/>
            <w:gridSpan w:val="2"/>
            <w:vMerge w:val="continue"/>
          </w:tcPr>
          <w:p>
            <w:pPr>
              <w:spacing w:after="0"/>
              <w:rPr>
                <w:sz w:val="4"/>
                <w:szCs w:val="4"/>
                <w:color w:val="auto"/>
              </w:rPr>
            </w:pPr>
          </w:p>
        </w:tc>
        <w:tc>
          <w:tcPr>
            <w:tcW w:w="20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360" w:type="dxa"/>
            <w:vAlign w:val="bottom"/>
          </w:tcPr>
          <w:p>
            <w:pPr>
              <w:spacing w:after="0"/>
              <w:rPr>
                <w:sz w:val="4"/>
                <w:szCs w:val="4"/>
                <w:color w:val="auto"/>
              </w:rPr>
            </w:pPr>
          </w:p>
        </w:tc>
        <w:tc>
          <w:tcPr>
            <w:tcW w:w="160" w:type="dxa"/>
            <w:vAlign w:val="bottom"/>
          </w:tcPr>
          <w:p>
            <w:pPr>
              <w:spacing w:after="0"/>
              <w:rPr>
                <w:sz w:val="4"/>
                <w:szCs w:val="4"/>
                <w:color w:val="auto"/>
              </w:rPr>
            </w:pPr>
          </w:p>
        </w:tc>
        <w:tc>
          <w:tcPr>
            <w:tcW w:w="5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3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3140" w:type="dxa"/>
            <w:vAlign w:val="bottom"/>
            <w:vMerge w:val="restart"/>
            <w:shd w:val="clear" w:color="auto" w:fill="CCEEFF"/>
          </w:tcPr>
          <w:p>
            <w:pPr>
              <w:ind w:left="40"/>
              <w:spacing w:after="0"/>
              <w:rPr>
                <w:sz w:val="20"/>
                <w:szCs w:val="20"/>
                <w:color w:val="auto"/>
              </w:rPr>
            </w:pPr>
            <w:r>
              <w:rPr>
                <w:rFonts w:ascii="Times New Roman" w:cs="Times New Roman" w:eastAsia="Times New Roman" w:hAnsi="Times New Roman"/>
                <w:sz w:val="12"/>
                <w:szCs w:val="12"/>
                <w:color w:val="auto"/>
              </w:rPr>
              <w:t>Goodwill</w:t>
            </w:r>
          </w:p>
        </w:tc>
        <w:tc>
          <w:tcPr>
            <w:tcW w:w="140" w:type="dxa"/>
            <w:vAlign w:val="bottom"/>
            <w:shd w:val="clear" w:color="auto" w:fill="CCEEFF"/>
          </w:tcPr>
          <w:p>
            <w:pPr>
              <w:spacing w:after="0"/>
              <w:rPr>
                <w:sz w:val="14"/>
                <w:szCs w:val="14"/>
                <w:color w:val="auto"/>
              </w:rPr>
            </w:pPr>
          </w:p>
        </w:tc>
        <w:tc>
          <w:tcPr>
            <w:tcW w:w="720" w:type="dxa"/>
            <w:vAlign w:val="bottom"/>
            <w:vMerge w:val="restart"/>
            <w:shd w:val="clear" w:color="auto" w:fill="CCEEFF"/>
          </w:tcPr>
          <w:p>
            <w:pPr>
              <w:jc w:val="right"/>
              <w:ind w:right="21"/>
              <w:spacing w:after="0"/>
              <w:rPr>
                <w:sz w:val="20"/>
                <w:szCs w:val="20"/>
                <w:color w:val="auto"/>
              </w:rPr>
            </w:pPr>
            <w:r>
              <w:rPr>
                <w:rFonts w:ascii="Times New Roman" w:cs="Times New Roman" w:eastAsia="Times New Roman" w:hAnsi="Times New Roman"/>
                <w:sz w:val="12"/>
                <w:szCs w:val="12"/>
                <w:color w:val="auto"/>
              </w:rPr>
              <w:t>26,338</w:t>
            </w:r>
          </w:p>
        </w:tc>
        <w:tc>
          <w:tcPr>
            <w:tcW w:w="160" w:type="dxa"/>
            <w:vAlign w:val="bottom"/>
            <w:shd w:val="clear" w:color="auto" w:fill="CCEEFF"/>
          </w:tcPr>
          <w:p>
            <w:pPr>
              <w:spacing w:after="0"/>
              <w:rPr>
                <w:sz w:val="14"/>
                <w:szCs w:val="14"/>
                <w:color w:val="auto"/>
              </w:rPr>
            </w:pPr>
          </w:p>
        </w:tc>
        <w:tc>
          <w:tcPr>
            <w:tcW w:w="720" w:type="dxa"/>
            <w:vAlign w:val="bottom"/>
            <w:vMerge w:val="restart"/>
            <w:shd w:val="clear" w:color="auto" w:fill="CCEEFF"/>
          </w:tcPr>
          <w:p>
            <w:pPr>
              <w:jc w:val="right"/>
              <w:ind w:right="21"/>
              <w:spacing w:after="0"/>
              <w:rPr>
                <w:sz w:val="20"/>
                <w:szCs w:val="20"/>
                <w:color w:val="auto"/>
              </w:rPr>
            </w:pPr>
            <w:r>
              <w:rPr>
                <w:rFonts w:ascii="Times New Roman" w:cs="Times New Roman" w:eastAsia="Times New Roman" w:hAnsi="Times New Roman"/>
                <w:sz w:val="12"/>
                <w:szCs w:val="12"/>
                <w:color w:val="auto"/>
              </w:rPr>
              <w:t>207,329</w:t>
            </w:r>
          </w:p>
        </w:tc>
        <w:tc>
          <w:tcPr>
            <w:tcW w:w="140" w:type="dxa"/>
            <w:vAlign w:val="bottom"/>
            <w:shd w:val="clear" w:color="auto" w:fill="CCEEFF"/>
          </w:tcPr>
          <w:p>
            <w:pPr>
              <w:spacing w:after="0"/>
              <w:rPr>
                <w:sz w:val="14"/>
                <w:szCs w:val="14"/>
                <w:color w:val="auto"/>
              </w:rPr>
            </w:pPr>
          </w:p>
        </w:tc>
        <w:tc>
          <w:tcPr>
            <w:tcW w:w="880" w:type="dxa"/>
            <w:vAlign w:val="bottom"/>
            <w:shd w:val="clear" w:color="auto" w:fill="CCEEFF"/>
          </w:tcPr>
          <w:p>
            <w:pPr>
              <w:jc w:val="right"/>
              <w:ind w:right="41"/>
              <w:spacing w:after="0"/>
              <w:rPr>
                <w:sz w:val="20"/>
                <w:szCs w:val="20"/>
                <w:color w:val="auto"/>
              </w:rPr>
            </w:pPr>
            <w:r>
              <w:rPr>
                <w:rFonts w:ascii="Times New Roman" w:cs="Times New Roman" w:eastAsia="Times New Roman" w:hAnsi="Times New Roman"/>
                <w:sz w:val="12"/>
                <w:szCs w:val="12"/>
                <w:color w:val="auto"/>
              </w:rPr>
              <w:t>134,440</w:t>
            </w:r>
          </w:p>
        </w:tc>
        <w:tc>
          <w:tcPr>
            <w:tcW w:w="340" w:type="dxa"/>
            <w:vAlign w:val="bottom"/>
            <w:gridSpan w:val="2"/>
            <w:shd w:val="clear" w:color="auto" w:fill="CCEEFF"/>
          </w:tcPr>
          <w:p>
            <w:pPr>
              <w:ind w:left="60"/>
              <w:spacing w:after="0"/>
              <w:rPr>
                <w:sz w:val="20"/>
                <w:szCs w:val="20"/>
                <w:color w:val="auto"/>
              </w:rPr>
            </w:pPr>
            <w:r>
              <w:rPr>
                <w:rFonts w:ascii="Times New Roman" w:cs="Times New Roman" w:eastAsia="Times New Roman" w:hAnsi="Times New Roman"/>
                <w:sz w:val="12"/>
                <w:szCs w:val="12"/>
                <w:color w:val="auto"/>
              </w:rPr>
              <w:t>(d)</w:t>
            </w:r>
          </w:p>
        </w:tc>
        <w:tc>
          <w:tcPr>
            <w:tcW w:w="860" w:type="dxa"/>
            <w:vAlign w:val="bottom"/>
            <w:vMerge w:val="restart"/>
            <w:shd w:val="clear" w:color="auto" w:fill="CCEEFF"/>
          </w:tcPr>
          <w:p>
            <w:pPr>
              <w:jc w:val="right"/>
              <w:ind w:right="41"/>
              <w:spacing w:after="0"/>
              <w:rPr>
                <w:sz w:val="20"/>
                <w:szCs w:val="20"/>
                <w:color w:val="auto"/>
              </w:rPr>
            </w:pPr>
            <w:r>
              <w:rPr>
                <w:rFonts w:ascii="Times New Roman" w:cs="Times New Roman" w:eastAsia="Times New Roman" w:hAnsi="Times New Roman"/>
                <w:sz w:val="12"/>
                <w:szCs w:val="12"/>
                <w:color w:val="auto"/>
              </w:rPr>
              <w:t>—</w:t>
            </w:r>
          </w:p>
        </w:tc>
        <w:tc>
          <w:tcPr>
            <w:tcW w:w="3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80" w:type="dxa"/>
            <w:vAlign w:val="bottom"/>
            <w:gridSpan w:val="2"/>
            <w:vMerge w:val="restart"/>
            <w:shd w:val="clear" w:color="auto" w:fill="CCEEFF"/>
          </w:tcPr>
          <w:p>
            <w:pPr>
              <w:ind w:left="640"/>
              <w:spacing w:after="0"/>
              <w:rPr>
                <w:sz w:val="20"/>
                <w:szCs w:val="20"/>
                <w:color w:val="auto"/>
              </w:rPr>
            </w:pPr>
            <w:r>
              <w:rPr>
                <w:rFonts w:ascii="Times New Roman" w:cs="Times New Roman" w:eastAsia="Times New Roman" w:hAnsi="Times New Roman"/>
                <w:sz w:val="12"/>
                <w:szCs w:val="12"/>
                <w:color w:val="auto"/>
              </w:rPr>
              <w:t>—</w:t>
            </w:r>
          </w:p>
        </w:tc>
        <w:tc>
          <w:tcPr>
            <w:tcW w:w="200" w:type="dxa"/>
            <w:vAlign w:val="bottom"/>
            <w:shd w:val="clear" w:color="auto" w:fill="CCEEFF"/>
          </w:tcPr>
          <w:p>
            <w:pPr>
              <w:spacing w:after="0"/>
              <w:rPr>
                <w:sz w:val="14"/>
                <w:szCs w:val="14"/>
                <w:color w:val="auto"/>
              </w:rPr>
            </w:pPr>
          </w:p>
        </w:tc>
        <w:tc>
          <w:tcPr>
            <w:tcW w:w="1360" w:type="dxa"/>
            <w:vAlign w:val="bottom"/>
            <w:vMerge w:val="restart"/>
            <w:shd w:val="clear" w:color="auto" w:fill="CCEEFF"/>
          </w:tcPr>
          <w:p>
            <w:pPr>
              <w:jc w:val="right"/>
              <w:ind w:right="61"/>
              <w:spacing w:after="0"/>
              <w:rPr>
                <w:sz w:val="20"/>
                <w:szCs w:val="20"/>
                <w:color w:val="auto"/>
              </w:rPr>
            </w:pPr>
            <w:r>
              <w:rPr>
                <w:rFonts w:ascii="Times New Roman" w:cs="Times New Roman" w:eastAsia="Times New Roman" w:hAnsi="Times New Roman"/>
                <w:sz w:val="12"/>
                <w:szCs w:val="12"/>
                <w:color w:val="auto"/>
              </w:rPr>
              <w:t>—</w:t>
            </w:r>
          </w:p>
        </w:tc>
        <w:tc>
          <w:tcPr>
            <w:tcW w:w="3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80" w:type="dxa"/>
            <w:vAlign w:val="bottom"/>
            <w:shd w:val="clear" w:color="auto" w:fill="CCEEFF"/>
          </w:tcPr>
          <w:p>
            <w:pPr>
              <w:jc w:val="right"/>
              <w:ind w:right="42"/>
              <w:spacing w:after="0"/>
              <w:rPr>
                <w:sz w:val="20"/>
                <w:szCs w:val="20"/>
                <w:color w:val="auto"/>
              </w:rPr>
            </w:pPr>
            <w:r>
              <w:rPr>
                <w:rFonts w:ascii="Times New Roman" w:cs="Times New Roman" w:eastAsia="Times New Roman" w:hAnsi="Times New Roman"/>
                <w:sz w:val="12"/>
                <w:szCs w:val="12"/>
                <w:color w:val="auto"/>
              </w:rPr>
              <w:t>368,107</w:t>
            </w:r>
          </w:p>
        </w:tc>
        <w:tc>
          <w:tcPr>
            <w:tcW w:w="0" w:type="dxa"/>
            <w:vAlign w:val="bottom"/>
          </w:tcPr>
          <w:p>
            <w:pPr>
              <w:spacing w:after="0"/>
              <w:rPr>
                <w:sz w:val="1"/>
                <w:szCs w:val="1"/>
                <w:color w:val="auto"/>
              </w:rPr>
            </w:pPr>
          </w:p>
        </w:tc>
      </w:tr>
      <w:tr>
        <w:trPr>
          <w:trHeight w:val="81"/>
        </w:trPr>
        <w:tc>
          <w:tcPr>
            <w:tcW w:w="3140" w:type="dxa"/>
            <w:vAlign w:val="bottom"/>
            <w:tcBorders>
              <w:bottom w:val="single" w:sz="8" w:color="CCEEFF"/>
            </w:tcBorders>
            <w:vMerge w:val="continue"/>
            <w:shd w:val="clear" w:color="auto" w:fill="CCEEFF"/>
          </w:tcPr>
          <w:p>
            <w:pPr>
              <w:spacing w:after="0"/>
              <w:rPr>
                <w:sz w:val="7"/>
                <w:szCs w:val="7"/>
                <w:color w:val="auto"/>
              </w:rPr>
            </w:pPr>
          </w:p>
        </w:tc>
        <w:tc>
          <w:tcPr>
            <w:tcW w:w="140" w:type="dxa"/>
            <w:vAlign w:val="bottom"/>
            <w:tcBorders>
              <w:bottom w:val="single" w:sz="8" w:color="CCEEFF"/>
            </w:tcBorders>
            <w:shd w:val="clear" w:color="auto" w:fill="CCEEFF"/>
          </w:tcPr>
          <w:p>
            <w:pPr>
              <w:spacing w:after="0"/>
              <w:rPr>
                <w:sz w:val="7"/>
                <w:szCs w:val="7"/>
                <w:color w:val="auto"/>
              </w:rPr>
            </w:pPr>
          </w:p>
        </w:tc>
        <w:tc>
          <w:tcPr>
            <w:tcW w:w="720" w:type="dxa"/>
            <w:vAlign w:val="bottom"/>
            <w:tcBorders>
              <w:bottom w:val="single" w:sz="8" w:color="CCEEFF"/>
            </w:tcBorders>
            <w:vMerge w:val="continue"/>
            <w:shd w:val="clear" w:color="auto" w:fill="CCEEFF"/>
          </w:tcPr>
          <w:p>
            <w:pPr>
              <w:spacing w:after="0"/>
              <w:rPr>
                <w:sz w:val="7"/>
                <w:szCs w:val="7"/>
                <w:color w:val="auto"/>
              </w:rPr>
            </w:pPr>
          </w:p>
        </w:tc>
        <w:tc>
          <w:tcPr>
            <w:tcW w:w="160" w:type="dxa"/>
            <w:vAlign w:val="bottom"/>
            <w:tcBorders>
              <w:bottom w:val="single" w:sz="8" w:color="CCEEFF"/>
            </w:tcBorders>
            <w:shd w:val="clear" w:color="auto" w:fill="CCEEFF"/>
          </w:tcPr>
          <w:p>
            <w:pPr>
              <w:spacing w:after="0"/>
              <w:rPr>
                <w:sz w:val="7"/>
                <w:szCs w:val="7"/>
                <w:color w:val="auto"/>
              </w:rPr>
            </w:pPr>
          </w:p>
        </w:tc>
        <w:tc>
          <w:tcPr>
            <w:tcW w:w="720" w:type="dxa"/>
            <w:vAlign w:val="bottom"/>
            <w:tcBorders>
              <w:bottom w:val="single" w:sz="8" w:color="CCEEFF"/>
            </w:tcBorders>
            <w:vMerge w:val="continue"/>
            <w:shd w:val="clear" w:color="auto" w:fill="CCEEFF"/>
          </w:tcPr>
          <w:p>
            <w:pPr>
              <w:spacing w:after="0"/>
              <w:rPr>
                <w:sz w:val="7"/>
                <w:szCs w:val="7"/>
                <w:color w:val="auto"/>
              </w:rPr>
            </w:pPr>
          </w:p>
        </w:tc>
        <w:tc>
          <w:tcPr>
            <w:tcW w:w="140" w:type="dxa"/>
            <w:vAlign w:val="bottom"/>
            <w:tcBorders>
              <w:bottom w:val="single" w:sz="8" w:color="CCEEFF"/>
            </w:tcBorders>
            <w:shd w:val="clear" w:color="auto" w:fill="CCEEFF"/>
          </w:tcPr>
          <w:p>
            <w:pPr>
              <w:spacing w:after="0"/>
              <w:rPr>
                <w:sz w:val="7"/>
                <w:szCs w:val="7"/>
                <w:color w:val="auto"/>
              </w:rPr>
            </w:pPr>
          </w:p>
        </w:tc>
        <w:tc>
          <w:tcPr>
            <w:tcW w:w="880" w:type="dxa"/>
            <w:vAlign w:val="bottom"/>
            <w:tcBorders>
              <w:bottom w:val="single" w:sz="8" w:color="CCEEFF"/>
            </w:tcBorders>
            <w:shd w:val="clear" w:color="auto" w:fill="CCEEFF"/>
          </w:tcPr>
          <w:p>
            <w:pPr>
              <w:spacing w:after="0"/>
              <w:rPr>
                <w:sz w:val="7"/>
                <w:szCs w:val="7"/>
                <w:color w:val="auto"/>
              </w:rPr>
            </w:pPr>
          </w:p>
        </w:tc>
        <w:tc>
          <w:tcPr>
            <w:tcW w:w="220" w:type="dxa"/>
            <w:vAlign w:val="bottom"/>
            <w:tcBorders>
              <w:bottom w:val="single" w:sz="8" w:color="CCEEFF"/>
            </w:tcBorders>
            <w:shd w:val="clear" w:color="auto" w:fill="CCEEFF"/>
          </w:tcPr>
          <w:p>
            <w:pPr>
              <w:spacing w:after="0"/>
              <w:rPr>
                <w:sz w:val="7"/>
                <w:szCs w:val="7"/>
                <w:color w:val="auto"/>
              </w:rPr>
            </w:pPr>
          </w:p>
        </w:tc>
        <w:tc>
          <w:tcPr>
            <w:tcW w:w="120" w:type="dxa"/>
            <w:vAlign w:val="bottom"/>
            <w:tcBorders>
              <w:bottom w:val="single" w:sz="8" w:color="CCEEFF"/>
            </w:tcBorders>
            <w:shd w:val="clear" w:color="auto" w:fill="CCEEFF"/>
          </w:tcPr>
          <w:p>
            <w:pPr>
              <w:spacing w:after="0"/>
              <w:rPr>
                <w:sz w:val="7"/>
                <w:szCs w:val="7"/>
                <w:color w:val="auto"/>
              </w:rPr>
            </w:pPr>
          </w:p>
        </w:tc>
        <w:tc>
          <w:tcPr>
            <w:tcW w:w="860" w:type="dxa"/>
            <w:vAlign w:val="bottom"/>
            <w:tcBorders>
              <w:bottom w:val="single" w:sz="8" w:color="CCEEFF"/>
            </w:tcBorders>
            <w:vMerge w:val="continue"/>
            <w:shd w:val="clear" w:color="auto" w:fill="CCEEFF"/>
          </w:tcPr>
          <w:p>
            <w:pPr>
              <w:spacing w:after="0"/>
              <w:rPr>
                <w:sz w:val="7"/>
                <w:szCs w:val="7"/>
                <w:color w:val="auto"/>
              </w:rPr>
            </w:pPr>
          </w:p>
        </w:tc>
        <w:tc>
          <w:tcPr>
            <w:tcW w:w="320" w:type="dxa"/>
            <w:vAlign w:val="bottom"/>
            <w:tcBorders>
              <w:bottom w:val="single" w:sz="8" w:color="CCEEFF"/>
            </w:tcBorders>
            <w:shd w:val="clear" w:color="auto" w:fill="CCEEFF"/>
          </w:tcPr>
          <w:p>
            <w:pPr>
              <w:spacing w:after="0"/>
              <w:rPr>
                <w:sz w:val="7"/>
                <w:szCs w:val="7"/>
                <w:color w:val="auto"/>
              </w:rPr>
            </w:pPr>
          </w:p>
        </w:tc>
        <w:tc>
          <w:tcPr>
            <w:tcW w:w="120" w:type="dxa"/>
            <w:vAlign w:val="bottom"/>
            <w:tcBorders>
              <w:bottom w:val="single" w:sz="8" w:color="CCEEFF"/>
            </w:tcBorders>
            <w:shd w:val="clear" w:color="auto" w:fill="CCEEFF"/>
          </w:tcPr>
          <w:p>
            <w:pPr>
              <w:spacing w:after="0"/>
              <w:rPr>
                <w:sz w:val="7"/>
                <w:szCs w:val="7"/>
                <w:color w:val="auto"/>
              </w:rPr>
            </w:pPr>
          </w:p>
        </w:tc>
        <w:tc>
          <w:tcPr>
            <w:tcW w:w="980" w:type="dxa"/>
            <w:vAlign w:val="bottom"/>
            <w:tcBorders>
              <w:bottom w:val="single" w:sz="8" w:color="CCEEFF"/>
            </w:tcBorders>
            <w:gridSpan w:val="2"/>
            <w:vMerge w:val="continue"/>
            <w:shd w:val="clear" w:color="auto" w:fill="CCEEFF"/>
          </w:tcPr>
          <w:p>
            <w:pPr>
              <w:spacing w:after="0"/>
              <w:rPr>
                <w:sz w:val="7"/>
                <w:szCs w:val="7"/>
                <w:color w:val="auto"/>
              </w:rPr>
            </w:pPr>
          </w:p>
        </w:tc>
        <w:tc>
          <w:tcPr>
            <w:tcW w:w="200" w:type="dxa"/>
            <w:vAlign w:val="bottom"/>
            <w:tcBorders>
              <w:bottom w:val="single" w:sz="8" w:color="CCEEFF"/>
            </w:tcBorders>
            <w:shd w:val="clear" w:color="auto" w:fill="CCEEFF"/>
          </w:tcPr>
          <w:p>
            <w:pPr>
              <w:spacing w:after="0"/>
              <w:rPr>
                <w:sz w:val="7"/>
                <w:szCs w:val="7"/>
                <w:color w:val="auto"/>
              </w:rPr>
            </w:pPr>
          </w:p>
        </w:tc>
        <w:tc>
          <w:tcPr>
            <w:tcW w:w="1360" w:type="dxa"/>
            <w:vAlign w:val="bottom"/>
            <w:tcBorders>
              <w:bottom w:val="single" w:sz="8" w:color="CCEEFF"/>
            </w:tcBorders>
            <w:vMerge w:val="continue"/>
            <w:shd w:val="clear" w:color="auto" w:fill="CCEEFF"/>
          </w:tcPr>
          <w:p>
            <w:pPr>
              <w:spacing w:after="0"/>
              <w:rPr>
                <w:sz w:val="7"/>
                <w:szCs w:val="7"/>
                <w:color w:val="auto"/>
              </w:rPr>
            </w:pPr>
          </w:p>
        </w:tc>
        <w:tc>
          <w:tcPr>
            <w:tcW w:w="360" w:type="dxa"/>
            <w:vAlign w:val="bottom"/>
            <w:tcBorders>
              <w:bottom w:val="single" w:sz="8" w:color="CCEEFF"/>
            </w:tcBorders>
            <w:shd w:val="clear" w:color="auto" w:fill="CCEEFF"/>
          </w:tcPr>
          <w:p>
            <w:pPr>
              <w:spacing w:after="0"/>
              <w:rPr>
                <w:sz w:val="7"/>
                <w:szCs w:val="7"/>
                <w:color w:val="auto"/>
              </w:rPr>
            </w:pPr>
          </w:p>
        </w:tc>
        <w:tc>
          <w:tcPr>
            <w:tcW w:w="160" w:type="dxa"/>
            <w:vAlign w:val="bottom"/>
            <w:tcBorders>
              <w:bottom w:val="single" w:sz="8" w:color="CCEEFF"/>
            </w:tcBorders>
            <w:shd w:val="clear" w:color="auto" w:fill="CCEEFF"/>
          </w:tcPr>
          <w:p>
            <w:pPr>
              <w:spacing w:after="0"/>
              <w:rPr>
                <w:sz w:val="7"/>
                <w:szCs w:val="7"/>
                <w:color w:val="auto"/>
              </w:rPr>
            </w:pPr>
          </w:p>
        </w:tc>
        <w:tc>
          <w:tcPr>
            <w:tcW w:w="580" w:type="dxa"/>
            <w:vAlign w:val="bottom"/>
            <w:tcBorders>
              <w:bottom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69"/>
        </w:trPr>
        <w:tc>
          <w:tcPr>
            <w:tcW w:w="3140" w:type="dxa"/>
            <w:vAlign w:val="bottom"/>
            <w:vMerge w:val="restart"/>
          </w:tcPr>
          <w:p>
            <w:pPr>
              <w:ind w:left="40"/>
              <w:spacing w:after="0"/>
              <w:rPr>
                <w:sz w:val="20"/>
                <w:szCs w:val="20"/>
                <w:color w:val="auto"/>
              </w:rPr>
            </w:pPr>
            <w:r>
              <w:rPr>
                <w:rFonts w:ascii="Times New Roman" w:cs="Times New Roman" w:eastAsia="Times New Roman" w:hAnsi="Times New Roman"/>
                <w:sz w:val="12"/>
                <w:szCs w:val="12"/>
                <w:color w:val="auto"/>
              </w:rPr>
              <w:t>Intangible assets - net</w:t>
            </w:r>
          </w:p>
        </w:tc>
        <w:tc>
          <w:tcPr>
            <w:tcW w:w="140" w:type="dxa"/>
            <w:vAlign w:val="bottom"/>
          </w:tcPr>
          <w:p>
            <w:pPr>
              <w:spacing w:after="0"/>
              <w:rPr>
                <w:sz w:val="14"/>
                <w:szCs w:val="14"/>
                <w:color w:val="auto"/>
              </w:rPr>
            </w:pPr>
          </w:p>
        </w:tc>
        <w:tc>
          <w:tcPr>
            <w:tcW w:w="720" w:type="dxa"/>
            <w:vAlign w:val="bottom"/>
            <w:vMerge w:val="restart"/>
          </w:tcPr>
          <w:p>
            <w:pPr>
              <w:jc w:val="right"/>
              <w:ind w:right="21"/>
              <w:spacing w:after="0"/>
              <w:rPr>
                <w:sz w:val="20"/>
                <w:szCs w:val="20"/>
                <w:color w:val="auto"/>
              </w:rPr>
            </w:pPr>
            <w:r>
              <w:rPr>
                <w:rFonts w:ascii="Times New Roman" w:cs="Times New Roman" w:eastAsia="Times New Roman" w:hAnsi="Times New Roman"/>
                <w:sz w:val="12"/>
                <w:szCs w:val="12"/>
                <w:color w:val="auto"/>
              </w:rPr>
              <w:t>48,166</w:t>
            </w:r>
          </w:p>
        </w:tc>
        <w:tc>
          <w:tcPr>
            <w:tcW w:w="160" w:type="dxa"/>
            <w:vAlign w:val="bottom"/>
          </w:tcPr>
          <w:p>
            <w:pPr>
              <w:spacing w:after="0"/>
              <w:rPr>
                <w:sz w:val="14"/>
                <w:szCs w:val="14"/>
                <w:color w:val="auto"/>
              </w:rPr>
            </w:pPr>
          </w:p>
        </w:tc>
        <w:tc>
          <w:tcPr>
            <w:tcW w:w="720" w:type="dxa"/>
            <w:vAlign w:val="bottom"/>
            <w:vMerge w:val="restart"/>
          </w:tcPr>
          <w:p>
            <w:pPr>
              <w:jc w:val="right"/>
              <w:ind w:right="21"/>
              <w:spacing w:after="0"/>
              <w:rPr>
                <w:sz w:val="20"/>
                <w:szCs w:val="20"/>
                <w:color w:val="auto"/>
              </w:rPr>
            </w:pPr>
            <w:r>
              <w:rPr>
                <w:rFonts w:ascii="Times New Roman" w:cs="Times New Roman" w:eastAsia="Times New Roman" w:hAnsi="Times New Roman"/>
                <w:sz w:val="12"/>
                <w:szCs w:val="12"/>
                <w:color w:val="auto"/>
              </w:rPr>
              <w:t>248,994</w:t>
            </w:r>
          </w:p>
        </w:tc>
        <w:tc>
          <w:tcPr>
            <w:tcW w:w="140" w:type="dxa"/>
            <w:vAlign w:val="bottom"/>
          </w:tcPr>
          <w:p>
            <w:pPr>
              <w:spacing w:after="0"/>
              <w:rPr>
                <w:sz w:val="14"/>
                <w:szCs w:val="14"/>
                <w:color w:val="auto"/>
              </w:rPr>
            </w:pPr>
          </w:p>
        </w:tc>
        <w:tc>
          <w:tcPr>
            <w:tcW w:w="880" w:type="dxa"/>
            <w:vAlign w:val="bottom"/>
          </w:tcPr>
          <w:p>
            <w:pPr>
              <w:jc w:val="right"/>
              <w:ind w:right="61"/>
              <w:spacing w:after="0"/>
              <w:rPr>
                <w:sz w:val="20"/>
                <w:szCs w:val="20"/>
                <w:color w:val="auto"/>
              </w:rPr>
            </w:pPr>
            <w:r>
              <w:rPr>
                <w:rFonts w:ascii="Times New Roman" w:cs="Times New Roman" w:eastAsia="Times New Roman" w:hAnsi="Times New Roman"/>
                <w:sz w:val="12"/>
                <w:szCs w:val="12"/>
                <w:color w:val="auto"/>
              </w:rPr>
              <w:t>1,333,106</w:t>
            </w:r>
          </w:p>
        </w:tc>
        <w:tc>
          <w:tcPr>
            <w:tcW w:w="340" w:type="dxa"/>
            <w:vAlign w:val="bottom"/>
            <w:gridSpan w:val="2"/>
          </w:tcPr>
          <w:p>
            <w:pPr>
              <w:ind w:left="60"/>
              <w:spacing w:after="0"/>
              <w:rPr>
                <w:sz w:val="20"/>
                <w:szCs w:val="20"/>
                <w:color w:val="auto"/>
              </w:rPr>
            </w:pPr>
            <w:r>
              <w:rPr>
                <w:rFonts w:ascii="Times New Roman" w:cs="Times New Roman" w:eastAsia="Times New Roman" w:hAnsi="Times New Roman"/>
                <w:sz w:val="12"/>
                <w:szCs w:val="12"/>
                <w:color w:val="auto"/>
              </w:rPr>
              <w:t>(c)</w:t>
            </w:r>
          </w:p>
        </w:tc>
        <w:tc>
          <w:tcPr>
            <w:tcW w:w="860" w:type="dxa"/>
            <w:vAlign w:val="bottom"/>
            <w:vMerge w:val="restart"/>
          </w:tcPr>
          <w:p>
            <w:pPr>
              <w:jc w:val="right"/>
              <w:ind w:right="41"/>
              <w:spacing w:after="0"/>
              <w:rPr>
                <w:sz w:val="20"/>
                <w:szCs w:val="20"/>
                <w:color w:val="auto"/>
              </w:rPr>
            </w:pPr>
            <w:r>
              <w:rPr>
                <w:rFonts w:ascii="Times New Roman" w:cs="Times New Roman" w:eastAsia="Times New Roman" w:hAnsi="Times New Roman"/>
                <w:sz w:val="12"/>
                <w:szCs w:val="12"/>
                <w:color w:val="auto"/>
              </w:rPr>
              <w:t>—</w:t>
            </w: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gridSpan w:val="2"/>
            <w:vMerge w:val="restart"/>
          </w:tcPr>
          <w:p>
            <w:pPr>
              <w:ind w:left="640"/>
              <w:spacing w:after="0"/>
              <w:rPr>
                <w:sz w:val="20"/>
                <w:szCs w:val="20"/>
                <w:color w:val="auto"/>
              </w:rPr>
            </w:pPr>
            <w:r>
              <w:rPr>
                <w:rFonts w:ascii="Times New Roman" w:cs="Times New Roman" w:eastAsia="Times New Roman" w:hAnsi="Times New Roman"/>
                <w:sz w:val="12"/>
                <w:szCs w:val="12"/>
                <w:color w:val="auto"/>
              </w:rPr>
              <w:t>—</w:t>
            </w:r>
          </w:p>
        </w:tc>
        <w:tc>
          <w:tcPr>
            <w:tcW w:w="200" w:type="dxa"/>
            <w:vAlign w:val="bottom"/>
          </w:tcPr>
          <w:p>
            <w:pPr>
              <w:spacing w:after="0"/>
              <w:rPr>
                <w:sz w:val="14"/>
                <w:szCs w:val="14"/>
                <w:color w:val="auto"/>
              </w:rPr>
            </w:pPr>
          </w:p>
        </w:tc>
        <w:tc>
          <w:tcPr>
            <w:tcW w:w="1360" w:type="dxa"/>
            <w:vAlign w:val="bottom"/>
            <w:vMerge w:val="restart"/>
          </w:tcPr>
          <w:p>
            <w:pPr>
              <w:jc w:val="right"/>
              <w:ind w:right="61"/>
              <w:spacing w:after="0"/>
              <w:rPr>
                <w:sz w:val="20"/>
                <w:szCs w:val="20"/>
                <w:color w:val="auto"/>
              </w:rPr>
            </w:pPr>
            <w:r>
              <w:rPr>
                <w:rFonts w:ascii="Times New Roman" w:cs="Times New Roman" w:eastAsia="Times New Roman" w:hAnsi="Times New Roman"/>
                <w:sz w:val="12"/>
                <w:szCs w:val="12"/>
                <w:color w:val="auto"/>
              </w:rPr>
              <w:t>—</w:t>
            </w:r>
          </w:p>
        </w:tc>
        <w:tc>
          <w:tcPr>
            <w:tcW w:w="3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w w:val="95"/>
              </w:rPr>
              <w:t>1,630,266</w:t>
            </w:r>
          </w:p>
        </w:tc>
        <w:tc>
          <w:tcPr>
            <w:tcW w:w="0" w:type="dxa"/>
            <w:vAlign w:val="bottom"/>
          </w:tcPr>
          <w:p>
            <w:pPr>
              <w:spacing w:after="0"/>
              <w:rPr>
                <w:sz w:val="1"/>
                <w:szCs w:val="1"/>
                <w:color w:val="auto"/>
              </w:rPr>
            </w:pPr>
          </w:p>
        </w:tc>
      </w:tr>
      <w:tr>
        <w:trPr>
          <w:trHeight w:val="81"/>
        </w:trPr>
        <w:tc>
          <w:tcPr>
            <w:tcW w:w="314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880" w:type="dxa"/>
            <w:vAlign w:val="bottom"/>
          </w:tcPr>
          <w:p>
            <w:pPr>
              <w:spacing w:after="0"/>
              <w:rPr>
                <w:sz w:val="7"/>
                <w:szCs w:val="7"/>
                <w:color w:val="auto"/>
              </w:rPr>
            </w:pPr>
          </w:p>
        </w:tc>
        <w:tc>
          <w:tcPr>
            <w:tcW w:w="220" w:type="dxa"/>
            <w:vAlign w:val="bottom"/>
          </w:tcPr>
          <w:p>
            <w:pPr>
              <w:spacing w:after="0"/>
              <w:rPr>
                <w:sz w:val="7"/>
                <w:szCs w:val="7"/>
                <w:color w:val="auto"/>
              </w:rPr>
            </w:pPr>
          </w:p>
        </w:tc>
        <w:tc>
          <w:tcPr>
            <w:tcW w:w="120" w:type="dxa"/>
            <w:vAlign w:val="bottom"/>
          </w:tcPr>
          <w:p>
            <w:pPr>
              <w:spacing w:after="0"/>
              <w:rPr>
                <w:sz w:val="7"/>
                <w:szCs w:val="7"/>
                <w:color w:val="auto"/>
              </w:rPr>
            </w:pPr>
          </w:p>
        </w:tc>
        <w:tc>
          <w:tcPr>
            <w:tcW w:w="86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120" w:type="dxa"/>
            <w:vAlign w:val="bottom"/>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360" w:type="dxa"/>
            <w:vAlign w:val="bottom"/>
            <w:vMerge w:val="continue"/>
          </w:tcPr>
          <w:p>
            <w:pPr>
              <w:spacing w:after="0"/>
              <w:rPr>
                <w:sz w:val="7"/>
                <w:szCs w:val="7"/>
                <w:color w:val="auto"/>
              </w:rPr>
            </w:pPr>
          </w:p>
        </w:tc>
        <w:tc>
          <w:tcPr>
            <w:tcW w:w="360" w:type="dxa"/>
            <w:vAlign w:val="bottom"/>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3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3140" w:type="dxa"/>
            <w:vAlign w:val="bottom"/>
            <w:vMerge w:val="restart"/>
            <w:shd w:val="clear" w:color="auto" w:fill="CCEEFF"/>
          </w:tcPr>
          <w:p>
            <w:pPr>
              <w:ind w:left="40"/>
              <w:spacing w:after="0"/>
              <w:rPr>
                <w:sz w:val="20"/>
                <w:szCs w:val="20"/>
                <w:color w:val="auto"/>
              </w:rPr>
            </w:pPr>
            <w:r>
              <w:rPr>
                <w:rFonts w:ascii="Times New Roman" w:cs="Times New Roman" w:eastAsia="Times New Roman" w:hAnsi="Times New Roman"/>
                <w:sz w:val="12"/>
                <w:szCs w:val="12"/>
                <w:color w:val="auto"/>
              </w:rPr>
              <w:t>Deferred income taxes - net</w:t>
            </w:r>
          </w:p>
        </w:tc>
        <w:tc>
          <w:tcPr>
            <w:tcW w:w="140" w:type="dxa"/>
            <w:vAlign w:val="bottom"/>
            <w:shd w:val="clear" w:color="auto" w:fill="CCEEFF"/>
          </w:tcPr>
          <w:p>
            <w:pPr>
              <w:spacing w:after="0"/>
              <w:rPr>
                <w:sz w:val="14"/>
                <w:szCs w:val="14"/>
                <w:color w:val="auto"/>
              </w:rPr>
            </w:pPr>
          </w:p>
        </w:tc>
        <w:tc>
          <w:tcPr>
            <w:tcW w:w="720" w:type="dxa"/>
            <w:vAlign w:val="bottom"/>
            <w:vMerge w:val="restart"/>
            <w:shd w:val="clear" w:color="auto" w:fill="CCEEFF"/>
          </w:tcPr>
          <w:p>
            <w:pPr>
              <w:jc w:val="right"/>
              <w:ind w:right="21"/>
              <w:spacing w:after="0"/>
              <w:rPr>
                <w:sz w:val="20"/>
                <w:szCs w:val="20"/>
                <w:color w:val="auto"/>
              </w:rPr>
            </w:pPr>
            <w:r>
              <w:rPr>
                <w:rFonts w:ascii="Times New Roman" w:cs="Times New Roman" w:eastAsia="Times New Roman" w:hAnsi="Times New Roman"/>
                <w:sz w:val="12"/>
                <w:szCs w:val="12"/>
                <w:color w:val="auto"/>
              </w:rPr>
              <w:t>946</w:t>
            </w:r>
          </w:p>
        </w:tc>
        <w:tc>
          <w:tcPr>
            <w:tcW w:w="160" w:type="dxa"/>
            <w:vAlign w:val="bottom"/>
            <w:shd w:val="clear" w:color="auto" w:fill="CCEEFF"/>
          </w:tcPr>
          <w:p>
            <w:pPr>
              <w:spacing w:after="0"/>
              <w:rPr>
                <w:sz w:val="14"/>
                <w:szCs w:val="14"/>
                <w:color w:val="auto"/>
              </w:rPr>
            </w:pPr>
          </w:p>
        </w:tc>
        <w:tc>
          <w:tcPr>
            <w:tcW w:w="720" w:type="dxa"/>
            <w:vAlign w:val="bottom"/>
            <w:vMerge w:val="restart"/>
            <w:shd w:val="clear" w:color="auto" w:fill="CCEEFF"/>
          </w:tcPr>
          <w:p>
            <w:pPr>
              <w:jc w:val="right"/>
              <w:ind w:right="21"/>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shd w:val="clear" w:color="auto" w:fill="CCEEFF"/>
          </w:tcPr>
          <w:p>
            <w:pPr>
              <w:spacing w:after="0"/>
              <w:rPr>
                <w:sz w:val="14"/>
                <w:szCs w:val="14"/>
                <w:color w:val="auto"/>
              </w:rPr>
            </w:pPr>
          </w:p>
        </w:tc>
        <w:tc>
          <w:tcPr>
            <w:tcW w:w="880" w:type="dxa"/>
            <w:vAlign w:val="bottom"/>
            <w:shd w:val="clear" w:color="auto" w:fill="CCEEFF"/>
          </w:tcPr>
          <w:p>
            <w:pPr>
              <w:jc w:val="right"/>
              <w:ind w:right="61"/>
              <w:spacing w:after="0"/>
              <w:rPr>
                <w:sz w:val="20"/>
                <w:szCs w:val="20"/>
                <w:color w:val="auto"/>
              </w:rPr>
            </w:pPr>
            <w:r>
              <w:rPr>
                <w:rFonts w:ascii="Times New Roman" w:cs="Times New Roman" w:eastAsia="Times New Roman" w:hAnsi="Times New Roman"/>
                <w:sz w:val="12"/>
                <w:szCs w:val="12"/>
                <w:color w:val="auto"/>
              </w:rPr>
              <w:t>—</w:t>
            </w:r>
          </w:p>
        </w:tc>
        <w:tc>
          <w:tcPr>
            <w:tcW w:w="2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60" w:type="dxa"/>
            <w:vAlign w:val="bottom"/>
            <w:vMerge w:val="restart"/>
            <w:shd w:val="clear" w:color="auto" w:fill="CCEEFF"/>
          </w:tcPr>
          <w:p>
            <w:pPr>
              <w:jc w:val="right"/>
              <w:ind w:right="41"/>
              <w:spacing w:after="0"/>
              <w:rPr>
                <w:sz w:val="20"/>
                <w:szCs w:val="20"/>
                <w:color w:val="auto"/>
              </w:rPr>
            </w:pPr>
            <w:r>
              <w:rPr>
                <w:rFonts w:ascii="Times New Roman" w:cs="Times New Roman" w:eastAsia="Times New Roman" w:hAnsi="Times New Roman"/>
                <w:sz w:val="12"/>
                <w:szCs w:val="12"/>
                <w:color w:val="auto"/>
              </w:rPr>
              <w:t>48,077</w:t>
            </w:r>
          </w:p>
        </w:tc>
        <w:tc>
          <w:tcPr>
            <w:tcW w:w="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(e)</w:t>
            </w:r>
          </w:p>
        </w:tc>
        <w:tc>
          <w:tcPr>
            <w:tcW w:w="120" w:type="dxa"/>
            <w:vAlign w:val="bottom"/>
            <w:shd w:val="clear" w:color="auto" w:fill="CCEEFF"/>
          </w:tcPr>
          <w:p>
            <w:pPr>
              <w:spacing w:after="0"/>
              <w:rPr>
                <w:sz w:val="14"/>
                <w:szCs w:val="14"/>
                <w:color w:val="auto"/>
              </w:rPr>
            </w:pPr>
          </w:p>
        </w:tc>
        <w:tc>
          <w:tcPr>
            <w:tcW w:w="980" w:type="dxa"/>
            <w:vAlign w:val="bottom"/>
            <w:gridSpan w:val="2"/>
            <w:vMerge w:val="restart"/>
            <w:shd w:val="clear" w:color="auto" w:fill="CCEEFF"/>
          </w:tcPr>
          <w:p>
            <w:pPr>
              <w:ind w:left="640"/>
              <w:spacing w:after="0"/>
              <w:rPr>
                <w:sz w:val="20"/>
                <w:szCs w:val="20"/>
                <w:color w:val="auto"/>
              </w:rPr>
            </w:pPr>
            <w:r>
              <w:rPr>
                <w:rFonts w:ascii="Times New Roman" w:cs="Times New Roman" w:eastAsia="Times New Roman" w:hAnsi="Times New Roman"/>
                <w:sz w:val="12"/>
                <w:szCs w:val="12"/>
                <w:color w:val="auto"/>
              </w:rPr>
              <w:t>—</w:t>
            </w:r>
          </w:p>
        </w:tc>
        <w:tc>
          <w:tcPr>
            <w:tcW w:w="200" w:type="dxa"/>
            <w:vAlign w:val="bottom"/>
            <w:shd w:val="clear" w:color="auto" w:fill="CCEEFF"/>
          </w:tcPr>
          <w:p>
            <w:pPr>
              <w:spacing w:after="0"/>
              <w:rPr>
                <w:sz w:val="14"/>
                <w:szCs w:val="14"/>
                <w:color w:val="auto"/>
              </w:rPr>
            </w:pPr>
          </w:p>
        </w:tc>
        <w:tc>
          <w:tcPr>
            <w:tcW w:w="1360" w:type="dxa"/>
            <w:vAlign w:val="bottom"/>
            <w:vMerge w:val="restart"/>
            <w:shd w:val="clear" w:color="auto" w:fill="CCEEFF"/>
          </w:tcPr>
          <w:p>
            <w:pPr>
              <w:jc w:val="right"/>
              <w:ind w:right="61"/>
              <w:spacing w:after="0"/>
              <w:rPr>
                <w:sz w:val="20"/>
                <w:szCs w:val="20"/>
                <w:color w:val="auto"/>
              </w:rPr>
            </w:pPr>
            <w:r>
              <w:rPr>
                <w:rFonts w:ascii="Times New Roman" w:cs="Times New Roman" w:eastAsia="Times New Roman" w:hAnsi="Times New Roman"/>
                <w:sz w:val="12"/>
                <w:szCs w:val="12"/>
                <w:color w:val="auto"/>
              </w:rPr>
              <w:t>213,575</w:t>
            </w:r>
          </w:p>
        </w:tc>
        <w:tc>
          <w:tcPr>
            <w:tcW w:w="36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2"/>
                <w:szCs w:val="12"/>
                <w:color w:val="auto"/>
                <w:w w:val="98"/>
              </w:rPr>
              <w:t>(a,d)</w:t>
            </w:r>
          </w:p>
        </w:tc>
        <w:tc>
          <w:tcPr>
            <w:tcW w:w="160" w:type="dxa"/>
            <w:vAlign w:val="bottom"/>
            <w:shd w:val="clear" w:color="auto" w:fill="CCEEFF"/>
          </w:tcPr>
          <w:p>
            <w:pPr>
              <w:spacing w:after="0"/>
              <w:rPr>
                <w:sz w:val="14"/>
                <w:szCs w:val="14"/>
                <w:color w:val="auto"/>
              </w:rPr>
            </w:pPr>
          </w:p>
        </w:tc>
        <w:tc>
          <w:tcPr>
            <w:tcW w:w="580" w:type="dxa"/>
            <w:vAlign w:val="bottom"/>
            <w:shd w:val="clear" w:color="auto" w:fill="CCEEFF"/>
          </w:tcPr>
          <w:p>
            <w:pPr>
              <w:jc w:val="right"/>
              <w:ind w:right="42"/>
              <w:spacing w:after="0"/>
              <w:rPr>
                <w:sz w:val="20"/>
                <w:szCs w:val="20"/>
                <w:color w:val="auto"/>
              </w:rPr>
            </w:pPr>
            <w:r>
              <w:rPr>
                <w:rFonts w:ascii="Times New Roman" w:cs="Times New Roman" w:eastAsia="Times New Roman" w:hAnsi="Times New Roman"/>
                <w:sz w:val="12"/>
                <w:szCs w:val="12"/>
                <w:color w:val="auto"/>
              </w:rPr>
              <w:t>262,598</w:t>
            </w:r>
          </w:p>
        </w:tc>
        <w:tc>
          <w:tcPr>
            <w:tcW w:w="0" w:type="dxa"/>
            <w:vAlign w:val="bottom"/>
          </w:tcPr>
          <w:p>
            <w:pPr>
              <w:spacing w:after="0"/>
              <w:rPr>
                <w:sz w:val="1"/>
                <w:szCs w:val="1"/>
                <w:color w:val="auto"/>
              </w:rPr>
            </w:pPr>
          </w:p>
        </w:tc>
      </w:tr>
      <w:tr>
        <w:trPr>
          <w:trHeight w:val="81"/>
        </w:trPr>
        <w:tc>
          <w:tcPr>
            <w:tcW w:w="3140" w:type="dxa"/>
            <w:vAlign w:val="bottom"/>
            <w:tcBorders>
              <w:bottom w:val="single" w:sz="8" w:color="CCEEFF"/>
            </w:tcBorders>
            <w:vMerge w:val="continue"/>
            <w:shd w:val="clear" w:color="auto" w:fill="CCEEFF"/>
          </w:tcPr>
          <w:p>
            <w:pPr>
              <w:spacing w:after="0"/>
              <w:rPr>
                <w:sz w:val="7"/>
                <w:szCs w:val="7"/>
                <w:color w:val="auto"/>
              </w:rPr>
            </w:pPr>
          </w:p>
        </w:tc>
        <w:tc>
          <w:tcPr>
            <w:tcW w:w="140" w:type="dxa"/>
            <w:vAlign w:val="bottom"/>
            <w:tcBorders>
              <w:bottom w:val="single" w:sz="8" w:color="CCEEFF"/>
            </w:tcBorders>
            <w:shd w:val="clear" w:color="auto" w:fill="CCEEFF"/>
          </w:tcPr>
          <w:p>
            <w:pPr>
              <w:spacing w:after="0"/>
              <w:rPr>
                <w:sz w:val="7"/>
                <w:szCs w:val="7"/>
                <w:color w:val="auto"/>
              </w:rPr>
            </w:pPr>
          </w:p>
        </w:tc>
        <w:tc>
          <w:tcPr>
            <w:tcW w:w="720" w:type="dxa"/>
            <w:vAlign w:val="bottom"/>
            <w:tcBorders>
              <w:bottom w:val="single" w:sz="8" w:color="CCEEFF"/>
            </w:tcBorders>
            <w:vMerge w:val="continue"/>
            <w:shd w:val="clear" w:color="auto" w:fill="CCEEFF"/>
          </w:tcPr>
          <w:p>
            <w:pPr>
              <w:spacing w:after="0"/>
              <w:rPr>
                <w:sz w:val="7"/>
                <w:szCs w:val="7"/>
                <w:color w:val="auto"/>
              </w:rPr>
            </w:pPr>
          </w:p>
        </w:tc>
        <w:tc>
          <w:tcPr>
            <w:tcW w:w="160" w:type="dxa"/>
            <w:vAlign w:val="bottom"/>
            <w:tcBorders>
              <w:bottom w:val="single" w:sz="8" w:color="CCEEFF"/>
            </w:tcBorders>
            <w:shd w:val="clear" w:color="auto" w:fill="CCEEFF"/>
          </w:tcPr>
          <w:p>
            <w:pPr>
              <w:spacing w:after="0"/>
              <w:rPr>
                <w:sz w:val="7"/>
                <w:szCs w:val="7"/>
                <w:color w:val="auto"/>
              </w:rPr>
            </w:pPr>
          </w:p>
        </w:tc>
        <w:tc>
          <w:tcPr>
            <w:tcW w:w="720" w:type="dxa"/>
            <w:vAlign w:val="bottom"/>
            <w:tcBorders>
              <w:bottom w:val="single" w:sz="8" w:color="CCEEFF"/>
            </w:tcBorders>
            <w:vMerge w:val="continue"/>
            <w:shd w:val="clear" w:color="auto" w:fill="CCEEFF"/>
          </w:tcPr>
          <w:p>
            <w:pPr>
              <w:spacing w:after="0"/>
              <w:rPr>
                <w:sz w:val="7"/>
                <w:szCs w:val="7"/>
                <w:color w:val="auto"/>
              </w:rPr>
            </w:pPr>
          </w:p>
        </w:tc>
        <w:tc>
          <w:tcPr>
            <w:tcW w:w="140" w:type="dxa"/>
            <w:vAlign w:val="bottom"/>
            <w:tcBorders>
              <w:bottom w:val="single" w:sz="8" w:color="CCEEFF"/>
            </w:tcBorders>
            <w:shd w:val="clear" w:color="auto" w:fill="CCEEFF"/>
          </w:tcPr>
          <w:p>
            <w:pPr>
              <w:spacing w:after="0"/>
              <w:rPr>
                <w:sz w:val="7"/>
                <w:szCs w:val="7"/>
                <w:color w:val="auto"/>
              </w:rPr>
            </w:pPr>
          </w:p>
        </w:tc>
        <w:tc>
          <w:tcPr>
            <w:tcW w:w="880" w:type="dxa"/>
            <w:vAlign w:val="bottom"/>
            <w:tcBorders>
              <w:bottom w:val="single" w:sz="8" w:color="CCEEFF"/>
            </w:tcBorders>
            <w:shd w:val="clear" w:color="auto" w:fill="CCEEFF"/>
          </w:tcPr>
          <w:p>
            <w:pPr>
              <w:spacing w:after="0"/>
              <w:rPr>
                <w:sz w:val="7"/>
                <w:szCs w:val="7"/>
                <w:color w:val="auto"/>
              </w:rPr>
            </w:pPr>
          </w:p>
        </w:tc>
        <w:tc>
          <w:tcPr>
            <w:tcW w:w="220" w:type="dxa"/>
            <w:vAlign w:val="bottom"/>
            <w:tcBorders>
              <w:bottom w:val="single" w:sz="8" w:color="CCEEFF"/>
            </w:tcBorders>
            <w:shd w:val="clear" w:color="auto" w:fill="CCEEFF"/>
          </w:tcPr>
          <w:p>
            <w:pPr>
              <w:spacing w:after="0"/>
              <w:rPr>
                <w:sz w:val="7"/>
                <w:szCs w:val="7"/>
                <w:color w:val="auto"/>
              </w:rPr>
            </w:pPr>
          </w:p>
        </w:tc>
        <w:tc>
          <w:tcPr>
            <w:tcW w:w="120" w:type="dxa"/>
            <w:vAlign w:val="bottom"/>
            <w:tcBorders>
              <w:bottom w:val="single" w:sz="8" w:color="CCEEFF"/>
            </w:tcBorders>
            <w:shd w:val="clear" w:color="auto" w:fill="CCEEFF"/>
          </w:tcPr>
          <w:p>
            <w:pPr>
              <w:spacing w:after="0"/>
              <w:rPr>
                <w:sz w:val="7"/>
                <w:szCs w:val="7"/>
                <w:color w:val="auto"/>
              </w:rPr>
            </w:pPr>
          </w:p>
        </w:tc>
        <w:tc>
          <w:tcPr>
            <w:tcW w:w="860" w:type="dxa"/>
            <w:vAlign w:val="bottom"/>
            <w:tcBorders>
              <w:bottom w:val="single" w:sz="8" w:color="CCEEFF"/>
            </w:tcBorders>
            <w:vMerge w:val="continue"/>
            <w:shd w:val="clear" w:color="auto" w:fill="CCEEFF"/>
          </w:tcPr>
          <w:p>
            <w:pPr>
              <w:spacing w:after="0"/>
              <w:rPr>
                <w:sz w:val="7"/>
                <w:szCs w:val="7"/>
                <w:color w:val="auto"/>
              </w:rPr>
            </w:pPr>
          </w:p>
        </w:tc>
        <w:tc>
          <w:tcPr>
            <w:tcW w:w="320" w:type="dxa"/>
            <w:vAlign w:val="bottom"/>
            <w:tcBorders>
              <w:bottom w:val="single" w:sz="8" w:color="CCEEFF"/>
            </w:tcBorders>
            <w:shd w:val="clear" w:color="auto" w:fill="CCEEFF"/>
          </w:tcPr>
          <w:p>
            <w:pPr>
              <w:spacing w:after="0"/>
              <w:rPr>
                <w:sz w:val="7"/>
                <w:szCs w:val="7"/>
                <w:color w:val="auto"/>
              </w:rPr>
            </w:pPr>
          </w:p>
        </w:tc>
        <w:tc>
          <w:tcPr>
            <w:tcW w:w="120" w:type="dxa"/>
            <w:vAlign w:val="bottom"/>
            <w:tcBorders>
              <w:bottom w:val="single" w:sz="8" w:color="CCEEFF"/>
            </w:tcBorders>
            <w:shd w:val="clear" w:color="auto" w:fill="CCEEFF"/>
          </w:tcPr>
          <w:p>
            <w:pPr>
              <w:spacing w:after="0"/>
              <w:rPr>
                <w:sz w:val="7"/>
                <w:szCs w:val="7"/>
                <w:color w:val="auto"/>
              </w:rPr>
            </w:pPr>
          </w:p>
        </w:tc>
        <w:tc>
          <w:tcPr>
            <w:tcW w:w="980" w:type="dxa"/>
            <w:vAlign w:val="bottom"/>
            <w:tcBorders>
              <w:bottom w:val="single" w:sz="8" w:color="CCEEFF"/>
            </w:tcBorders>
            <w:gridSpan w:val="2"/>
            <w:vMerge w:val="continue"/>
            <w:shd w:val="clear" w:color="auto" w:fill="CCEEFF"/>
          </w:tcPr>
          <w:p>
            <w:pPr>
              <w:spacing w:after="0"/>
              <w:rPr>
                <w:sz w:val="7"/>
                <w:szCs w:val="7"/>
                <w:color w:val="auto"/>
              </w:rPr>
            </w:pPr>
          </w:p>
        </w:tc>
        <w:tc>
          <w:tcPr>
            <w:tcW w:w="200" w:type="dxa"/>
            <w:vAlign w:val="bottom"/>
            <w:tcBorders>
              <w:bottom w:val="single" w:sz="8" w:color="CCEEFF"/>
            </w:tcBorders>
            <w:shd w:val="clear" w:color="auto" w:fill="CCEEFF"/>
          </w:tcPr>
          <w:p>
            <w:pPr>
              <w:spacing w:after="0"/>
              <w:rPr>
                <w:sz w:val="7"/>
                <w:szCs w:val="7"/>
                <w:color w:val="auto"/>
              </w:rPr>
            </w:pPr>
          </w:p>
        </w:tc>
        <w:tc>
          <w:tcPr>
            <w:tcW w:w="1360" w:type="dxa"/>
            <w:vAlign w:val="bottom"/>
            <w:tcBorders>
              <w:bottom w:val="single" w:sz="8" w:color="CCEEFF"/>
            </w:tcBorders>
            <w:vMerge w:val="continue"/>
            <w:shd w:val="clear" w:color="auto" w:fill="CCEEFF"/>
          </w:tcPr>
          <w:p>
            <w:pPr>
              <w:spacing w:after="0"/>
              <w:rPr>
                <w:sz w:val="7"/>
                <w:szCs w:val="7"/>
                <w:color w:val="auto"/>
              </w:rPr>
            </w:pPr>
          </w:p>
        </w:tc>
        <w:tc>
          <w:tcPr>
            <w:tcW w:w="360" w:type="dxa"/>
            <w:vAlign w:val="bottom"/>
            <w:tcBorders>
              <w:bottom w:val="single" w:sz="8" w:color="CCEEFF"/>
            </w:tcBorders>
            <w:shd w:val="clear" w:color="auto" w:fill="CCEEFF"/>
          </w:tcPr>
          <w:p>
            <w:pPr>
              <w:spacing w:after="0"/>
              <w:rPr>
                <w:sz w:val="7"/>
                <w:szCs w:val="7"/>
                <w:color w:val="auto"/>
              </w:rPr>
            </w:pPr>
          </w:p>
        </w:tc>
        <w:tc>
          <w:tcPr>
            <w:tcW w:w="160" w:type="dxa"/>
            <w:vAlign w:val="bottom"/>
            <w:tcBorders>
              <w:bottom w:val="single" w:sz="8" w:color="CCEEFF"/>
            </w:tcBorders>
            <w:shd w:val="clear" w:color="auto" w:fill="CCEEFF"/>
          </w:tcPr>
          <w:p>
            <w:pPr>
              <w:spacing w:after="0"/>
              <w:rPr>
                <w:sz w:val="7"/>
                <w:szCs w:val="7"/>
                <w:color w:val="auto"/>
              </w:rPr>
            </w:pPr>
          </w:p>
        </w:tc>
        <w:tc>
          <w:tcPr>
            <w:tcW w:w="580" w:type="dxa"/>
            <w:vAlign w:val="bottom"/>
            <w:tcBorders>
              <w:bottom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69"/>
        </w:trPr>
        <w:tc>
          <w:tcPr>
            <w:tcW w:w="3140" w:type="dxa"/>
            <w:vAlign w:val="bottom"/>
            <w:vMerge w:val="restart"/>
          </w:tcPr>
          <w:p>
            <w:pPr>
              <w:ind w:left="40"/>
              <w:spacing w:after="0"/>
              <w:rPr>
                <w:sz w:val="20"/>
                <w:szCs w:val="20"/>
                <w:color w:val="auto"/>
              </w:rPr>
            </w:pPr>
            <w:r>
              <w:rPr>
                <w:rFonts w:ascii="Times New Roman" w:cs="Times New Roman" w:eastAsia="Times New Roman" w:hAnsi="Times New Roman"/>
                <w:sz w:val="12"/>
                <w:szCs w:val="12"/>
                <w:color w:val="auto"/>
              </w:rPr>
              <w:t>Other assets</w:t>
            </w:r>
          </w:p>
        </w:tc>
        <w:tc>
          <w:tcPr>
            <w:tcW w:w="140" w:type="dxa"/>
            <w:vAlign w:val="bottom"/>
          </w:tcPr>
          <w:p>
            <w:pPr>
              <w:spacing w:after="0"/>
              <w:rPr>
                <w:sz w:val="14"/>
                <w:szCs w:val="14"/>
                <w:color w:val="auto"/>
              </w:rPr>
            </w:pPr>
          </w:p>
        </w:tc>
        <w:tc>
          <w:tcPr>
            <w:tcW w:w="720" w:type="dxa"/>
            <w:vAlign w:val="bottom"/>
            <w:vMerge w:val="restart"/>
          </w:tcPr>
          <w:p>
            <w:pPr>
              <w:jc w:val="right"/>
              <w:ind w:right="21"/>
              <w:spacing w:after="0"/>
              <w:rPr>
                <w:sz w:val="20"/>
                <w:szCs w:val="20"/>
                <w:color w:val="auto"/>
              </w:rPr>
            </w:pPr>
            <w:r>
              <w:rPr>
                <w:rFonts w:ascii="Times New Roman" w:cs="Times New Roman" w:eastAsia="Times New Roman" w:hAnsi="Times New Roman"/>
                <w:sz w:val="12"/>
                <w:szCs w:val="12"/>
                <w:color w:val="auto"/>
              </w:rPr>
              <w:t>17,927</w:t>
            </w:r>
          </w:p>
        </w:tc>
        <w:tc>
          <w:tcPr>
            <w:tcW w:w="160" w:type="dxa"/>
            <w:vAlign w:val="bottom"/>
          </w:tcPr>
          <w:p>
            <w:pPr>
              <w:spacing w:after="0"/>
              <w:rPr>
                <w:sz w:val="14"/>
                <w:szCs w:val="14"/>
                <w:color w:val="auto"/>
              </w:rPr>
            </w:pPr>
          </w:p>
        </w:tc>
        <w:tc>
          <w:tcPr>
            <w:tcW w:w="720" w:type="dxa"/>
            <w:vAlign w:val="bottom"/>
            <w:vMerge w:val="restart"/>
          </w:tcPr>
          <w:p>
            <w:pPr>
              <w:jc w:val="right"/>
              <w:ind w:right="21"/>
              <w:spacing w:after="0"/>
              <w:rPr>
                <w:sz w:val="20"/>
                <w:szCs w:val="20"/>
                <w:color w:val="auto"/>
              </w:rPr>
            </w:pPr>
            <w:r>
              <w:rPr>
                <w:rFonts w:ascii="Times New Roman" w:cs="Times New Roman" w:eastAsia="Times New Roman" w:hAnsi="Times New Roman"/>
                <w:sz w:val="12"/>
                <w:szCs w:val="12"/>
                <w:color w:val="auto"/>
              </w:rPr>
              <w:t>63,626</w:t>
            </w:r>
          </w:p>
        </w:tc>
        <w:tc>
          <w:tcPr>
            <w:tcW w:w="140" w:type="dxa"/>
            <w:vAlign w:val="bottom"/>
          </w:tcPr>
          <w:p>
            <w:pPr>
              <w:spacing w:after="0"/>
              <w:rPr>
                <w:sz w:val="14"/>
                <w:szCs w:val="14"/>
                <w:color w:val="auto"/>
              </w:rPr>
            </w:pPr>
          </w:p>
        </w:tc>
        <w:tc>
          <w:tcPr>
            <w:tcW w:w="880" w:type="dxa"/>
            <w:vAlign w:val="bottom"/>
          </w:tcPr>
          <w:p>
            <w:pPr>
              <w:jc w:val="right"/>
              <w:ind w:right="41"/>
              <w:spacing w:after="0"/>
              <w:rPr>
                <w:sz w:val="20"/>
                <w:szCs w:val="20"/>
                <w:color w:val="auto"/>
              </w:rPr>
            </w:pPr>
            <w:r>
              <w:rPr>
                <w:rFonts w:ascii="Times New Roman" w:cs="Times New Roman" w:eastAsia="Times New Roman" w:hAnsi="Times New Roman"/>
                <w:sz w:val="12"/>
                <w:szCs w:val="12"/>
                <w:color w:val="auto"/>
              </w:rPr>
              <w:t>(796)</w:t>
            </w:r>
          </w:p>
        </w:tc>
        <w:tc>
          <w:tcPr>
            <w:tcW w:w="340" w:type="dxa"/>
            <w:vAlign w:val="bottom"/>
            <w:gridSpan w:val="2"/>
          </w:tcPr>
          <w:p>
            <w:pPr>
              <w:ind w:left="60"/>
              <w:spacing w:after="0"/>
              <w:rPr>
                <w:sz w:val="20"/>
                <w:szCs w:val="20"/>
                <w:color w:val="auto"/>
              </w:rPr>
            </w:pPr>
            <w:r>
              <w:rPr>
                <w:rFonts w:ascii="Times New Roman" w:cs="Times New Roman" w:eastAsia="Times New Roman" w:hAnsi="Times New Roman"/>
                <w:sz w:val="12"/>
                <w:szCs w:val="12"/>
                <w:color w:val="auto"/>
              </w:rPr>
              <w:t>(e)</w:t>
            </w:r>
          </w:p>
        </w:tc>
        <w:tc>
          <w:tcPr>
            <w:tcW w:w="860" w:type="dxa"/>
            <w:vAlign w:val="bottom"/>
            <w:vMerge w:val="restart"/>
          </w:tcPr>
          <w:p>
            <w:pPr>
              <w:jc w:val="right"/>
              <w:ind w:right="41"/>
              <w:spacing w:after="0"/>
              <w:rPr>
                <w:sz w:val="20"/>
                <w:szCs w:val="20"/>
                <w:color w:val="auto"/>
              </w:rPr>
            </w:pPr>
            <w:r>
              <w:rPr>
                <w:rFonts w:ascii="Times New Roman" w:cs="Times New Roman" w:eastAsia="Times New Roman" w:hAnsi="Times New Roman"/>
                <w:sz w:val="12"/>
                <w:szCs w:val="12"/>
                <w:color w:val="auto"/>
              </w:rPr>
              <w:t>3,194</w:t>
            </w:r>
          </w:p>
        </w:tc>
        <w:tc>
          <w:tcPr>
            <w:tcW w:w="32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(d)</w:t>
            </w:r>
          </w:p>
        </w:tc>
        <w:tc>
          <w:tcPr>
            <w:tcW w:w="120" w:type="dxa"/>
            <w:vAlign w:val="bottom"/>
          </w:tcPr>
          <w:p>
            <w:pPr>
              <w:spacing w:after="0"/>
              <w:rPr>
                <w:sz w:val="14"/>
                <w:szCs w:val="14"/>
                <w:color w:val="auto"/>
              </w:rPr>
            </w:pPr>
          </w:p>
        </w:tc>
        <w:tc>
          <w:tcPr>
            <w:tcW w:w="980" w:type="dxa"/>
            <w:vAlign w:val="bottom"/>
            <w:gridSpan w:val="2"/>
            <w:vMerge w:val="restart"/>
          </w:tcPr>
          <w:p>
            <w:pPr>
              <w:ind w:left="640"/>
              <w:spacing w:after="0"/>
              <w:rPr>
                <w:sz w:val="20"/>
                <w:szCs w:val="20"/>
                <w:color w:val="auto"/>
              </w:rPr>
            </w:pPr>
            <w:r>
              <w:rPr>
                <w:rFonts w:ascii="Times New Roman" w:cs="Times New Roman" w:eastAsia="Times New Roman" w:hAnsi="Times New Roman"/>
                <w:sz w:val="12"/>
                <w:szCs w:val="12"/>
                <w:color w:val="auto"/>
              </w:rPr>
              <w:t>—</w:t>
            </w:r>
          </w:p>
        </w:tc>
        <w:tc>
          <w:tcPr>
            <w:tcW w:w="200" w:type="dxa"/>
            <w:vAlign w:val="bottom"/>
          </w:tcPr>
          <w:p>
            <w:pPr>
              <w:spacing w:after="0"/>
              <w:rPr>
                <w:sz w:val="14"/>
                <w:szCs w:val="14"/>
                <w:color w:val="auto"/>
              </w:rPr>
            </w:pPr>
          </w:p>
        </w:tc>
        <w:tc>
          <w:tcPr>
            <w:tcW w:w="1360" w:type="dxa"/>
            <w:vAlign w:val="bottom"/>
            <w:vMerge w:val="restart"/>
          </w:tcPr>
          <w:p>
            <w:pPr>
              <w:jc w:val="right"/>
              <w:ind w:right="61"/>
              <w:spacing w:after="0"/>
              <w:rPr>
                <w:sz w:val="20"/>
                <w:szCs w:val="20"/>
                <w:color w:val="auto"/>
              </w:rPr>
            </w:pPr>
            <w:r>
              <w:rPr>
                <w:rFonts w:ascii="Times New Roman" w:cs="Times New Roman" w:eastAsia="Times New Roman" w:hAnsi="Times New Roman"/>
                <w:sz w:val="12"/>
                <w:szCs w:val="12"/>
                <w:color w:val="auto"/>
              </w:rPr>
              <w:t>—</w:t>
            </w:r>
          </w:p>
        </w:tc>
        <w:tc>
          <w:tcPr>
            <w:tcW w:w="3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rPr>
              <w:t>83,951</w:t>
            </w:r>
          </w:p>
        </w:tc>
        <w:tc>
          <w:tcPr>
            <w:tcW w:w="0" w:type="dxa"/>
            <w:vAlign w:val="bottom"/>
          </w:tcPr>
          <w:p>
            <w:pPr>
              <w:spacing w:after="0"/>
              <w:rPr>
                <w:sz w:val="1"/>
                <w:szCs w:val="1"/>
                <w:color w:val="auto"/>
              </w:rPr>
            </w:pPr>
          </w:p>
        </w:tc>
      </w:tr>
      <w:tr>
        <w:trPr>
          <w:trHeight w:val="81"/>
        </w:trPr>
        <w:tc>
          <w:tcPr>
            <w:tcW w:w="314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880" w:type="dxa"/>
            <w:vAlign w:val="bottom"/>
          </w:tcPr>
          <w:p>
            <w:pPr>
              <w:spacing w:after="0"/>
              <w:rPr>
                <w:sz w:val="7"/>
                <w:szCs w:val="7"/>
                <w:color w:val="auto"/>
              </w:rPr>
            </w:pPr>
          </w:p>
        </w:tc>
        <w:tc>
          <w:tcPr>
            <w:tcW w:w="220" w:type="dxa"/>
            <w:vAlign w:val="bottom"/>
          </w:tcPr>
          <w:p>
            <w:pPr>
              <w:spacing w:after="0"/>
              <w:rPr>
                <w:sz w:val="7"/>
                <w:szCs w:val="7"/>
                <w:color w:val="auto"/>
              </w:rPr>
            </w:pPr>
          </w:p>
        </w:tc>
        <w:tc>
          <w:tcPr>
            <w:tcW w:w="120" w:type="dxa"/>
            <w:vAlign w:val="bottom"/>
          </w:tcPr>
          <w:p>
            <w:pPr>
              <w:spacing w:after="0"/>
              <w:rPr>
                <w:sz w:val="7"/>
                <w:szCs w:val="7"/>
                <w:color w:val="auto"/>
              </w:rPr>
            </w:pPr>
          </w:p>
        </w:tc>
        <w:tc>
          <w:tcPr>
            <w:tcW w:w="86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120" w:type="dxa"/>
            <w:vAlign w:val="bottom"/>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360" w:type="dxa"/>
            <w:vAlign w:val="bottom"/>
            <w:vMerge w:val="continue"/>
          </w:tcPr>
          <w:p>
            <w:pPr>
              <w:spacing w:after="0"/>
              <w:rPr>
                <w:sz w:val="7"/>
                <w:szCs w:val="7"/>
                <w:color w:val="auto"/>
              </w:rPr>
            </w:pPr>
          </w:p>
        </w:tc>
        <w:tc>
          <w:tcPr>
            <w:tcW w:w="360" w:type="dxa"/>
            <w:vAlign w:val="bottom"/>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314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33"/>
        </w:trPr>
        <w:tc>
          <w:tcPr>
            <w:tcW w:w="314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2"/>
                <w:szCs w:val="12"/>
                <w:color w:val="auto"/>
              </w:rPr>
              <w:t>Total assets</w:t>
            </w:r>
          </w:p>
        </w:tc>
        <w:tc>
          <w:tcPr>
            <w:tcW w:w="140" w:type="dxa"/>
            <w:vAlign w:val="bottom"/>
            <w:shd w:val="clear" w:color="auto" w:fill="CCEEFF"/>
          </w:tcPr>
          <w:p>
            <w:pPr>
              <w:jc w:val="right"/>
              <w:ind w:right="2"/>
              <w:spacing w:after="0"/>
              <w:rPr>
                <w:sz w:val="20"/>
                <w:szCs w:val="20"/>
                <w:color w:val="auto"/>
              </w:rPr>
            </w:pPr>
            <w:r>
              <w:rPr>
                <w:rFonts w:ascii="Times New Roman" w:cs="Times New Roman" w:eastAsia="Times New Roman" w:hAnsi="Times New Roman"/>
                <w:sz w:val="12"/>
                <w:szCs w:val="12"/>
                <w:color w:val="auto"/>
                <w:w w:val="99"/>
              </w:rPr>
              <w:t>$</w:t>
            </w:r>
          </w:p>
        </w:tc>
        <w:tc>
          <w:tcPr>
            <w:tcW w:w="720" w:type="dxa"/>
            <w:vAlign w:val="bottom"/>
            <w:shd w:val="clear" w:color="auto" w:fill="CCEEFF"/>
          </w:tcPr>
          <w:p>
            <w:pPr>
              <w:jc w:val="right"/>
              <w:ind w:right="21"/>
              <w:spacing w:after="0"/>
              <w:rPr>
                <w:sz w:val="20"/>
                <w:szCs w:val="20"/>
                <w:color w:val="auto"/>
              </w:rPr>
            </w:pPr>
            <w:r>
              <w:rPr>
                <w:rFonts w:ascii="Times New Roman" w:cs="Times New Roman" w:eastAsia="Times New Roman" w:hAnsi="Times New Roman"/>
                <w:sz w:val="12"/>
                <w:szCs w:val="12"/>
                <w:color w:val="auto"/>
              </w:rPr>
              <w:t>1,358,788</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720" w:type="dxa"/>
            <w:vAlign w:val="bottom"/>
            <w:shd w:val="clear" w:color="auto" w:fill="CCEEFF"/>
          </w:tcPr>
          <w:p>
            <w:pPr>
              <w:jc w:val="right"/>
              <w:ind w:right="21"/>
              <w:spacing w:after="0"/>
              <w:rPr>
                <w:sz w:val="20"/>
                <w:szCs w:val="20"/>
                <w:color w:val="auto"/>
              </w:rPr>
            </w:pPr>
            <w:r>
              <w:rPr>
                <w:rFonts w:ascii="Times New Roman" w:cs="Times New Roman" w:eastAsia="Times New Roman" w:hAnsi="Times New Roman"/>
                <w:sz w:val="12"/>
                <w:szCs w:val="12"/>
                <w:color w:val="auto"/>
              </w:rPr>
              <w:t>1,207,733</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880" w:type="dxa"/>
            <w:vAlign w:val="bottom"/>
            <w:shd w:val="clear" w:color="auto" w:fill="CCEEFF"/>
          </w:tcPr>
          <w:p>
            <w:pPr>
              <w:jc w:val="right"/>
              <w:ind w:right="61"/>
              <w:spacing w:after="0"/>
              <w:rPr>
                <w:sz w:val="20"/>
                <w:szCs w:val="20"/>
                <w:color w:val="auto"/>
              </w:rPr>
            </w:pPr>
            <w:r>
              <w:rPr>
                <w:rFonts w:ascii="Times New Roman" w:cs="Times New Roman" w:eastAsia="Times New Roman" w:hAnsi="Times New Roman"/>
                <w:sz w:val="12"/>
                <w:szCs w:val="12"/>
                <w:color w:val="auto"/>
              </w:rPr>
              <w:t>1,079,203</w:t>
            </w:r>
          </w:p>
        </w:tc>
        <w:tc>
          <w:tcPr>
            <w:tcW w:w="340" w:type="dxa"/>
            <w:vAlign w:val="bottom"/>
            <w:gridSpan w:val="2"/>
            <w:shd w:val="clear" w:color="auto" w:fill="CCEEFF"/>
          </w:tcPr>
          <w:p>
            <w:pPr>
              <w:ind w:left="240"/>
              <w:spacing w:after="0"/>
              <w:rPr>
                <w:sz w:val="20"/>
                <w:szCs w:val="20"/>
                <w:color w:val="auto"/>
              </w:rPr>
            </w:pPr>
            <w:r>
              <w:rPr>
                <w:rFonts w:ascii="Times New Roman" w:cs="Times New Roman" w:eastAsia="Times New Roman" w:hAnsi="Times New Roman"/>
                <w:sz w:val="12"/>
                <w:szCs w:val="12"/>
                <w:color w:val="auto"/>
              </w:rPr>
              <w:t>$</w:t>
            </w:r>
          </w:p>
        </w:tc>
        <w:tc>
          <w:tcPr>
            <w:tcW w:w="860" w:type="dxa"/>
            <w:vAlign w:val="bottom"/>
            <w:shd w:val="clear" w:color="auto" w:fill="CCEEFF"/>
          </w:tcPr>
          <w:p>
            <w:pPr>
              <w:jc w:val="right"/>
              <w:ind w:right="41"/>
              <w:spacing w:after="0"/>
              <w:rPr>
                <w:sz w:val="20"/>
                <w:szCs w:val="20"/>
                <w:color w:val="auto"/>
              </w:rPr>
            </w:pPr>
            <w:r>
              <w:rPr>
                <w:rFonts w:ascii="Times New Roman" w:cs="Times New Roman" w:eastAsia="Times New Roman" w:hAnsi="Times New Roman"/>
                <w:sz w:val="12"/>
                <w:szCs w:val="12"/>
                <w:color w:val="auto"/>
              </w:rPr>
              <w:t>1,131,348</w:t>
            </w:r>
          </w:p>
        </w:tc>
        <w:tc>
          <w:tcPr>
            <w:tcW w:w="320" w:type="dxa"/>
            <w:vAlign w:val="bottom"/>
            <w:shd w:val="clear" w:color="auto" w:fill="CCEEFF"/>
          </w:tcPr>
          <w:p>
            <w:pPr>
              <w:spacing w:after="0"/>
              <w:rPr>
                <w:sz w:val="20"/>
                <w:szCs w:val="20"/>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980" w:type="dxa"/>
            <w:vAlign w:val="bottom"/>
            <w:gridSpan w:val="2"/>
            <w:shd w:val="clear" w:color="auto" w:fill="CCEEFF"/>
          </w:tcPr>
          <w:p>
            <w:pPr>
              <w:ind w:left="640"/>
              <w:spacing w:after="0"/>
              <w:rPr>
                <w:sz w:val="20"/>
                <w:szCs w:val="20"/>
                <w:color w:val="auto"/>
              </w:rPr>
            </w:pPr>
            <w:r>
              <w:rPr>
                <w:rFonts w:ascii="Times New Roman" w:cs="Times New Roman" w:eastAsia="Times New Roman" w:hAnsi="Times New Roman"/>
                <w:sz w:val="12"/>
                <w:szCs w:val="12"/>
                <w:color w:val="auto"/>
              </w:rPr>
              <w:t>—</w:t>
            </w:r>
          </w:p>
        </w:tc>
        <w:tc>
          <w:tcPr>
            <w:tcW w:w="200" w:type="dxa"/>
            <w:vAlign w:val="bottom"/>
            <w:shd w:val="clear" w:color="auto" w:fill="CCEEFF"/>
          </w:tcPr>
          <w:p>
            <w:pPr>
              <w:jc w:val="right"/>
              <w:ind w:right="60"/>
              <w:spacing w:after="0"/>
              <w:rPr>
                <w:sz w:val="20"/>
                <w:szCs w:val="20"/>
                <w:color w:val="auto"/>
              </w:rPr>
            </w:pPr>
            <w:r>
              <w:rPr>
                <w:rFonts w:ascii="Times New Roman" w:cs="Times New Roman" w:eastAsia="Times New Roman" w:hAnsi="Times New Roman"/>
                <w:sz w:val="12"/>
                <w:szCs w:val="12"/>
                <w:color w:val="auto"/>
                <w:w w:val="99"/>
              </w:rPr>
              <w:t>$</w:t>
            </w:r>
          </w:p>
        </w:tc>
        <w:tc>
          <w:tcPr>
            <w:tcW w:w="1360" w:type="dxa"/>
            <w:vAlign w:val="bottom"/>
            <w:shd w:val="clear" w:color="auto" w:fill="CCEEFF"/>
          </w:tcPr>
          <w:p>
            <w:pPr>
              <w:jc w:val="right"/>
              <w:ind w:right="61"/>
              <w:spacing w:after="0"/>
              <w:rPr>
                <w:sz w:val="20"/>
                <w:szCs w:val="20"/>
                <w:color w:val="auto"/>
              </w:rPr>
            </w:pPr>
            <w:r>
              <w:rPr>
                <w:rFonts w:ascii="Times New Roman" w:cs="Times New Roman" w:eastAsia="Times New Roman" w:hAnsi="Times New Roman"/>
                <w:sz w:val="12"/>
                <w:szCs w:val="12"/>
                <w:color w:val="auto"/>
              </w:rPr>
              <w:t>213,575</w:t>
            </w:r>
          </w:p>
        </w:tc>
        <w:tc>
          <w:tcPr>
            <w:tcW w:w="360" w:type="dxa"/>
            <w:vAlign w:val="bottom"/>
            <w:shd w:val="clear" w:color="auto" w:fill="CCEEFF"/>
          </w:tcPr>
          <w:p>
            <w:pPr>
              <w:spacing w:after="0"/>
              <w:rPr>
                <w:sz w:val="20"/>
                <w:szCs w:val="20"/>
                <w:color w:val="auto"/>
              </w:rPr>
            </w:pPr>
          </w:p>
        </w:tc>
        <w:tc>
          <w:tcPr>
            <w:tcW w:w="160" w:type="dxa"/>
            <w:vAlign w:val="bottom"/>
            <w:shd w:val="clear" w:color="auto" w:fill="CCEEFF"/>
          </w:tcPr>
          <w:p>
            <w:pPr>
              <w:jc w:val="right"/>
              <w:ind w:right="22"/>
              <w:spacing w:after="0"/>
              <w:rPr>
                <w:sz w:val="20"/>
                <w:szCs w:val="20"/>
                <w:color w:val="auto"/>
              </w:rPr>
            </w:pPr>
            <w:r>
              <w:rPr>
                <w:rFonts w:ascii="Times New Roman" w:cs="Times New Roman" w:eastAsia="Times New Roman" w:hAnsi="Times New Roman"/>
                <w:sz w:val="12"/>
                <w:szCs w:val="12"/>
                <w:color w:val="auto"/>
                <w:w w:val="99"/>
              </w:rPr>
              <w:t>$</w:t>
            </w:r>
          </w:p>
        </w:tc>
        <w:tc>
          <w:tcPr>
            <w:tcW w:w="580" w:type="dxa"/>
            <w:vAlign w:val="bottom"/>
            <w:shd w:val="clear" w:color="auto" w:fill="CCEEFF"/>
          </w:tcPr>
          <w:p>
            <w:pPr>
              <w:jc w:val="right"/>
              <w:ind w:right="42"/>
              <w:spacing w:after="0"/>
              <w:rPr>
                <w:sz w:val="20"/>
                <w:szCs w:val="20"/>
                <w:color w:val="auto"/>
              </w:rPr>
            </w:pPr>
            <w:r>
              <w:rPr>
                <w:rFonts w:ascii="Times New Roman" w:cs="Times New Roman" w:eastAsia="Times New Roman" w:hAnsi="Times New Roman"/>
                <w:sz w:val="12"/>
                <w:szCs w:val="12"/>
                <w:color w:val="auto"/>
                <w:w w:val="95"/>
              </w:rPr>
              <w:t>4,990,647</w:t>
            </w:r>
          </w:p>
        </w:tc>
        <w:tc>
          <w:tcPr>
            <w:tcW w:w="0" w:type="dxa"/>
            <w:vAlign w:val="bottom"/>
          </w:tcPr>
          <w:p>
            <w:pPr>
              <w:spacing w:after="0"/>
              <w:rPr>
                <w:sz w:val="1"/>
                <w:szCs w:val="1"/>
                <w:color w:val="auto"/>
              </w:rPr>
            </w:pPr>
          </w:p>
        </w:tc>
      </w:tr>
      <w:tr>
        <w:trPr>
          <w:trHeight w:val="20"/>
        </w:trPr>
        <w:tc>
          <w:tcPr>
            <w:tcW w:w="31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8" w:lineRule="exact"/>
        <w:rPr>
          <w:sz w:val="20"/>
          <w:szCs w:val="20"/>
          <w:color w:val="auto"/>
        </w:rPr>
      </w:pPr>
    </w:p>
    <w:p>
      <w:pPr>
        <w:sectPr>
          <w:pgSz w:w="11900" w:h="16838" w:orient="portrait"/>
          <w:cols w:equalWidth="0" w:num="1">
            <w:col w:w="11180"/>
          </w:cols>
          <w:pgMar w:left="360" w:top="581" w:right="359" w:bottom="1440" w:gutter="0" w:footer="0" w:header="0"/>
        </w:sectPr>
      </w:pPr>
    </w:p>
    <w:p>
      <w:pPr>
        <w:ind w:left="40"/>
        <w:spacing w:after="0"/>
        <w:rPr>
          <w:sz w:val="20"/>
          <w:szCs w:val="20"/>
          <w:color w:val="auto"/>
        </w:rPr>
      </w:pPr>
      <w:r>
        <w:rPr>
          <w:rFonts w:ascii="Times New Roman" w:cs="Times New Roman" w:eastAsia="Times New Roman" w:hAnsi="Times New Roman"/>
          <w:sz w:val="12"/>
          <w:szCs w:val="12"/>
          <w:b w:val="1"/>
          <w:bCs w:val="1"/>
          <w:color w:val="auto"/>
        </w:rPr>
        <w:t>Liabilities and Shareholders' (Deficit) Equity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21590</wp:posOffset>
            </wp:positionV>
            <wp:extent cx="7092315" cy="1714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092315" cy="171450"/>
                    </a:xfrm>
                    <a:prstGeom prst="rect">
                      <a:avLst/>
                    </a:prstGeom>
                    <a:noFill/>
                  </pic:spPr>
                </pic:pic>
              </a:graphicData>
            </a:graphic>
          </wp:anchor>
        </w:drawing>
      </w:r>
    </w:p>
    <w:p>
      <w:pPr>
        <w:spacing w:after="0" w:line="11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2"/>
          <w:szCs w:val="12"/>
          <w:color w:val="auto"/>
        </w:rPr>
        <w:t>Current liabilities:</w:t>
      </w:r>
    </w:p>
    <w:p>
      <w:pPr>
        <w:spacing w:after="0" w:line="119" w:lineRule="exact"/>
        <w:rPr>
          <w:sz w:val="20"/>
          <w:szCs w:val="20"/>
          <w:color w:val="auto"/>
        </w:rPr>
      </w:pPr>
    </w:p>
    <w:tbl>
      <w:tblPr>
        <w:tblLayout w:type="fixed"/>
        <w:tblInd w:w="20" w:type="dxa"/>
        <w:tblCellMar>
          <w:top w:w="0" w:type="dxa"/>
          <w:left w:w="0" w:type="dxa"/>
          <w:bottom w:w="0" w:type="dxa"/>
          <w:right w:w="0" w:type="dxa"/>
        </w:tblCellMar>
      </w:tblPr>
      <w:tr>
        <w:trPr>
          <w:trHeight w:val="164"/>
        </w:trPr>
        <w:tc>
          <w:tcPr>
            <w:tcW w:w="3120" w:type="dxa"/>
            <w:vAlign w:val="bottom"/>
          </w:tcPr>
          <w:p>
            <w:pPr>
              <w:ind w:left="20"/>
              <w:spacing w:after="0"/>
              <w:rPr>
                <w:sz w:val="20"/>
                <w:szCs w:val="20"/>
                <w:color w:val="auto"/>
              </w:rPr>
            </w:pPr>
            <w:r>
              <w:rPr>
                <w:rFonts w:ascii="Times New Roman" w:cs="Times New Roman" w:eastAsia="Times New Roman" w:hAnsi="Times New Roman"/>
                <w:sz w:val="12"/>
                <w:szCs w:val="12"/>
                <w:color w:val="auto"/>
              </w:rPr>
              <w:t>Accounts payable</w:t>
            </w:r>
          </w:p>
        </w:tc>
        <w:tc>
          <w:tcPr>
            <w:tcW w:w="200" w:type="dxa"/>
            <w:vAlign w:val="bottom"/>
          </w:tcPr>
          <w:p>
            <w:pPr>
              <w:jc w:val="right"/>
              <w:ind w:right="62"/>
              <w:spacing w:after="0"/>
              <w:rPr>
                <w:sz w:val="20"/>
                <w:szCs w:val="20"/>
                <w:color w:val="auto"/>
              </w:rPr>
            </w:pPr>
            <w:r>
              <w:rPr>
                <w:rFonts w:ascii="Times New Roman" w:cs="Times New Roman" w:eastAsia="Times New Roman" w:hAnsi="Times New Roman"/>
                <w:sz w:val="12"/>
                <w:szCs w:val="12"/>
                <w:color w:val="auto"/>
                <w:w w:val="99"/>
              </w:rPr>
              <w:t>$</w:t>
            </w:r>
          </w:p>
        </w:tc>
        <w:tc>
          <w:tcPr>
            <w:tcW w:w="660" w:type="dxa"/>
            <w:vAlign w:val="bottom"/>
          </w:tcPr>
          <w:p>
            <w:pPr>
              <w:jc w:val="right"/>
              <w:ind w:right="22"/>
              <w:spacing w:after="0"/>
              <w:rPr>
                <w:sz w:val="20"/>
                <w:szCs w:val="20"/>
                <w:color w:val="auto"/>
              </w:rPr>
            </w:pPr>
            <w:r>
              <w:rPr>
                <w:rFonts w:ascii="Times New Roman" w:cs="Times New Roman" w:eastAsia="Times New Roman" w:hAnsi="Times New Roman"/>
                <w:sz w:val="12"/>
                <w:szCs w:val="12"/>
                <w:color w:val="auto"/>
              </w:rPr>
              <w:t>84,221</w:t>
            </w:r>
          </w:p>
        </w:tc>
        <w:tc>
          <w:tcPr>
            <w:tcW w:w="22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rPr>
              <w:t>$</w:t>
            </w:r>
          </w:p>
        </w:tc>
        <w:tc>
          <w:tcPr>
            <w:tcW w:w="660" w:type="dxa"/>
            <w:vAlign w:val="bottom"/>
          </w:tcPr>
          <w:p>
            <w:pPr>
              <w:jc w:val="right"/>
              <w:ind w:right="22"/>
              <w:spacing w:after="0"/>
              <w:rPr>
                <w:sz w:val="20"/>
                <w:szCs w:val="20"/>
                <w:color w:val="auto"/>
              </w:rPr>
            </w:pPr>
            <w:r>
              <w:rPr>
                <w:rFonts w:ascii="Times New Roman" w:cs="Times New Roman" w:eastAsia="Times New Roman" w:hAnsi="Times New Roman"/>
                <w:sz w:val="12"/>
                <w:szCs w:val="12"/>
                <w:color w:val="auto"/>
              </w:rPr>
              <w:t>65,261</w:t>
            </w:r>
          </w:p>
        </w:tc>
        <w:tc>
          <w:tcPr>
            <w:tcW w:w="280" w:type="dxa"/>
            <w:vAlign w:val="bottom"/>
          </w:tcPr>
          <w:p>
            <w:pPr>
              <w:jc w:val="right"/>
              <w:ind w:right="102"/>
              <w:spacing w:after="0"/>
              <w:rPr>
                <w:sz w:val="20"/>
                <w:szCs w:val="20"/>
                <w:color w:val="auto"/>
              </w:rPr>
            </w:pPr>
            <w:r>
              <w:rPr>
                <w:rFonts w:ascii="Times New Roman" w:cs="Times New Roman" w:eastAsia="Times New Roman" w:hAnsi="Times New Roman"/>
                <w:sz w:val="12"/>
                <w:szCs w:val="12"/>
                <w:color w:val="auto"/>
              </w:rPr>
              <w:t>$</w:t>
            </w:r>
          </w:p>
        </w:tc>
        <w:tc>
          <w:tcPr>
            <w:tcW w:w="740" w:type="dxa"/>
            <w:vAlign w:val="bottom"/>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46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74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rPr>
              <w:t>—</w:t>
            </w:r>
          </w:p>
        </w:tc>
        <w:tc>
          <w:tcPr>
            <w:tcW w:w="58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840" w:type="dxa"/>
            <w:vAlign w:val="bottom"/>
            <w:gridSpan w:val="2"/>
          </w:tcPr>
          <w:p>
            <w:pPr>
              <w:jc w:val="right"/>
              <w:ind w:right="220"/>
              <w:spacing w:after="0"/>
              <w:rPr>
                <w:sz w:val="20"/>
                <w:szCs w:val="20"/>
                <w:color w:val="auto"/>
              </w:rPr>
            </w:pPr>
            <w:r>
              <w:rPr>
                <w:rFonts w:ascii="Times New Roman" w:cs="Times New Roman" w:eastAsia="Times New Roman" w:hAnsi="Times New Roman"/>
                <w:sz w:val="12"/>
                <w:szCs w:val="12"/>
                <w:color w:val="auto"/>
              </w:rPr>
              <w:t>—</w:t>
            </w:r>
          </w:p>
        </w:tc>
        <w:tc>
          <w:tcPr>
            <w:tcW w:w="540" w:type="dxa"/>
            <w:vAlign w:val="bottom"/>
          </w:tcPr>
          <w:p>
            <w:pPr>
              <w:jc w:val="right"/>
              <w:ind w:right="402"/>
              <w:spacing w:after="0"/>
              <w:rPr>
                <w:sz w:val="20"/>
                <w:szCs w:val="20"/>
                <w:color w:val="auto"/>
              </w:rPr>
            </w:pPr>
            <w:r>
              <w:rPr>
                <w:rFonts w:ascii="Times New Roman" w:cs="Times New Roman" w:eastAsia="Times New Roman" w:hAnsi="Times New Roman"/>
                <w:sz w:val="12"/>
                <w:szCs w:val="12"/>
                <w:color w:val="auto"/>
                <w:w w:val="99"/>
              </w:rPr>
              <w:t>$</w:t>
            </w:r>
          </w:p>
        </w:tc>
        <w:tc>
          <w:tcPr>
            <w:tcW w:w="1020" w:type="dxa"/>
            <w:vAlign w:val="bottom"/>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0" w:type="dxa"/>
            <w:vAlign w:val="bottom"/>
          </w:tcPr>
          <w:p>
            <w:pPr>
              <w:spacing w:after="0"/>
              <w:rPr>
                <w:sz w:val="1"/>
                <w:szCs w:val="1"/>
                <w:color w:val="auto"/>
              </w:rPr>
            </w:pPr>
          </w:p>
        </w:tc>
      </w:tr>
      <w:tr>
        <w:trPr>
          <w:trHeight w:val="189"/>
        </w:trPr>
        <w:tc>
          <w:tcPr>
            <w:tcW w:w="3120" w:type="dxa"/>
            <w:vAlign w:val="bottom"/>
            <w:vMerge w:val="restart"/>
          </w:tcPr>
          <w:p>
            <w:pPr>
              <w:ind w:left="20"/>
              <w:spacing w:after="0"/>
              <w:rPr>
                <w:sz w:val="20"/>
                <w:szCs w:val="20"/>
                <w:color w:val="auto"/>
              </w:rPr>
            </w:pPr>
            <w:r>
              <w:rPr>
                <w:rFonts w:ascii="Times New Roman" w:cs="Times New Roman" w:eastAsia="Times New Roman" w:hAnsi="Times New Roman"/>
                <w:sz w:val="12"/>
                <w:szCs w:val="12"/>
                <w:color w:val="auto"/>
              </w:rPr>
              <w:t>Current portion of debt and capital lease obligations - net</w:t>
            </w:r>
          </w:p>
        </w:tc>
        <w:tc>
          <w:tcPr>
            <w:tcW w:w="20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89,171</w:t>
            </w:r>
          </w:p>
        </w:tc>
        <w:tc>
          <w:tcPr>
            <w:tcW w:w="22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17,859</w:t>
            </w:r>
          </w:p>
        </w:tc>
        <w:tc>
          <w:tcPr>
            <w:tcW w:w="280" w:type="dxa"/>
            <w:vAlign w:val="bottom"/>
          </w:tcPr>
          <w:p>
            <w:pPr>
              <w:spacing w:after="0"/>
              <w:rPr>
                <w:sz w:val="16"/>
                <w:szCs w:val="16"/>
                <w:color w:val="auto"/>
              </w:rPr>
            </w:pP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(17,859)</w:t>
            </w:r>
          </w:p>
        </w:tc>
        <w:tc>
          <w:tcPr>
            <w:tcW w:w="460" w:type="dxa"/>
            <w:vAlign w:val="bottom"/>
            <w:gridSpan w:val="2"/>
          </w:tcPr>
          <w:p>
            <w:pPr>
              <w:jc w:val="right"/>
              <w:ind w:right="280"/>
              <w:spacing w:after="0"/>
              <w:rPr>
                <w:sz w:val="20"/>
                <w:szCs w:val="20"/>
                <w:color w:val="auto"/>
              </w:rPr>
            </w:pPr>
            <w:r>
              <w:rPr>
                <w:rFonts w:ascii="Times New Roman" w:cs="Times New Roman" w:eastAsia="Times New Roman" w:hAnsi="Times New Roman"/>
                <w:sz w:val="12"/>
                <w:szCs w:val="12"/>
                <w:color w:val="auto"/>
              </w:rPr>
              <w:t>(i)</w:t>
            </w: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(62,171)</w:t>
            </w:r>
          </w:p>
        </w:tc>
        <w:tc>
          <w:tcPr>
            <w:tcW w:w="580" w:type="dxa"/>
            <w:vAlign w:val="bottom"/>
            <w:gridSpan w:val="2"/>
          </w:tcPr>
          <w:p>
            <w:pPr>
              <w:jc w:val="right"/>
              <w:ind w:right="280"/>
              <w:spacing w:after="0"/>
              <w:rPr>
                <w:sz w:val="20"/>
                <w:szCs w:val="20"/>
                <w:color w:val="auto"/>
              </w:rPr>
            </w:pPr>
            <w:r>
              <w:rPr>
                <w:rFonts w:ascii="Times New Roman" w:cs="Times New Roman" w:eastAsia="Times New Roman" w:hAnsi="Times New Roman"/>
                <w:sz w:val="12"/>
                <w:szCs w:val="12"/>
                <w:color w:val="auto"/>
              </w:rPr>
              <w:t>(b)</w:t>
            </w:r>
          </w:p>
        </w:tc>
        <w:tc>
          <w:tcPr>
            <w:tcW w:w="84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2"/>
                <w:szCs w:val="12"/>
                <w:color w:val="auto"/>
              </w:rPr>
              <w:t>—</w:t>
            </w:r>
          </w:p>
        </w:tc>
        <w:tc>
          <w:tcPr>
            <w:tcW w:w="540" w:type="dxa"/>
            <w:vAlign w:val="bottom"/>
          </w:tcPr>
          <w:p>
            <w:pPr>
              <w:spacing w:after="0"/>
              <w:rPr>
                <w:sz w:val="16"/>
                <w:szCs w:val="16"/>
                <w:color w:val="auto"/>
              </w:rPr>
            </w:pPr>
          </w:p>
        </w:tc>
        <w:tc>
          <w:tcPr>
            <w:tcW w:w="1020" w:type="dxa"/>
            <w:vAlign w:val="bottom"/>
            <w:vMerge w:val="restart"/>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0" w:type="dxa"/>
            <w:vAlign w:val="bottom"/>
          </w:tcPr>
          <w:p>
            <w:pPr>
              <w:spacing w:after="0"/>
              <w:rPr>
                <w:sz w:val="1"/>
                <w:szCs w:val="1"/>
                <w:color w:val="auto"/>
              </w:rPr>
            </w:pPr>
          </w:p>
        </w:tc>
      </w:tr>
      <w:tr>
        <w:trPr>
          <w:trHeight w:val="81"/>
        </w:trPr>
        <w:tc>
          <w:tcPr>
            <w:tcW w:w="31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2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260" w:type="dxa"/>
            <w:vAlign w:val="bottom"/>
          </w:tcPr>
          <w:p>
            <w:pPr>
              <w:spacing w:after="0"/>
              <w:rPr>
                <w:sz w:val="7"/>
                <w:szCs w:val="7"/>
                <w:color w:val="auto"/>
              </w:rPr>
            </w:pPr>
          </w:p>
        </w:tc>
        <w:tc>
          <w:tcPr>
            <w:tcW w:w="840" w:type="dxa"/>
            <w:vAlign w:val="bottom"/>
            <w:gridSpan w:val="2"/>
            <w:vMerge w:val="continue"/>
          </w:tcPr>
          <w:p>
            <w:pPr>
              <w:spacing w:after="0"/>
              <w:rPr>
                <w:sz w:val="7"/>
                <w:szCs w:val="7"/>
                <w:color w:val="auto"/>
              </w:rPr>
            </w:pPr>
          </w:p>
        </w:tc>
        <w:tc>
          <w:tcPr>
            <w:tcW w:w="540" w:type="dxa"/>
            <w:vAlign w:val="bottom"/>
          </w:tcPr>
          <w:p>
            <w:pPr>
              <w:spacing w:after="0"/>
              <w:rPr>
                <w:sz w:val="7"/>
                <w:szCs w:val="7"/>
                <w:color w:val="auto"/>
              </w:rPr>
            </w:pPr>
          </w:p>
        </w:tc>
        <w:tc>
          <w:tcPr>
            <w:tcW w:w="10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3120" w:type="dxa"/>
            <w:vAlign w:val="bottom"/>
            <w:vMerge w:val="restart"/>
          </w:tcPr>
          <w:p>
            <w:pPr>
              <w:ind w:left="20"/>
              <w:spacing w:after="0"/>
              <w:rPr>
                <w:sz w:val="20"/>
                <w:szCs w:val="20"/>
                <w:color w:val="auto"/>
              </w:rPr>
            </w:pPr>
            <w:r>
              <w:rPr>
                <w:rFonts w:ascii="Times New Roman" w:cs="Times New Roman" w:eastAsia="Times New Roman" w:hAnsi="Times New Roman"/>
                <w:sz w:val="12"/>
                <w:szCs w:val="12"/>
                <w:color w:val="auto"/>
              </w:rPr>
              <w:t>Accrued expenses and other current liabilities</w:t>
            </w:r>
          </w:p>
        </w:tc>
        <w:tc>
          <w:tcPr>
            <w:tcW w:w="20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130,291</w:t>
            </w:r>
          </w:p>
        </w:tc>
        <w:tc>
          <w:tcPr>
            <w:tcW w:w="22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255,511</w:t>
            </w:r>
          </w:p>
        </w:tc>
        <w:tc>
          <w:tcPr>
            <w:tcW w:w="280" w:type="dxa"/>
            <w:vAlign w:val="bottom"/>
          </w:tcPr>
          <w:p>
            <w:pPr>
              <w:spacing w:after="0"/>
              <w:rPr>
                <w:sz w:val="16"/>
                <w:szCs w:val="16"/>
                <w:color w:val="auto"/>
              </w:rPr>
            </w:pP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(93)</w:t>
            </w:r>
          </w:p>
        </w:tc>
        <w:tc>
          <w:tcPr>
            <w:tcW w:w="460" w:type="dxa"/>
            <w:vAlign w:val="bottom"/>
            <w:gridSpan w:val="2"/>
          </w:tcPr>
          <w:p>
            <w:pPr>
              <w:jc w:val="right"/>
              <w:ind w:right="280"/>
              <w:spacing w:after="0"/>
              <w:rPr>
                <w:sz w:val="20"/>
                <w:szCs w:val="20"/>
                <w:color w:val="auto"/>
              </w:rPr>
            </w:pPr>
            <w:r>
              <w:rPr>
                <w:rFonts w:ascii="Times New Roman" w:cs="Times New Roman" w:eastAsia="Times New Roman" w:hAnsi="Times New Roman"/>
                <w:sz w:val="12"/>
                <w:szCs w:val="12"/>
                <w:color w:val="auto"/>
              </w:rPr>
              <w:t>(g)</w:t>
            </w: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(792)</w:t>
            </w:r>
          </w:p>
        </w:tc>
        <w:tc>
          <w:tcPr>
            <w:tcW w:w="580" w:type="dxa"/>
            <w:vAlign w:val="bottom"/>
            <w:gridSpan w:val="2"/>
          </w:tcPr>
          <w:p>
            <w:pPr>
              <w:jc w:val="right"/>
              <w:ind w:right="280"/>
              <w:spacing w:after="0"/>
              <w:rPr>
                <w:sz w:val="20"/>
                <w:szCs w:val="20"/>
                <w:color w:val="auto"/>
              </w:rPr>
            </w:pPr>
            <w:r>
              <w:rPr>
                <w:rFonts w:ascii="Times New Roman" w:cs="Times New Roman" w:eastAsia="Times New Roman" w:hAnsi="Times New Roman"/>
                <w:sz w:val="12"/>
                <w:szCs w:val="12"/>
                <w:color w:val="auto"/>
              </w:rPr>
              <w:t>(c)</w:t>
            </w:r>
          </w:p>
        </w:tc>
        <w:tc>
          <w:tcPr>
            <w:tcW w:w="84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2"/>
                <w:szCs w:val="12"/>
                <w:color w:val="auto"/>
              </w:rPr>
              <w:t>—</w:t>
            </w:r>
          </w:p>
        </w:tc>
        <w:tc>
          <w:tcPr>
            <w:tcW w:w="540" w:type="dxa"/>
            <w:vAlign w:val="bottom"/>
          </w:tcPr>
          <w:p>
            <w:pPr>
              <w:spacing w:after="0"/>
              <w:rPr>
                <w:sz w:val="16"/>
                <w:szCs w:val="16"/>
                <w:color w:val="auto"/>
              </w:rPr>
            </w:pPr>
          </w:p>
        </w:tc>
        <w:tc>
          <w:tcPr>
            <w:tcW w:w="1020" w:type="dxa"/>
            <w:vAlign w:val="bottom"/>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0" w:type="dxa"/>
            <w:vAlign w:val="bottom"/>
          </w:tcPr>
          <w:p>
            <w:pPr>
              <w:spacing w:after="0"/>
              <w:rPr>
                <w:sz w:val="1"/>
                <w:szCs w:val="1"/>
                <w:color w:val="auto"/>
              </w:rPr>
            </w:pPr>
          </w:p>
        </w:tc>
      </w:tr>
      <w:tr>
        <w:trPr>
          <w:trHeight w:val="81"/>
        </w:trPr>
        <w:tc>
          <w:tcPr>
            <w:tcW w:w="31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2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260" w:type="dxa"/>
            <w:vAlign w:val="bottom"/>
          </w:tcPr>
          <w:p>
            <w:pPr>
              <w:spacing w:after="0"/>
              <w:rPr>
                <w:sz w:val="7"/>
                <w:szCs w:val="7"/>
                <w:color w:val="auto"/>
              </w:rPr>
            </w:pPr>
          </w:p>
        </w:tc>
        <w:tc>
          <w:tcPr>
            <w:tcW w:w="840" w:type="dxa"/>
            <w:vAlign w:val="bottom"/>
            <w:gridSpan w:val="2"/>
            <w:vMerge w:val="continue"/>
          </w:tcPr>
          <w:p>
            <w:pPr>
              <w:spacing w:after="0"/>
              <w:rPr>
                <w:sz w:val="7"/>
                <w:szCs w:val="7"/>
                <w:color w:val="auto"/>
              </w:rPr>
            </w:pPr>
          </w:p>
        </w:tc>
        <w:tc>
          <w:tcPr>
            <w:tcW w:w="5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70"/>
        </w:trPr>
        <w:tc>
          <w:tcPr>
            <w:tcW w:w="3120" w:type="dxa"/>
            <w:vAlign w:val="bottom"/>
          </w:tcPr>
          <w:p>
            <w:pPr>
              <w:ind w:left="20"/>
              <w:spacing w:after="0"/>
              <w:rPr>
                <w:sz w:val="20"/>
                <w:szCs w:val="20"/>
                <w:color w:val="auto"/>
              </w:rPr>
            </w:pPr>
            <w:r>
              <w:rPr>
                <w:rFonts w:ascii="Times New Roman" w:cs="Times New Roman" w:eastAsia="Times New Roman" w:hAnsi="Times New Roman"/>
                <w:sz w:val="12"/>
                <w:szCs w:val="12"/>
                <w:color w:val="auto"/>
              </w:rPr>
              <w:t>Related party payables</w:t>
            </w:r>
          </w:p>
        </w:tc>
        <w:tc>
          <w:tcPr>
            <w:tcW w:w="200" w:type="dxa"/>
            <w:vAlign w:val="bottom"/>
          </w:tcPr>
          <w:p>
            <w:pPr>
              <w:spacing w:after="0"/>
              <w:rPr>
                <w:sz w:val="23"/>
                <w:szCs w:val="23"/>
                <w:color w:val="auto"/>
              </w:rPr>
            </w:pPr>
          </w:p>
        </w:tc>
        <w:tc>
          <w:tcPr>
            <w:tcW w:w="660" w:type="dxa"/>
            <w:vAlign w:val="bottom"/>
          </w:tcPr>
          <w:p>
            <w:pPr>
              <w:jc w:val="right"/>
              <w:ind w:right="22"/>
              <w:spacing w:after="0"/>
              <w:rPr>
                <w:sz w:val="20"/>
                <w:szCs w:val="20"/>
                <w:color w:val="auto"/>
              </w:rPr>
            </w:pPr>
            <w:r>
              <w:rPr>
                <w:rFonts w:ascii="Times New Roman" w:cs="Times New Roman" w:eastAsia="Times New Roman" w:hAnsi="Times New Roman"/>
                <w:sz w:val="12"/>
                <w:szCs w:val="12"/>
                <w:color w:val="auto"/>
              </w:rPr>
              <w:t>9,368</w:t>
            </w:r>
          </w:p>
        </w:tc>
        <w:tc>
          <w:tcPr>
            <w:tcW w:w="220" w:type="dxa"/>
            <w:vAlign w:val="bottom"/>
          </w:tcPr>
          <w:p>
            <w:pPr>
              <w:spacing w:after="0"/>
              <w:rPr>
                <w:sz w:val="23"/>
                <w:szCs w:val="23"/>
                <w:color w:val="auto"/>
              </w:rPr>
            </w:pPr>
          </w:p>
        </w:tc>
        <w:tc>
          <w:tcPr>
            <w:tcW w:w="660" w:type="dxa"/>
            <w:vAlign w:val="bottom"/>
          </w:tcPr>
          <w:p>
            <w:pPr>
              <w:jc w:val="right"/>
              <w:ind w:right="22"/>
              <w:spacing w:after="0"/>
              <w:rPr>
                <w:sz w:val="20"/>
                <w:szCs w:val="20"/>
                <w:color w:val="auto"/>
              </w:rPr>
            </w:pPr>
            <w:r>
              <w:rPr>
                <w:rFonts w:ascii="Times New Roman" w:cs="Times New Roman" w:eastAsia="Times New Roman" w:hAnsi="Times New Roman"/>
                <w:sz w:val="12"/>
                <w:szCs w:val="12"/>
                <w:color w:val="auto"/>
              </w:rPr>
              <w:t>—</w:t>
            </w:r>
          </w:p>
        </w:tc>
        <w:tc>
          <w:tcPr>
            <w:tcW w:w="280" w:type="dxa"/>
            <w:vAlign w:val="bottom"/>
          </w:tcPr>
          <w:p>
            <w:pPr>
              <w:spacing w:after="0"/>
              <w:rPr>
                <w:sz w:val="23"/>
                <w:szCs w:val="23"/>
                <w:color w:val="auto"/>
              </w:rPr>
            </w:pPr>
          </w:p>
        </w:tc>
        <w:tc>
          <w:tcPr>
            <w:tcW w:w="740" w:type="dxa"/>
            <w:vAlign w:val="bottom"/>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2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4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rPr>
              <w:t>—</w:t>
            </w:r>
          </w:p>
        </w:tc>
        <w:tc>
          <w:tcPr>
            <w:tcW w:w="3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40" w:type="dxa"/>
            <w:vAlign w:val="bottom"/>
            <w:gridSpan w:val="2"/>
          </w:tcPr>
          <w:p>
            <w:pPr>
              <w:jc w:val="right"/>
              <w:ind w:right="220"/>
              <w:spacing w:after="0"/>
              <w:rPr>
                <w:sz w:val="20"/>
                <w:szCs w:val="20"/>
                <w:color w:val="auto"/>
              </w:rPr>
            </w:pPr>
            <w:r>
              <w:rPr>
                <w:rFonts w:ascii="Times New Roman" w:cs="Times New Roman" w:eastAsia="Times New Roman" w:hAnsi="Times New Roman"/>
                <w:sz w:val="12"/>
                <w:szCs w:val="12"/>
                <w:color w:val="auto"/>
              </w:rPr>
              <w:t>—</w:t>
            </w:r>
          </w:p>
        </w:tc>
        <w:tc>
          <w:tcPr>
            <w:tcW w:w="540" w:type="dxa"/>
            <w:vAlign w:val="bottom"/>
          </w:tcPr>
          <w:p>
            <w:pPr>
              <w:spacing w:after="0"/>
              <w:rPr>
                <w:sz w:val="23"/>
                <w:szCs w:val="23"/>
                <w:color w:val="auto"/>
              </w:rPr>
            </w:pPr>
          </w:p>
        </w:tc>
        <w:tc>
          <w:tcPr>
            <w:tcW w:w="1020" w:type="dxa"/>
            <w:vAlign w:val="bottom"/>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0" w:type="dxa"/>
            <w:vAlign w:val="bottom"/>
          </w:tcPr>
          <w:p>
            <w:pPr>
              <w:spacing w:after="0"/>
              <w:rPr>
                <w:sz w:val="1"/>
                <w:szCs w:val="1"/>
                <w:color w:val="auto"/>
              </w:rPr>
            </w:pPr>
          </w:p>
        </w:tc>
      </w:tr>
      <w:tr>
        <w:trPr>
          <w:trHeight w:val="20"/>
        </w:trPr>
        <w:tc>
          <w:tcPr>
            <w:tcW w:w="3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3120" w:type="dxa"/>
            <w:vAlign w:val="bottom"/>
            <w:vMerge w:val="restart"/>
          </w:tcPr>
          <w:p>
            <w:pPr>
              <w:ind w:left="320"/>
              <w:spacing w:after="0"/>
              <w:rPr>
                <w:sz w:val="20"/>
                <w:szCs w:val="20"/>
                <w:color w:val="auto"/>
              </w:rPr>
            </w:pPr>
            <w:r>
              <w:rPr>
                <w:rFonts w:ascii="Times New Roman" w:cs="Times New Roman" w:eastAsia="Times New Roman" w:hAnsi="Times New Roman"/>
                <w:sz w:val="12"/>
                <w:szCs w:val="12"/>
                <w:color w:val="auto"/>
              </w:rPr>
              <w:t>Total current liabilities</w:t>
            </w:r>
          </w:p>
        </w:tc>
        <w:tc>
          <w:tcPr>
            <w:tcW w:w="200" w:type="dxa"/>
            <w:vAlign w:val="bottom"/>
          </w:tcPr>
          <w:p>
            <w:pPr>
              <w:spacing w:after="0"/>
              <w:rPr>
                <w:sz w:val="14"/>
                <w:szCs w:val="14"/>
                <w:color w:val="auto"/>
              </w:rPr>
            </w:pPr>
          </w:p>
        </w:tc>
        <w:tc>
          <w:tcPr>
            <w:tcW w:w="660" w:type="dxa"/>
            <w:vAlign w:val="bottom"/>
          </w:tcPr>
          <w:p>
            <w:pPr>
              <w:jc w:val="right"/>
              <w:ind w:right="22"/>
              <w:spacing w:after="0"/>
              <w:rPr>
                <w:sz w:val="20"/>
                <w:szCs w:val="20"/>
                <w:color w:val="auto"/>
              </w:rPr>
            </w:pPr>
            <w:r>
              <w:rPr>
                <w:rFonts w:ascii="Times New Roman" w:cs="Times New Roman" w:eastAsia="Times New Roman" w:hAnsi="Times New Roman"/>
                <w:sz w:val="12"/>
                <w:szCs w:val="12"/>
                <w:color w:val="auto"/>
              </w:rPr>
              <w:t>313,051</w:t>
            </w:r>
          </w:p>
        </w:tc>
        <w:tc>
          <w:tcPr>
            <w:tcW w:w="220" w:type="dxa"/>
            <w:vAlign w:val="bottom"/>
          </w:tcPr>
          <w:p>
            <w:pPr>
              <w:spacing w:after="0"/>
              <w:rPr>
                <w:sz w:val="14"/>
                <w:szCs w:val="14"/>
                <w:color w:val="auto"/>
              </w:rPr>
            </w:pPr>
          </w:p>
        </w:tc>
        <w:tc>
          <w:tcPr>
            <w:tcW w:w="660" w:type="dxa"/>
            <w:vAlign w:val="bottom"/>
          </w:tcPr>
          <w:p>
            <w:pPr>
              <w:jc w:val="right"/>
              <w:ind w:right="22"/>
              <w:spacing w:after="0"/>
              <w:rPr>
                <w:sz w:val="20"/>
                <w:szCs w:val="20"/>
                <w:color w:val="auto"/>
              </w:rPr>
            </w:pPr>
            <w:r>
              <w:rPr>
                <w:rFonts w:ascii="Times New Roman" w:cs="Times New Roman" w:eastAsia="Times New Roman" w:hAnsi="Times New Roman"/>
                <w:sz w:val="12"/>
                <w:szCs w:val="12"/>
                <w:color w:val="auto"/>
              </w:rPr>
              <w:t>338,631</w:t>
            </w:r>
          </w:p>
        </w:tc>
        <w:tc>
          <w:tcPr>
            <w:tcW w:w="280" w:type="dxa"/>
            <w:vAlign w:val="bottom"/>
          </w:tcPr>
          <w:p>
            <w:pPr>
              <w:spacing w:after="0"/>
              <w:rPr>
                <w:sz w:val="14"/>
                <w:szCs w:val="14"/>
                <w:color w:val="auto"/>
              </w:rPr>
            </w:pPr>
          </w:p>
        </w:tc>
        <w:tc>
          <w:tcPr>
            <w:tcW w:w="74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rPr>
              <w:t>(17,952)</w:t>
            </w: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4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rPr>
              <w:t>(62,963)</w:t>
            </w:r>
          </w:p>
        </w:tc>
        <w:tc>
          <w:tcPr>
            <w:tcW w:w="3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4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2"/>
                <w:szCs w:val="12"/>
                <w:color w:val="auto"/>
              </w:rPr>
              <w:t>—</w:t>
            </w:r>
          </w:p>
        </w:tc>
        <w:tc>
          <w:tcPr>
            <w:tcW w:w="540" w:type="dxa"/>
            <w:vAlign w:val="bottom"/>
          </w:tcPr>
          <w:p>
            <w:pPr>
              <w:spacing w:after="0"/>
              <w:rPr>
                <w:sz w:val="14"/>
                <w:szCs w:val="14"/>
                <w:color w:val="auto"/>
              </w:rPr>
            </w:pPr>
          </w:p>
        </w:tc>
        <w:tc>
          <w:tcPr>
            <w:tcW w:w="1020" w:type="dxa"/>
            <w:vAlign w:val="bottom"/>
            <w:vMerge w:val="restart"/>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0" w:type="dxa"/>
            <w:vAlign w:val="bottom"/>
          </w:tcPr>
          <w:p>
            <w:pPr>
              <w:spacing w:after="0"/>
              <w:rPr>
                <w:sz w:val="1"/>
                <w:szCs w:val="1"/>
                <w:color w:val="auto"/>
              </w:rPr>
            </w:pPr>
          </w:p>
        </w:tc>
      </w:tr>
      <w:tr>
        <w:trPr>
          <w:trHeight w:val="68"/>
        </w:trPr>
        <w:tc>
          <w:tcPr>
            <w:tcW w:w="312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660" w:type="dxa"/>
            <w:vAlign w:val="bottom"/>
          </w:tcPr>
          <w:p>
            <w:pPr>
              <w:spacing w:after="0"/>
              <w:rPr>
                <w:sz w:val="5"/>
                <w:szCs w:val="5"/>
                <w:color w:val="auto"/>
              </w:rPr>
            </w:pPr>
          </w:p>
        </w:tc>
        <w:tc>
          <w:tcPr>
            <w:tcW w:w="2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80" w:type="dxa"/>
            <w:vAlign w:val="bottom"/>
          </w:tcPr>
          <w:p>
            <w:pPr>
              <w:spacing w:after="0"/>
              <w:rPr>
                <w:sz w:val="5"/>
                <w:szCs w:val="5"/>
                <w:color w:val="auto"/>
              </w:rPr>
            </w:pPr>
          </w:p>
        </w:tc>
        <w:tc>
          <w:tcPr>
            <w:tcW w:w="740" w:type="dxa"/>
            <w:vAlign w:val="bottom"/>
          </w:tcPr>
          <w:p>
            <w:pPr>
              <w:spacing w:after="0"/>
              <w:rPr>
                <w:sz w:val="5"/>
                <w:szCs w:val="5"/>
                <w:color w:val="auto"/>
              </w:rPr>
            </w:pPr>
          </w:p>
        </w:tc>
        <w:tc>
          <w:tcPr>
            <w:tcW w:w="220" w:type="dxa"/>
            <w:vAlign w:val="bottom"/>
          </w:tcPr>
          <w:p>
            <w:pPr>
              <w:spacing w:after="0"/>
              <w:rPr>
                <w:sz w:val="5"/>
                <w:szCs w:val="5"/>
                <w:color w:val="auto"/>
              </w:rPr>
            </w:pPr>
          </w:p>
        </w:tc>
        <w:tc>
          <w:tcPr>
            <w:tcW w:w="240" w:type="dxa"/>
            <w:vAlign w:val="bottom"/>
          </w:tcPr>
          <w:p>
            <w:pPr>
              <w:spacing w:after="0"/>
              <w:rPr>
                <w:sz w:val="5"/>
                <w:szCs w:val="5"/>
                <w:color w:val="auto"/>
              </w:rPr>
            </w:pPr>
          </w:p>
        </w:tc>
        <w:tc>
          <w:tcPr>
            <w:tcW w:w="740" w:type="dxa"/>
            <w:vAlign w:val="bottom"/>
          </w:tcPr>
          <w:p>
            <w:pPr>
              <w:spacing w:after="0"/>
              <w:rPr>
                <w:sz w:val="5"/>
                <w:szCs w:val="5"/>
                <w:color w:val="auto"/>
              </w:rPr>
            </w:pPr>
          </w:p>
        </w:tc>
        <w:tc>
          <w:tcPr>
            <w:tcW w:w="320" w:type="dxa"/>
            <w:vAlign w:val="bottom"/>
          </w:tcPr>
          <w:p>
            <w:pPr>
              <w:spacing w:after="0"/>
              <w:rPr>
                <w:sz w:val="5"/>
                <w:szCs w:val="5"/>
                <w:color w:val="auto"/>
              </w:rPr>
            </w:pPr>
          </w:p>
        </w:tc>
        <w:tc>
          <w:tcPr>
            <w:tcW w:w="260" w:type="dxa"/>
            <w:vAlign w:val="bottom"/>
          </w:tcPr>
          <w:p>
            <w:pPr>
              <w:spacing w:after="0"/>
              <w:rPr>
                <w:sz w:val="5"/>
                <w:szCs w:val="5"/>
                <w:color w:val="auto"/>
              </w:rPr>
            </w:pPr>
          </w:p>
        </w:tc>
        <w:tc>
          <w:tcPr>
            <w:tcW w:w="840" w:type="dxa"/>
            <w:vAlign w:val="bottom"/>
            <w:gridSpan w:val="2"/>
            <w:vMerge w:val="continue"/>
          </w:tcPr>
          <w:p>
            <w:pPr>
              <w:spacing w:after="0"/>
              <w:rPr>
                <w:sz w:val="5"/>
                <w:szCs w:val="5"/>
                <w:color w:val="auto"/>
              </w:rPr>
            </w:pPr>
          </w:p>
        </w:tc>
        <w:tc>
          <w:tcPr>
            <w:tcW w:w="540" w:type="dxa"/>
            <w:vAlign w:val="bottom"/>
          </w:tcPr>
          <w:p>
            <w:pPr>
              <w:spacing w:after="0"/>
              <w:rPr>
                <w:sz w:val="5"/>
                <w:szCs w:val="5"/>
                <w:color w:val="auto"/>
              </w:rPr>
            </w:pPr>
          </w:p>
        </w:tc>
        <w:tc>
          <w:tcPr>
            <w:tcW w:w="10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9"/>
        </w:trPr>
        <w:tc>
          <w:tcPr>
            <w:tcW w:w="3120" w:type="dxa"/>
            <w:vAlign w:val="bottom"/>
            <w:vMerge w:val="restart"/>
          </w:tcPr>
          <w:p>
            <w:pPr>
              <w:ind w:left="20"/>
              <w:spacing w:after="0"/>
              <w:rPr>
                <w:sz w:val="20"/>
                <w:szCs w:val="20"/>
                <w:color w:val="auto"/>
              </w:rPr>
            </w:pPr>
            <w:r>
              <w:rPr>
                <w:rFonts w:ascii="Times New Roman" w:cs="Times New Roman" w:eastAsia="Times New Roman" w:hAnsi="Times New Roman"/>
                <w:sz w:val="12"/>
                <w:szCs w:val="12"/>
                <w:color w:val="auto"/>
              </w:rPr>
              <w:t>Long-term debt and capital lease obligations - net</w:t>
            </w:r>
          </w:p>
        </w:tc>
        <w:tc>
          <w:tcPr>
            <w:tcW w:w="20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1,352,901</w:t>
            </w:r>
          </w:p>
        </w:tc>
        <w:tc>
          <w:tcPr>
            <w:tcW w:w="22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771,216</w:t>
            </w:r>
          </w:p>
        </w:tc>
        <w:tc>
          <w:tcPr>
            <w:tcW w:w="280" w:type="dxa"/>
            <w:vAlign w:val="bottom"/>
          </w:tcPr>
          <w:p>
            <w:pPr>
              <w:spacing w:after="0"/>
              <w:rPr>
                <w:sz w:val="16"/>
                <w:szCs w:val="16"/>
                <w:color w:val="auto"/>
              </w:rPr>
            </w:pP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(171,216)</w:t>
            </w:r>
          </w:p>
        </w:tc>
        <w:tc>
          <w:tcPr>
            <w:tcW w:w="460" w:type="dxa"/>
            <w:vAlign w:val="bottom"/>
            <w:gridSpan w:val="2"/>
          </w:tcPr>
          <w:p>
            <w:pPr>
              <w:jc w:val="right"/>
              <w:ind w:right="280"/>
              <w:spacing w:after="0"/>
              <w:rPr>
                <w:sz w:val="20"/>
                <w:szCs w:val="20"/>
                <w:color w:val="auto"/>
              </w:rPr>
            </w:pPr>
            <w:r>
              <w:rPr>
                <w:rFonts w:ascii="Times New Roman" w:cs="Times New Roman" w:eastAsia="Times New Roman" w:hAnsi="Times New Roman"/>
                <w:sz w:val="12"/>
                <w:szCs w:val="12"/>
                <w:color w:val="auto"/>
              </w:rPr>
              <w:t>(i)</w:t>
            </w: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1,281,344</w:t>
            </w:r>
          </w:p>
        </w:tc>
        <w:tc>
          <w:tcPr>
            <w:tcW w:w="580" w:type="dxa"/>
            <w:vAlign w:val="bottom"/>
            <w:gridSpan w:val="2"/>
          </w:tcPr>
          <w:p>
            <w:pPr>
              <w:jc w:val="right"/>
              <w:ind w:right="280"/>
              <w:spacing w:after="0"/>
              <w:rPr>
                <w:sz w:val="20"/>
                <w:szCs w:val="20"/>
                <w:color w:val="auto"/>
              </w:rPr>
            </w:pPr>
            <w:r>
              <w:rPr>
                <w:rFonts w:ascii="Times New Roman" w:cs="Times New Roman" w:eastAsia="Times New Roman" w:hAnsi="Times New Roman"/>
                <w:sz w:val="12"/>
                <w:szCs w:val="12"/>
                <w:color w:val="auto"/>
              </w:rPr>
              <w:t>(b)</w:t>
            </w:r>
          </w:p>
        </w:tc>
        <w:tc>
          <w:tcPr>
            <w:tcW w:w="84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2"/>
                <w:szCs w:val="12"/>
                <w:color w:val="auto"/>
              </w:rPr>
              <w:t>—</w:t>
            </w:r>
          </w:p>
        </w:tc>
        <w:tc>
          <w:tcPr>
            <w:tcW w:w="540" w:type="dxa"/>
            <w:vAlign w:val="bottom"/>
          </w:tcPr>
          <w:p>
            <w:pPr>
              <w:spacing w:after="0"/>
              <w:rPr>
                <w:sz w:val="16"/>
                <w:szCs w:val="16"/>
                <w:color w:val="auto"/>
              </w:rPr>
            </w:pPr>
          </w:p>
        </w:tc>
        <w:tc>
          <w:tcPr>
            <w:tcW w:w="1020" w:type="dxa"/>
            <w:vAlign w:val="bottom"/>
            <w:vMerge w:val="restart"/>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0" w:type="dxa"/>
            <w:vAlign w:val="bottom"/>
          </w:tcPr>
          <w:p>
            <w:pPr>
              <w:spacing w:after="0"/>
              <w:rPr>
                <w:sz w:val="1"/>
                <w:szCs w:val="1"/>
                <w:color w:val="auto"/>
              </w:rPr>
            </w:pPr>
          </w:p>
        </w:tc>
      </w:tr>
      <w:tr>
        <w:trPr>
          <w:trHeight w:val="81"/>
        </w:trPr>
        <w:tc>
          <w:tcPr>
            <w:tcW w:w="31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2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260" w:type="dxa"/>
            <w:vAlign w:val="bottom"/>
          </w:tcPr>
          <w:p>
            <w:pPr>
              <w:spacing w:after="0"/>
              <w:rPr>
                <w:sz w:val="7"/>
                <w:szCs w:val="7"/>
                <w:color w:val="auto"/>
              </w:rPr>
            </w:pPr>
          </w:p>
        </w:tc>
        <w:tc>
          <w:tcPr>
            <w:tcW w:w="840" w:type="dxa"/>
            <w:vAlign w:val="bottom"/>
            <w:gridSpan w:val="2"/>
            <w:vMerge w:val="continue"/>
          </w:tcPr>
          <w:p>
            <w:pPr>
              <w:spacing w:after="0"/>
              <w:rPr>
                <w:sz w:val="7"/>
                <w:szCs w:val="7"/>
                <w:color w:val="auto"/>
              </w:rPr>
            </w:pPr>
          </w:p>
        </w:tc>
        <w:tc>
          <w:tcPr>
            <w:tcW w:w="540" w:type="dxa"/>
            <w:vAlign w:val="bottom"/>
          </w:tcPr>
          <w:p>
            <w:pPr>
              <w:spacing w:after="0"/>
              <w:rPr>
                <w:sz w:val="7"/>
                <w:szCs w:val="7"/>
                <w:color w:val="auto"/>
              </w:rPr>
            </w:pPr>
          </w:p>
        </w:tc>
        <w:tc>
          <w:tcPr>
            <w:tcW w:w="10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3120" w:type="dxa"/>
            <w:vAlign w:val="bottom"/>
            <w:vMerge w:val="restart"/>
          </w:tcPr>
          <w:p>
            <w:pPr>
              <w:ind w:left="20"/>
              <w:spacing w:after="0"/>
              <w:rPr>
                <w:sz w:val="20"/>
                <w:szCs w:val="20"/>
                <w:color w:val="auto"/>
              </w:rPr>
            </w:pPr>
            <w:r>
              <w:rPr>
                <w:rFonts w:ascii="Times New Roman" w:cs="Times New Roman" w:eastAsia="Times New Roman" w:hAnsi="Times New Roman"/>
                <w:sz w:val="12"/>
                <w:szCs w:val="12"/>
                <w:color w:val="auto"/>
              </w:rPr>
              <w:t>Deferred income taxes</w:t>
            </w:r>
          </w:p>
        </w:tc>
        <w:tc>
          <w:tcPr>
            <w:tcW w:w="20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2,091</w:t>
            </w:r>
          </w:p>
        </w:tc>
        <w:tc>
          <w:tcPr>
            <w:tcW w:w="22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660</w:t>
            </w:r>
          </w:p>
        </w:tc>
        <w:tc>
          <w:tcPr>
            <w:tcW w:w="280" w:type="dxa"/>
            <w:vAlign w:val="bottom"/>
          </w:tcPr>
          <w:p>
            <w:pPr>
              <w:spacing w:after="0"/>
              <w:rPr>
                <w:sz w:val="16"/>
                <w:szCs w:val="16"/>
                <w:color w:val="auto"/>
              </w:rPr>
            </w:pP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(660)</w:t>
            </w:r>
          </w:p>
        </w:tc>
        <w:tc>
          <w:tcPr>
            <w:tcW w:w="460" w:type="dxa"/>
            <w:vAlign w:val="bottom"/>
            <w:gridSpan w:val="2"/>
          </w:tcPr>
          <w:p>
            <w:pPr>
              <w:jc w:val="right"/>
              <w:ind w:right="280"/>
              <w:spacing w:after="0"/>
              <w:rPr>
                <w:sz w:val="20"/>
                <w:szCs w:val="20"/>
                <w:color w:val="auto"/>
              </w:rPr>
            </w:pPr>
            <w:r>
              <w:rPr>
                <w:rFonts w:ascii="Times New Roman" w:cs="Times New Roman" w:eastAsia="Times New Roman" w:hAnsi="Times New Roman"/>
                <w:sz w:val="12"/>
                <w:szCs w:val="12"/>
                <w:color w:val="auto"/>
              </w:rPr>
              <w:t>(f)</w:t>
            </w: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w:t>
            </w:r>
          </w:p>
        </w:tc>
        <w:tc>
          <w:tcPr>
            <w:tcW w:w="3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2"/>
                <w:szCs w:val="12"/>
                <w:color w:val="auto"/>
              </w:rPr>
              <w:t>—</w:t>
            </w:r>
          </w:p>
        </w:tc>
        <w:tc>
          <w:tcPr>
            <w:tcW w:w="540" w:type="dxa"/>
            <w:vAlign w:val="bottom"/>
          </w:tcPr>
          <w:p>
            <w:pPr>
              <w:spacing w:after="0"/>
              <w:rPr>
                <w:sz w:val="16"/>
                <w:szCs w:val="16"/>
                <w:color w:val="auto"/>
              </w:rPr>
            </w:pPr>
          </w:p>
        </w:tc>
        <w:tc>
          <w:tcPr>
            <w:tcW w:w="1020" w:type="dxa"/>
            <w:vAlign w:val="bottom"/>
            <w:vMerge w:val="restart"/>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0" w:type="dxa"/>
            <w:vAlign w:val="bottom"/>
          </w:tcPr>
          <w:p>
            <w:pPr>
              <w:spacing w:after="0"/>
              <w:rPr>
                <w:sz w:val="1"/>
                <w:szCs w:val="1"/>
                <w:color w:val="auto"/>
              </w:rPr>
            </w:pPr>
          </w:p>
        </w:tc>
      </w:tr>
      <w:tr>
        <w:trPr>
          <w:trHeight w:val="81"/>
        </w:trPr>
        <w:tc>
          <w:tcPr>
            <w:tcW w:w="31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2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260" w:type="dxa"/>
            <w:vAlign w:val="bottom"/>
          </w:tcPr>
          <w:p>
            <w:pPr>
              <w:spacing w:after="0"/>
              <w:rPr>
                <w:sz w:val="7"/>
                <w:szCs w:val="7"/>
                <w:color w:val="auto"/>
              </w:rPr>
            </w:pPr>
          </w:p>
        </w:tc>
        <w:tc>
          <w:tcPr>
            <w:tcW w:w="840" w:type="dxa"/>
            <w:vAlign w:val="bottom"/>
            <w:gridSpan w:val="2"/>
            <w:vMerge w:val="continue"/>
          </w:tcPr>
          <w:p>
            <w:pPr>
              <w:spacing w:after="0"/>
              <w:rPr>
                <w:sz w:val="7"/>
                <w:szCs w:val="7"/>
                <w:color w:val="auto"/>
              </w:rPr>
            </w:pPr>
          </w:p>
        </w:tc>
        <w:tc>
          <w:tcPr>
            <w:tcW w:w="540" w:type="dxa"/>
            <w:vAlign w:val="bottom"/>
          </w:tcPr>
          <w:p>
            <w:pPr>
              <w:spacing w:after="0"/>
              <w:rPr>
                <w:sz w:val="7"/>
                <w:szCs w:val="7"/>
                <w:color w:val="auto"/>
              </w:rPr>
            </w:pPr>
          </w:p>
        </w:tc>
        <w:tc>
          <w:tcPr>
            <w:tcW w:w="10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70"/>
        </w:trPr>
        <w:tc>
          <w:tcPr>
            <w:tcW w:w="3120" w:type="dxa"/>
            <w:vAlign w:val="bottom"/>
          </w:tcPr>
          <w:p>
            <w:pPr>
              <w:ind w:left="20"/>
              <w:spacing w:after="0"/>
              <w:rPr>
                <w:sz w:val="20"/>
                <w:szCs w:val="20"/>
                <w:color w:val="auto"/>
              </w:rPr>
            </w:pPr>
            <w:r>
              <w:rPr>
                <w:rFonts w:ascii="Times New Roman" w:cs="Times New Roman" w:eastAsia="Times New Roman" w:hAnsi="Times New Roman"/>
                <w:sz w:val="12"/>
                <w:szCs w:val="12"/>
                <w:color w:val="auto"/>
              </w:rPr>
              <w:t>Other long-term liabilities</w:t>
            </w:r>
          </w:p>
        </w:tc>
        <w:tc>
          <w:tcPr>
            <w:tcW w:w="200" w:type="dxa"/>
            <w:vAlign w:val="bottom"/>
          </w:tcPr>
          <w:p>
            <w:pPr>
              <w:spacing w:after="0"/>
              <w:rPr>
                <w:sz w:val="23"/>
                <w:szCs w:val="23"/>
                <w:color w:val="auto"/>
              </w:rPr>
            </w:pPr>
          </w:p>
        </w:tc>
        <w:tc>
          <w:tcPr>
            <w:tcW w:w="660" w:type="dxa"/>
            <w:vAlign w:val="bottom"/>
          </w:tcPr>
          <w:p>
            <w:pPr>
              <w:jc w:val="right"/>
              <w:ind w:right="22"/>
              <w:spacing w:after="0"/>
              <w:rPr>
                <w:sz w:val="20"/>
                <w:szCs w:val="20"/>
                <w:color w:val="auto"/>
              </w:rPr>
            </w:pPr>
            <w:r>
              <w:rPr>
                <w:rFonts w:ascii="Times New Roman" w:cs="Times New Roman" w:eastAsia="Times New Roman" w:hAnsi="Times New Roman"/>
                <w:sz w:val="12"/>
                <w:szCs w:val="12"/>
                <w:color w:val="auto"/>
              </w:rPr>
              <w:t>44,012</w:t>
            </w:r>
          </w:p>
        </w:tc>
        <w:tc>
          <w:tcPr>
            <w:tcW w:w="220" w:type="dxa"/>
            <w:vAlign w:val="bottom"/>
          </w:tcPr>
          <w:p>
            <w:pPr>
              <w:spacing w:after="0"/>
              <w:rPr>
                <w:sz w:val="23"/>
                <w:szCs w:val="23"/>
                <w:color w:val="auto"/>
              </w:rPr>
            </w:pPr>
          </w:p>
        </w:tc>
        <w:tc>
          <w:tcPr>
            <w:tcW w:w="660" w:type="dxa"/>
            <w:vAlign w:val="bottom"/>
          </w:tcPr>
          <w:p>
            <w:pPr>
              <w:jc w:val="right"/>
              <w:ind w:right="22"/>
              <w:spacing w:after="0"/>
              <w:rPr>
                <w:sz w:val="20"/>
                <w:szCs w:val="20"/>
                <w:color w:val="auto"/>
              </w:rPr>
            </w:pPr>
            <w:r>
              <w:rPr>
                <w:rFonts w:ascii="Times New Roman" w:cs="Times New Roman" w:eastAsia="Times New Roman" w:hAnsi="Times New Roman"/>
                <w:sz w:val="12"/>
                <w:szCs w:val="12"/>
                <w:color w:val="auto"/>
              </w:rPr>
              <w:t>37,623</w:t>
            </w:r>
          </w:p>
        </w:tc>
        <w:tc>
          <w:tcPr>
            <w:tcW w:w="280" w:type="dxa"/>
            <w:vAlign w:val="bottom"/>
          </w:tcPr>
          <w:p>
            <w:pPr>
              <w:spacing w:after="0"/>
              <w:rPr>
                <w:sz w:val="23"/>
                <w:szCs w:val="23"/>
                <w:color w:val="auto"/>
              </w:rPr>
            </w:pPr>
          </w:p>
        </w:tc>
        <w:tc>
          <w:tcPr>
            <w:tcW w:w="740" w:type="dxa"/>
            <w:vAlign w:val="bottom"/>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2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4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rPr>
              <w:t>—</w:t>
            </w:r>
          </w:p>
        </w:tc>
        <w:tc>
          <w:tcPr>
            <w:tcW w:w="3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40" w:type="dxa"/>
            <w:vAlign w:val="bottom"/>
            <w:gridSpan w:val="2"/>
          </w:tcPr>
          <w:p>
            <w:pPr>
              <w:jc w:val="right"/>
              <w:ind w:right="220"/>
              <w:spacing w:after="0"/>
              <w:rPr>
                <w:sz w:val="20"/>
                <w:szCs w:val="20"/>
                <w:color w:val="auto"/>
              </w:rPr>
            </w:pPr>
            <w:r>
              <w:rPr>
                <w:rFonts w:ascii="Times New Roman" w:cs="Times New Roman" w:eastAsia="Times New Roman" w:hAnsi="Times New Roman"/>
                <w:sz w:val="12"/>
                <w:szCs w:val="12"/>
                <w:color w:val="auto"/>
              </w:rPr>
              <w:t>—</w:t>
            </w:r>
          </w:p>
        </w:tc>
        <w:tc>
          <w:tcPr>
            <w:tcW w:w="540" w:type="dxa"/>
            <w:vAlign w:val="bottom"/>
          </w:tcPr>
          <w:p>
            <w:pPr>
              <w:spacing w:after="0"/>
              <w:rPr>
                <w:sz w:val="23"/>
                <w:szCs w:val="23"/>
                <w:color w:val="auto"/>
              </w:rPr>
            </w:pPr>
          </w:p>
        </w:tc>
        <w:tc>
          <w:tcPr>
            <w:tcW w:w="1020" w:type="dxa"/>
            <w:vAlign w:val="bottom"/>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0" w:type="dxa"/>
            <w:vAlign w:val="bottom"/>
          </w:tcPr>
          <w:p>
            <w:pPr>
              <w:spacing w:after="0"/>
              <w:rPr>
                <w:sz w:val="1"/>
                <w:szCs w:val="1"/>
                <w:color w:val="auto"/>
              </w:rPr>
            </w:pPr>
          </w:p>
        </w:tc>
      </w:tr>
      <w:tr>
        <w:trPr>
          <w:trHeight w:val="189"/>
        </w:trPr>
        <w:tc>
          <w:tcPr>
            <w:tcW w:w="3120" w:type="dxa"/>
            <w:vAlign w:val="bottom"/>
            <w:vMerge w:val="restart"/>
          </w:tcPr>
          <w:p>
            <w:pPr>
              <w:ind w:left="20"/>
              <w:spacing w:after="0"/>
              <w:rPr>
                <w:sz w:val="20"/>
                <w:szCs w:val="20"/>
                <w:color w:val="auto"/>
              </w:rPr>
            </w:pPr>
            <w:r>
              <w:rPr>
                <w:rFonts w:ascii="Times New Roman" w:cs="Times New Roman" w:eastAsia="Times New Roman" w:hAnsi="Times New Roman"/>
                <w:sz w:val="12"/>
                <w:szCs w:val="12"/>
                <w:color w:val="auto"/>
              </w:rPr>
              <w:t>Related party payables – income taxes</w:t>
            </w:r>
          </w:p>
        </w:tc>
        <w:tc>
          <w:tcPr>
            <w:tcW w:w="20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w:t>
            </w:r>
          </w:p>
        </w:tc>
        <w:tc>
          <w:tcPr>
            <w:tcW w:w="22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w:t>
            </w:r>
          </w:p>
        </w:tc>
        <w:tc>
          <w:tcPr>
            <w:tcW w:w="280" w:type="dxa"/>
            <w:vAlign w:val="bottom"/>
          </w:tcPr>
          <w:p>
            <w:pPr>
              <w:spacing w:after="0"/>
              <w:rPr>
                <w:sz w:val="16"/>
                <w:szCs w:val="16"/>
                <w:color w:val="auto"/>
              </w:rPr>
            </w:pPr>
          </w:p>
        </w:tc>
        <w:tc>
          <w:tcPr>
            <w:tcW w:w="740" w:type="dxa"/>
            <w:vAlign w:val="bottom"/>
            <w:vMerge w:val="restart"/>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2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w:t>
            </w:r>
          </w:p>
        </w:tc>
        <w:tc>
          <w:tcPr>
            <w:tcW w:w="3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2"/>
                <w:szCs w:val="12"/>
                <w:color w:val="auto"/>
              </w:rPr>
              <w:t>—</w:t>
            </w:r>
          </w:p>
        </w:tc>
        <w:tc>
          <w:tcPr>
            <w:tcW w:w="540" w:type="dxa"/>
            <w:vAlign w:val="bottom"/>
          </w:tcPr>
          <w:p>
            <w:pPr>
              <w:spacing w:after="0"/>
              <w:rPr>
                <w:sz w:val="16"/>
                <w:szCs w:val="16"/>
                <w:color w:val="auto"/>
              </w:rPr>
            </w:pPr>
          </w:p>
        </w:tc>
        <w:tc>
          <w:tcPr>
            <w:tcW w:w="1020" w:type="dxa"/>
            <w:vAlign w:val="bottom"/>
          </w:tcPr>
          <w:p>
            <w:pPr>
              <w:jc w:val="right"/>
              <w:ind w:right="62"/>
              <w:spacing w:after="0"/>
              <w:rPr>
                <w:sz w:val="20"/>
                <w:szCs w:val="20"/>
                <w:color w:val="auto"/>
              </w:rPr>
            </w:pPr>
            <w:r>
              <w:rPr>
                <w:rFonts w:ascii="Times New Roman" w:cs="Times New Roman" w:eastAsia="Times New Roman" w:hAnsi="Times New Roman"/>
                <w:sz w:val="12"/>
                <w:szCs w:val="12"/>
                <w:color w:val="auto"/>
              </w:rPr>
              <w:t>200,416</w:t>
            </w:r>
          </w:p>
        </w:tc>
        <w:tc>
          <w:tcPr>
            <w:tcW w:w="0" w:type="dxa"/>
            <w:vAlign w:val="bottom"/>
          </w:tcPr>
          <w:p>
            <w:pPr>
              <w:spacing w:after="0"/>
              <w:rPr>
                <w:sz w:val="1"/>
                <w:szCs w:val="1"/>
                <w:color w:val="auto"/>
              </w:rPr>
            </w:pPr>
          </w:p>
        </w:tc>
      </w:tr>
      <w:tr>
        <w:trPr>
          <w:trHeight w:val="81"/>
        </w:trPr>
        <w:tc>
          <w:tcPr>
            <w:tcW w:w="31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2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260" w:type="dxa"/>
            <w:vAlign w:val="bottom"/>
          </w:tcPr>
          <w:p>
            <w:pPr>
              <w:spacing w:after="0"/>
              <w:rPr>
                <w:sz w:val="7"/>
                <w:szCs w:val="7"/>
                <w:color w:val="auto"/>
              </w:rPr>
            </w:pPr>
          </w:p>
        </w:tc>
        <w:tc>
          <w:tcPr>
            <w:tcW w:w="840" w:type="dxa"/>
            <w:vAlign w:val="bottom"/>
            <w:gridSpan w:val="2"/>
            <w:vMerge w:val="continue"/>
          </w:tcPr>
          <w:p>
            <w:pPr>
              <w:spacing w:after="0"/>
              <w:rPr>
                <w:sz w:val="7"/>
                <w:szCs w:val="7"/>
                <w:color w:val="auto"/>
              </w:rPr>
            </w:pPr>
          </w:p>
        </w:tc>
        <w:tc>
          <w:tcPr>
            <w:tcW w:w="5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3120" w:type="dxa"/>
            <w:vAlign w:val="bottom"/>
            <w:vMerge w:val="restart"/>
          </w:tcPr>
          <w:p>
            <w:pPr>
              <w:ind w:left="20"/>
              <w:spacing w:after="0"/>
              <w:rPr>
                <w:sz w:val="20"/>
                <w:szCs w:val="20"/>
                <w:color w:val="auto"/>
              </w:rPr>
            </w:pPr>
            <w:r>
              <w:rPr>
                <w:rFonts w:ascii="Times New Roman" w:cs="Times New Roman" w:eastAsia="Times New Roman" w:hAnsi="Times New Roman"/>
                <w:sz w:val="12"/>
                <w:szCs w:val="12"/>
                <w:color w:val="auto"/>
              </w:rPr>
              <w:t>Related party payables – other</w:t>
            </w:r>
          </w:p>
        </w:tc>
        <w:tc>
          <w:tcPr>
            <w:tcW w:w="20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15,552</w:t>
            </w:r>
          </w:p>
        </w:tc>
        <w:tc>
          <w:tcPr>
            <w:tcW w:w="22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w:t>
            </w:r>
          </w:p>
        </w:tc>
        <w:tc>
          <w:tcPr>
            <w:tcW w:w="280" w:type="dxa"/>
            <w:vAlign w:val="bottom"/>
          </w:tcPr>
          <w:p>
            <w:pPr>
              <w:spacing w:after="0"/>
              <w:rPr>
                <w:sz w:val="16"/>
                <w:szCs w:val="16"/>
                <w:color w:val="auto"/>
              </w:rPr>
            </w:pPr>
          </w:p>
        </w:tc>
        <w:tc>
          <w:tcPr>
            <w:tcW w:w="740" w:type="dxa"/>
            <w:vAlign w:val="bottom"/>
            <w:vMerge w:val="restart"/>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2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w:t>
            </w:r>
          </w:p>
        </w:tc>
        <w:tc>
          <w:tcPr>
            <w:tcW w:w="3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2"/>
                <w:szCs w:val="12"/>
                <w:color w:val="auto"/>
              </w:rPr>
              <w:t>—</w:t>
            </w:r>
          </w:p>
        </w:tc>
        <w:tc>
          <w:tcPr>
            <w:tcW w:w="540" w:type="dxa"/>
            <w:vAlign w:val="bottom"/>
          </w:tcPr>
          <w:p>
            <w:pPr>
              <w:spacing w:after="0"/>
              <w:rPr>
                <w:sz w:val="16"/>
                <w:szCs w:val="16"/>
                <w:color w:val="auto"/>
              </w:rPr>
            </w:pPr>
          </w:p>
        </w:tc>
        <w:tc>
          <w:tcPr>
            <w:tcW w:w="1020" w:type="dxa"/>
            <w:vAlign w:val="bottom"/>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0" w:type="dxa"/>
            <w:vAlign w:val="bottom"/>
          </w:tcPr>
          <w:p>
            <w:pPr>
              <w:spacing w:after="0"/>
              <w:rPr>
                <w:sz w:val="1"/>
                <w:szCs w:val="1"/>
                <w:color w:val="auto"/>
              </w:rPr>
            </w:pPr>
          </w:p>
        </w:tc>
      </w:tr>
      <w:tr>
        <w:trPr>
          <w:trHeight w:val="81"/>
        </w:trPr>
        <w:tc>
          <w:tcPr>
            <w:tcW w:w="31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2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260" w:type="dxa"/>
            <w:vAlign w:val="bottom"/>
          </w:tcPr>
          <w:p>
            <w:pPr>
              <w:spacing w:after="0"/>
              <w:rPr>
                <w:sz w:val="7"/>
                <w:szCs w:val="7"/>
                <w:color w:val="auto"/>
              </w:rPr>
            </w:pPr>
          </w:p>
        </w:tc>
        <w:tc>
          <w:tcPr>
            <w:tcW w:w="840" w:type="dxa"/>
            <w:vAlign w:val="bottom"/>
            <w:gridSpan w:val="2"/>
            <w:vMerge w:val="continue"/>
          </w:tcPr>
          <w:p>
            <w:pPr>
              <w:spacing w:after="0"/>
              <w:rPr>
                <w:sz w:val="7"/>
                <w:szCs w:val="7"/>
                <w:color w:val="auto"/>
              </w:rPr>
            </w:pPr>
          </w:p>
        </w:tc>
        <w:tc>
          <w:tcPr>
            <w:tcW w:w="5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3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30"/>
        </w:trPr>
        <w:tc>
          <w:tcPr>
            <w:tcW w:w="3120" w:type="dxa"/>
            <w:vAlign w:val="bottom"/>
          </w:tcPr>
          <w:p>
            <w:pPr>
              <w:ind w:left="20"/>
              <w:spacing w:after="0"/>
              <w:rPr>
                <w:sz w:val="20"/>
                <w:szCs w:val="20"/>
                <w:color w:val="auto"/>
              </w:rPr>
            </w:pPr>
            <w:r>
              <w:rPr>
                <w:rFonts w:ascii="Times New Roman" w:cs="Times New Roman" w:eastAsia="Times New Roman" w:hAnsi="Times New Roman"/>
                <w:sz w:val="12"/>
                <w:szCs w:val="12"/>
                <w:color w:val="auto"/>
              </w:rPr>
              <w:t>Total liabilities</w:t>
            </w:r>
          </w:p>
        </w:tc>
        <w:tc>
          <w:tcPr>
            <w:tcW w:w="200" w:type="dxa"/>
            <w:vAlign w:val="bottom"/>
          </w:tcPr>
          <w:p>
            <w:pPr>
              <w:spacing w:after="0"/>
              <w:rPr>
                <w:sz w:val="20"/>
                <w:szCs w:val="20"/>
                <w:color w:val="auto"/>
              </w:rPr>
            </w:pPr>
          </w:p>
        </w:tc>
        <w:tc>
          <w:tcPr>
            <w:tcW w:w="660" w:type="dxa"/>
            <w:vAlign w:val="bottom"/>
          </w:tcPr>
          <w:p>
            <w:pPr>
              <w:jc w:val="right"/>
              <w:ind w:right="22"/>
              <w:spacing w:after="0"/>
              <w:rPr>
                <w:sz w:val="20"/>
                <w:szCs w:val="20"/>
                <w:color w:val="auto"/>
              </w:rPr>
            </w:pPr>
            <w:r>
              <w:rPr>
                <w:rFonts w:ascii="Times New Roman" w:cs="Times New Roman" w:eastAsia="Times New Roman" w:hAnsi="Times New Roman"/>
                <w:sz w:val="12"/>
                <w:szCs w:val="12"/>
                <w:color w:val="auto"/>
              </w:rPr>
              <w:t>1,727,607</w:t>
            </w:r>
          </w:p>
        </w:tc>
        <w:tc>
          <w:tcPr>
            <w:tcW w:w="220" w:type="dxa"/>
            <w:vAlign w:val="bottom"/>
          </w:tcPr>
          <w:p>
            <w:pPr>
              <w:spacing w:after="0"/>
              <w:rPr>
                <w:sz w:val="20"/>
                <w:szCs w:val="20"/>
                <w:color w:val="auto"/>
              </w:rPr>
            </w:pPr>
          </w:p>
        </w:tc>
        <w:tc>
          <w:tcPr>
            <w:tcW w:w="660" w:type="dxa"/>
            <w:vAlign w:val="bottom"/>
          </w:tcPr>
          <w:p>
            <w:pPr>
              <w:jc w:val="right"/>
              <w:ind w:right="22"/>
              <w:spacing w:after="0"/>
              <w:rPr>
                <w:sz w:val="20"/>
                <w:szCs w:val="20"/>
                <w:color w:val="auto"/>
              </w:rPr>
            </w:pPr>
            <w:r>
              <w:rPr>
                <w:rFonts w:ascii="Times New Roman" w:cs="Times New Roman" w:eastAsia="Times New Roman" w:hAnsi="Times New Roman"/>
                <w:sz w:val="12"/>
                <w:szCs w:val="12"/>
                <w:color w:val="auto"/>
              </w:rPr>
              <w:t>1,148,130</w:t>
            </w:r>
          </w:p>
        </w:tc>
        <w:tc>
          <w:tcPr>
            <w:tcW w:w="280" w:type="dxa"/>
            <w:vAlign w:val="bottom"/>
          </w:tcPr>
          <w:p>
            <w:pPr>
              <w:spacing w:after="0"/>
              <w:rPr>
                <w:sz w:val="20"/>
                <w:szCs w:val="20"/>
                <w:color w:val="auto"/>
              </w:rPr>
            </w:pPr>
          </w:p>
        </w:tc>
        <w:tc>
          <w:tcPr>
            <w:tcW w:w="74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rPr>
              <w:t>(189,828)</w:t>
            </w: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4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rPr>
              <w:t>1,218,381</w:t>
            </w:r>
          </w:p>
        </w:tc>
        <w:tc>
          <w:tcPr>
            <w:tcW w:w="3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gridSpan w:val="2"/>
          </w:tcPr>
          <w:p>
            <w:pPr>
              <w:jc w:val="right"/>
              <w:ind w:right="220"/>
              <w:spacing w:after="0"/>
              <w:rPr>
                <w:sz w:val="20"/>
                <w:szCs w:val="20"/>
                <w:color w:val="auto"/>
              </w:rPr>
            </w:pPr>
            <w:r>
              <w:rPr>
                <w:rFonts w:ascii="Times New Roman" w:cs="Times New Roman" w:eastAsia="Times New Roman" w:hAnsi="Times New Roman"/>
                <w:sz w:val="12"/>
                <w:szCs w:val="12"/>
                <w:color w:val="auto"/>
              </w:rPr>
              <w:t>—</w:t>
            </w:r>
          </w:p>
        </w:tc>
        <w:tc>
          <w:tcPr>
            <w:tcW w:w="540" w:type="dxa"/>
            <w:vAlign w:val="bottom"/>
          </w:tcPr>
          <w:p>
            <w:pPr>
              <w:spacing w:after="0"/>
              <w:rPr>
                <w:sz w:val="20"/>
                <w:szCs w:val="20"/>
                <w:color w:val="auto"/>
              </w:rPr>
            </w:pPr>
          </w:p>
        </w:tc>
        <w:tc>
          <w:tcPr>
            <w:tcW w:w="1020" w:type="dxa"/>
            <w:vAlign w:val="bottom"/>
          </w:tcPr>
          <w:p>
            <w:pPr>
              <w:jc w:val="right"/>
              <w:ind w:right="62"/>
              <w:spacing w:after="0"/>
              <w:rPr>
                <w:sz w:val="20"/>
                <w:szCs w:val="20"/>
                <w:color w:val="auto"/>
              </w:rPr>
            </w:pPr>
            <w:r>
              <w:rPr>
                <w:rFonts w:ascii="Times New Roman" w:cs="Times New Roman" w:eastAsia="Times New Roman" w:hAnsi="Times New Roman"/>
                <w:sz w:val="12"/>
                <w:szCs w:val="12"/>
                <w:color w:val="auto"/>
              </w:rPr>
              <w:t>200,416</w:t>
            </w:r>
          </w:p>
        </w:tc>
        <w:tc>
          <w:tcPr>
            <w:tcW w:w="0" w:type="dxa"/>
            <w:vAlign w:val="bottom"/>
          </w:tcPr>
          <w:p>
            <w:pPr>
              <w:spacing w:after="0"/>
              <w:rPr>
                <w:sz w:val="1"/>
                <w:szCs w:val="1"/>
                <w:color w:val="auto"/>
              </w:rPr>
            </w:pPr>
          </w:p>
        </w:tc>
      </w:tr>
      <w:tr>
        <w:trPr>
          <w:trHeight w:val="20"/>
        </w:trPr>
        <w:tc>
          <w:tcPr>
            <w:tcW w:w="3120" w:type="dxa"/>
            <w:vAlign w:val="bottom"/>
            <w:vMerge w:val="restart"/>
          </w:tcPr>
          <w:p>
            <w:pPr>
              <w:ind w:left="20"/>
              <w:spacing w:after="0"/>
              <w:rPr>
                <w:sz w:val="20"/>
                <w:szCs w:val="20"/>
                <w:color w:val="auto"/>
              </w:rPr>
            </w:pPr>
            <w:r>
              <w:rPr>
                <w:rFonts w:ascii="Times New Roman" w:cs="Times New Roman" w:eastAsia="Times New Roman" w:hAnsi="Times New Roman"/>
                <w:sz w:val="12"/>
                <w:szCs w:val="12"/>
                <w:b w:val="1"/>
                <w:bCs w:val="1"/>
                <w:color w:val="auto"/>
              </w:rPr>
              <w:t>Shareholders' (Deficit) Equity</w:t>
            </w: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3120" w:type="dxa"/>
            <w:vAlign w:val="bottom"/>
            <w:vMerge w:val="continue"/>
          </w:tcPr>
          <w:p>
            <w:pPr>
              <w:spacing w:after="0"/>
              <w:rPr>
                <w:sz w:val="21"/>
                <w:szCs w:val="21"/>
                <w:color w:val="auto"/>
              </w:rPr>
            </w:pPr>
          </w:p>
        </w:tc>
        <w:tc>
          <w:tcPr>
            <w:tcW w:w="2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89"/>
        </w:trPr>
        <w:tc>
          <w:tcPr>
            <w:tcW w:w="3120" w:type="dxa"/>
            <w:vAlign w:val="bottom"/>
            <w:vMerge w:val="restart"/>
          </w:tcPr>
          <w:p>
            <w:pPr>
              <w:ind w:left="20"/>
              <w:spacing w:after="0"/>
              <w:rPr>
                <w:sz w:val="20"/>
                <w:szCs w:val="20"/>
                <w:color w:val="auto"/>
              </w:rPr>
            </w:pPr>
            <w:r>
              <w:rPr>
                <w:rFonts w:ascii="Times New Roman" w:cs="Times New Roman" w:eastAsia="Times New Roman" w:hAnsi="Times New Roman"/>
                <w:sz w:val="12"/>
                <w:szCs w:val="12"/>
                <w:color w:val="auto"/>
              </w:rPr>
              <w:t>Members’ equity</w:t>
            </w:r>
          </w:p>
        </w:tc>
        <w:tc>
          <w:tcPr>
            <w:tcW w:w="20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2,716</w:t>
            </w:r>
          </w:p>
        </w:tc>
        <w:tc>
          <w:tcPr>
            <w:tcW w:w="22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w:t>
            </w:r>
          </w:p>
        </w:tc>
        <w:tc>
          <w:tcPr>
            <w:tcW w:w="280" w:type="dxa"/>
            <w:vAlign w:val="bottom"/>
          </w:tcPr>
          <w:p>
            <w:pPr>
              <w:spacing w:after="0"/>
              <w:rPr>
                <w:sz w:val="16"/>
                <w:szCs w:val="16"/>
                <w:color w:val="auto"/>
              </w:rPr>
            </w:pPr>
          </w:p>
        </w:tc>
        <w:tc>
          <w:tcPr>
            <w:tcW w:w="740" w:type="dxa"/>
            <w:vAlign w:val="bottom"/>
            <w:vMerge w:val="restart"/>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2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(2,716)</w:t>
            </w:r>
          </w:p>
        </w:tc>
        <w:tc>
          <w:tcPr>
            <w:tcW w:w="580" w:type="dxa"/>
            <w:vAlign w:val="bottom"/>
            <w:gridSpan w:val="2"/>
          </w:tcPr>
          <w:p>
            <w:pPr>
              <w:jc w:val="right"/>
              <w:ind w:right="280"/>
              <w:spacing w:after="0"/>
              <w:rPr>
                <w:sz w:val="20"/>
                <w:szCs w:val="20"/>
                <w:color w:val="auto"/>
              </w:rPr>
            </w:pPr>
            <w:r>
              <w:rPr>
                <w:rFonts w:ascii="Times New Roman" w:cs="Times New Roman" w:eastAsia="Times New Roman" w:hAnsi="Times New Roman"/>
                <w:sz w:val="12"/>
                <w:szCs w:val="12"/>
                <w:color w:val="auto"/>
              </w:rPr>
              <w:t>(g)</w:t>
            </w:r>
          </w:p>
        </w:tc>
        <w:tc>
          <w:tcPr>
            <w:tcW w:w="84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2"/>
                <w:szCs w:val="12"/>
                <w:color w:val="auto"/>
              </w:rPr>
              <w:t>—</w:t>
            </w:r>
          </w:p>
        </w:tc>
        <w:tc>
          <w:tcPr>
            <w:tcW w:w="540" w:type="dxa"/>
            <w:vAlign w:val="bottom"/>
          </w:tcPr>
          <w:p>
            <w:pPr>
              <w:spacing w:after="0"/>
              <w:rPr>
                <w:sz w:val="16"/>
                <w:szCs w:val="16"/>
                <w:color w:val="auto"/>
              </w:rPr>
            </w:pPr>
          </w:p>
        </w:tc>
        <w:tc>
          <w:tcPr>
            <w:tcW w:w="1020" w:type="dxa"/>
            <w:vAlign w:val="bottom"/>
            <w:vMerge w:val="restart"/>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0" w:type="dxa"/>
            <w:vAlign w:val="bottom"/>
          </w:tcPr>
          <w:p>
            <w:pPr>
              <w:spacing w:after="0"/>
              <w:rPr>
                <w:sz w:val="1"/>
                <w:szCs w:val="1"/>
                <w:color w:val="auto"/>
              </w:rPr>
            </w:pPr>
          </w:p>
        </w:tc>
      </w:tr>
      <w:tr>
        <w:trPr>
          <w:trHeight w:val="81"/>
        </w:trPr>
        <w:tc>
          <w:tcPr>
            <w:tcW w:w="31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2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260" w:type="dxa"/>
            <w:vAlign w:val="bottom"/>
          </w:tcPr>
          <w:p>
            <w:pPr>
              <w:spacing w:after="0"/>
              <w:rPr>
                <w:sz w:val="7"/>
                <w:szCs w:val="7"/>
                <w:color w:val="auto"/>
              </w:rPr>
            </w:pPr>
          </w:p>
        </w:tc>
        <w:tc>
          <w:tcPr>
            <w:tcW w:w="840" w:type="dxa"/>
            <w:vAlign w:val="bottom"/>
            <w:gridSpan w:val="2"/>
            <w:vMerge w:val="continue"/>
          </w:tcPr>
          <w:p>
            <w:pPr>
              <w:spacing w:after="0"/>
              <w:rPr>
                <w:sz w:val="7"/>
                <w:szCs w:val="7"/>
                <w:color w:val="auto"/>
              </w:rPr>
            </w:pPr>
          </w:p>
        </w:tc>
        <w:tc>
          <w:tcPr>
            <w:tcW w:w="540" w:type="dxa"/>
            <w:vAlign w:val="bottom"/>
          </w:tcPr>
          <w:p>
            <w:pPr>
              <w:spacing w:after="0"/>
              <w:rPr>
                <w:sz w:val="7"/>
                <w:szCs w:val="7"/>
                <w:color w:val="auto"/>
              </w:rPr>
            </w:pPr>
          </w:p>
        </w:tc>
        <w:tc>
          <w:tcPr>
            <w:tcW w:w="10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70"/>
        </w:trPr>
        <w:tc>
          <w:tcPr>
            <w:tcW w:w="3120" w:type="dxa"/>
            <w:vAlign w:val="bottom"/>
          </w:tcPr>
          <w:p>
            <w:pPr>
              <w:ind w:left="20"/>
              <w:spacing w:after="0"/>
              <w:rPr>
                <w:sz w:val="20"/>
                <w:szCs w:val="20"/>
                <w:color w:val="auto"/>
              </w:rPr>
            </w:pPr>
            <w:r>
              <w:rPr>
                <w:rFonts w:ascii="Times New Roman" w:cs="Times New Roman" w:eastAsia="Times New Roman" w:hAnsi="Times New Roman"/>
                <w:sz w:val="12"/>
                <w:szCs w:val="12"/>
                <w:color w:val="auto"/>
              </w:rPr>
              <w:t>Preferred stock</w:t>
            </w:r>
          </w:p>
        </w:tc>
        <w:tc>
          <w:tcPr>
            <w:tcW w:w="200" w:type="dxa"/>
            <w:vAlign w:val="bottom"/>
          </w:tcPr>
          <w:p>
            <w:pPr>
              <w:spacing w:after="0"/>
              <w:rPr>
                <w:sz w:val="23"/>
                <w:szCs w:val="23"/>
                <w:color w:val="auto"/>
              </w:rPr>
            </w:pPr>
          </w:p>
        </w:tc>
        <w:tc>
          <w:tcPr>
            <w:tcW w:w="660" w:type="dxa"/>
            <w:vAlign w:val="bottom"/>
          </w:tcPr>
          <w:p>
            <w:pPr>
              <w:jc w:val="right"/>
              <w:ind w:right="22"/>
              <w:spacing w:after="0"/>
              <w:rPr>
                <w:sz w:val="20"/>
                <w:szCs w:val="20"/>
                <w:color w:val="auto"/>
              </w:rPr>
            </w:pPr>
            <w:r>
              <w:rPr>
                <w:rFonts w:ascii="Times New Roman" w:cs="Times New Roman" w:eastAsia="Times New Roman" w:hAnsi="Times New Roman"/>
                <w:sz w:val="12"/>
                <w:szCs w:val="12"/>
                <w:color w:val="auto"/>
              </w:rPr>
              <w:t>—</w:t>
            </w:r>
          </w:p>
        </w:tc>
        <w:tc>
          <w:tcPr>
            <w:tcW w:w="220" w:type="dxa"/>
            <w:vAlign w:val="bottom"/>
          </w:tcPr>
          <w:p>
            <w:pPr>
              <w:spacing w:after="0"/>
              <w:rPr>
                <w:sz w:val="23"/>
                <w:szCs w:val="23"/>
                <w:color w:val="auto"/>
              </w:rPr>
            </w:pPr>
          </w:p>
        </w:tc>
        <w:tc>
          <w:tcPr>
            <w:tcW w:w="660" w:type="dxa"/>
            <w:vAlign w:val="bottom"/>
          </w:tcPr>
          <w:p>
            <w:pPr>
              <w:jc w:val="right"/>
              <w:ind w:right="22"/>
              <w:spacing w:after="0"/>
              <w:rPr>
                <w:sz w:val="20"/>
                <w:szCs w:val="20"/>
                <w:color w:val="auto"/>
              </w:rPr>
            </w:pPr>
            <w:r>
              <w:rPr>
                <w:rFonts w:ascii="Times New Roman" w:cs="Times New Roman" w:eastAsia="Times New Roman" w:hAnsi="Times New Roman"/>
                <w:sz w:val="12"/>
                <w:szCs w:val="12"/>
                <w:color w:val="auto"/>
              </w:rPr>
              <w:t>—</w:t>
            </w:r>
          </w:p>
        </w:tc>
        <w:tc>
          <w:tcPr>
            <w:tcW w:w="280" w:type="dxa"/>
            <w:vAlign w:val="bottom"/>
          </w:tcPr>
          <w:p>
            <w:pPr>
              <w:spacing w:after="0"/>
              <w:rPr>
                <w:sz w:val="23"/>
                <w:szCs w:val="23"/>
                <w:color w:val="auto"/>
              </w:rPr>
            </w:pPr>
          </w:p>
        </w:tc>
        <w:tc>
          <w:tcPr>
            <w:tcW w:w="740" w:type="dxa"/>
            <w:vAlign w:val="bottom"/>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2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4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rPr>
              <w:t>—</w:t>
            </w:r>
          </w:p>
        </w:tc>
        <w:tc>
          <w:tcPr>
            <w:tcW w:w="3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40" w:type="dxa"/>
            <w:vAlign w:val="bottom"/>
            <w:gridSpan w:val="2"/>
          </w:tcPr>
          <w:p>
            <w:pPr>
              <w:jc w:val="right"/>
              <w:ind w:right="220"/>
              <w:spacing w:after="0"/>
              <w:rPr>
                <w:sz w:val="20"/>
                <w:szCs w:val="20"/>
                <w:color w:val="auto"/>
              </w:rPr>
            </w:pPr>
            <w:r>
              <w:rPr>
                <w:rFonts w:ascii="Times New Roman" w:cs="Times New Roman" w:eastAsia="Times New Roman" w:hAnsi="Times New Roman"/>
                <w:sz w:val="12"/>
                <w:szCs w:val="12"/>
                <w:color w:val="auto"/>
              </w:rPr>
              <w:t>—</w:t>
            </w:r>
          </w:p>
        </w:tc>
        <w:tc>
          <w:tcPr>
            <w:tcW w:w="540" w:type="dxa"/>
            <w:vAlign w:val="bottom"/>
          </w:tcPr>
          <w:p>
            <w:pPr>
              <w:spacing w:after="0"/>
              <w:rPr>
                <w:sz w:val="23"/>
                <w:szCs w:val="23"/>
                <w:color w:val="auto"/>
              </w:rPr>
            </w:pPr>
          </w:p>
        </w:tc>
        <w:tc>
          <w:tcPr>
            <w:tcW w:w="1020" w:type="dxa"/>
            <w:vAlign w:val="bottom"/>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0" w:type="dxa"/>
            <w:vAlign w:val="bottom"/>
          </w:tcPr>
          <w:p>
            <w:pPr>
              <w:spacing w:after="0"/>
              <w:rPr>
                <w:sz w:val="1"/>
                <w:szCs w:val="1"/>
                <w:color w:val="auto"/>
              </w:rPr>
            </w:pPr>
          </w:p>
        </w:tc>
      </w:tr>
      <w:tr>
        <w:trPr>
          <w:trHeight w:val="189"/>
        </w:trPr>
        <w:tc>
          <w:tcPr>
            <w:tcW w:w="3120" w:type="dxa"/>
            <w:vAlign w:val="bottom"/>
            <w:vMerge w:val="restart"/>
          </w:tcPr>
          <w:p>
            <w:pPr>
              <w:ind w:left="20"/>
              <w:spacing w:after="0"/>
              <w:rPr>
                <w:sz w:val="20"/>
                <w:szCs w:val="20"/>
                <w:color w:val="auto"/>
              </w:rPr>
            </w:pPr>
            <w:r>
              <w:rPr>
                <w:rFonts w:ascii="Times New Roman" w:cs="Times New Roman" w:eastAsia="Times New Roman" w:hAnsi="Times New Roman"/>
                <w:sz w:val="12"/>
                <w:szCs w:val="12"/>
                <w:color w:val="auto"/>
              </w:rPr>
              <w:t>Impax common stock</w:t>
            </w:r>
          </w:p>
        </w:tc>
        <w:tc>
          <w:tcPr>
            <w:tcW w:w="20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w:t>
            </w:r>
          </w:p>
        </w:tc>
        <w:tc>
          <w:tcPr>
            <w:tcW w:w="22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741</w:t>
            </w:r>
          </w:p>
        </w:tc>
        <w:tc>
          <w:tcPr>
            <w:tcW w:w="280" w:type="dxa"/>
            <w:vAlign w:val="bottom"/>
          </w:tcPr>
          <w:p>
            <w:pPr>
              <w:spacing w:after="0"/>
              <w:rPr>
                <w:sz w:val="16"/>
                <w:szCs w:val="16"/>
                <w:color w:val="auto"/>
              </w:rPr>
            </w:pP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(741)</w:t>
            </w:r>
          </w:p>
        </w:tc>
        <w:tc>
          <w:tcPr>
            <w:tcW w:w="460" w:type="dxa"/>
            <w:vAlign w:val="bottom"/>
            <w:gridSpan w:val="2"/>
          </w:tcPr>
          <w:p>
            <w:pPr>
              <w:jc w:val="right"/>
              <w:ind w:right="280"/>
              <w:spacing w:after="0"/>
              <w:rPr>
                <w:sz w:val="20"/>
                <w:szCs w:val="20"/>
                <w:color w:val="auto"/>
              </w:rPr>
            </w:pPr>
            <w:r>
              <w:rPr>
                <w:rFonts w:ascii="Times New Roman" w:cs="Times New Roman" w:eastAsia="Times New Roman" w:hAnsi="Times New Roman"/>
                <w:sz w:val="12"/>
                <w:szCs w:val="12"/>
                <w:color w:val="auto"/>
              </w:rPr>
              <w:t>(j)</w:t>
            </w: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w:t>
            </w:r>
          </w:p>
        </w:tc>
        <w:tc>
          <w:tcPr>
            <w:tcW w:w="3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2"/>
                <w:szCs w:val="12"/>
                <w:color w:val="auto"/>
              </w:rPr>
              <w:t>—</w:t>
            </w:r>
          </w:p>
        </w:tc>
        <w:tc>
          <w:tcPr>
            <w:tcW w:w="540" w:type="dxa"/>
            <w:vAlign w:val="bottom"/>
          </w:tcPr>
          <w:p>
            <w:pPr>
              <w:spacing w:after="0"/>
              <w:rPr>
                <w:sz w:val="16"/>
                <w:szCs w:val="16"/>
                <w:color w:val="auto"/>
              </w:rPr>
            </w:pPr>
          </w:p>
        </w:tc>
        <w:tc>
          <w:tcPr>
            <w:tcW w:w="1020" w:type="dxa"/>
            <w:vAlign w:val="bottom"/>
            <w:vMerge w:val="restart"/>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0" w:type="dxa"/>
            <w:vAlign w:val="bottom"/>
          </w:tcPr>
          <w:p>
            <w:pPr>
              <w:spacing w:after="0"/>
              <w:rPr>
                <w:sz w:val="1"/>
                <w:szCs w:val="1"/>
                <w:color w:val="auto"/>
              </w:rPr>
            </w:pPr>
          </w:p>
        </w:tc>
      </w:tr>
      <w:tr>
        <w:trPr>
          <w:trHeight w:val="81"/>
        </w:trPr>
        <w:tc>
          <w:tcPr>
            <w:tcW w:w="31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2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260" w:type="dxa"/>
            <w:vAlign w:val="bottom"/>
          </w:tcPr>
          <w:p>
            <w:pPr>
              <w:spacing w:after="0"/>
              <w:rPr>
                <w:sz w:val="7"/>
                <w:szCs w:val="7"/>
                <w:color w:val="auto"/>
              </w:rPr>
            </w:pPr>
          </w:p>
        </w:tc>
        <w:tc>
          <w:tcPr>
            <w:tcW w:w="840" w:type="dxa"/>
            <w:vAlign w:val="bottom"/>
            <w:gridSpan w:val="2"/>
            <w:vMerge w:val="continue"/>
          </w:tcPr>
          <w:p>
            <w:pPr>
              <w:spacing w:after="0"/>
              <w:rPr>
                <w:sz w:val="7"/>
                <w:szCs w:val="7"/>
                <w:color w:val="auto"/>
              </w:rPr>
            </w:pPr>
          </w:p>
        </w:tc>
        <w:tc>
          <w:tcPr>
            <w:tcW w:w="540" w:type="dxa"/>
            <w:vAlign w:val="bottom"/>
          </w:tcPr>
          <w:p>
            <w:pPr>
              <w:spacing w:after="0"/>
              <w:rPr>
                <w:sz w:val="7"/>
                <w:szCs w:val="7"/>
                <w:color w:val="auto"/>
              </w:rPr>
            </w:pPr>
          </w:p>
        </w:tc>
        <w:tc>
          <w:tcPr>
            <w:tcW w:w="10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3120" w:type="dxa"/>
            <w:vAlign w:val="bottom"/>
            <w:vMerge w:val="restart"/>
          </w:tcPr>
          <w:p>
            <w:pPr>
              <w:spacing w:after="0"/>
              <w:rPr>
                <w:sz w:val="20"/>
                <w:szCs w:val="20"/>
                <w:color w:val="auto"/>
              </w:rPr>
            </w:pPr>
            <w:r>
              <w:rPr>
                <w:rFonts w:ascii="Times New Roman" w:cs="Times New Roman" w:eastAsia="Times New Roman" w:hAnsi="Times New Roman"/>
                <w:sz w:val="12"/>
                <w:szCs w:val="12"/>
                <w:color w:val="auto"/>
              </w:rPr>
              <w:t>Class A common stock</w:t>
            </w:r>
          </w:p>
        </w:tc>
        <w:tc>
          <w:tcPr>
            <w:tcW w:w="20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w:t>
            </w:r>
          </w:p>
        </w:tc>
        <w:tc>
          <w:tcPr>
            <w:tcW w:w="22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w:t>
            </w:r>
          </w:p>
        </w:tc>
        <w:tc>
          <w:tcPr>
            <w:tcW w:w="280" w:type="dxa"/>
            <w:vAlign w:val="bottom"/>
          </w:tcPr>
          <w:p>
            <w:pPr>
              <w:spacing w:after="0"/>
              <w:rPr>
                <w:sz w:val="16"/>
                <w:szCs w:val="16"/>
                <w:color w:val="auto"/>
              </w:rPr>
            </w:pPr>
          </w:p>
        </w:tc>
        <w:tc>
          <w:tcPr>
            <w:tcW w:w="740" w:type="dxa"/>
            <w:vAlign w:val="bottom"/>
            <w:vMerge w:val="restart"/>
          </w:tcPr>
          <w:p>
            <w:pPr>
              <w:jc w:val="right"/>
              <w:ind w:right="62"/>
              <w:spacing w:after="0"/>
              <w:rPr>
                <w:sz w:val="20"/>
                <w:szCs w:val="20"/>
                <w:color w:val="auto"/>
              </w:rPr>
            </w:pPr>
            <w:r>
              <w:rPr>
                <w:rFonts w:ascii="Times New Roman" w:cs="Times New Roman" w:eastAsia="Times New Roman" w:hAnsi="Times New Roman"/>
                <w:sz w:val="12"/>
                <w:szCs w:val="12"/>
                <w:color w:val="auto"/>
              </w:rPr>
              <w:t>733</w:t>
            </w:r>
          </w:p>
        </w:tc>
        <w:tc>
          <w:tcPr>
            <w:tcW w:w="460" w:type="dxa"/>
            <w:vAlign w:val="bottom"/>
            <w:gridSpan w:val="2"/>
          </w:tcPr>
          <w:p>
            <w:pPr>
              <w:jc w:val="right"/>
              <w:ind w:right="280"/>
              <w:spacing w:after="0"/>
              <w:rPr>
                <w:sz w:val="20"/>
                <w:szCs w:val="20"/>
                <w:color w:val="auto"/>
              </w:rPr>
            </w:pPr>
            <w:r>
              <w:rPr>
                <w:rFonts w:ascii="Times New Roman" w:cs="Times New Roman" w:eastAsia="Times New Roman" w:hAnsi="Times New Roman"/>
                <w:sz w:val="12"/>
                <w:szCs w:val="12"/>
                <w:color w:val="auto"/>
              </w:rPr>
              <w:t>(j)</w:t>
            </w: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w:t>
            </w:r>
          </w:p>
        </w:tc>
        <w:tc>
          <w:tcPr>
            <w:tcW w:w="3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2"/>
                <w:szCs w:val="12"/>
                <w:color w:val="auto"/>
              </w:rPr>
              <w:t>—</w:t>
            </w:r>
          </w:p>
        </w:tc>
        <w:tc>
          <w:tcPr>
            <w:tcW w:w="540" w:type="dxa"/>
            <w:vAlign w:val="bottom"/>
          </w:tcPr>
          <w:p>
            <w:pPr>
              <w:spacing w:after="0"/>
              <w:rPr>
                <w:sz w:val="16"/>
                <w:szCs w:val="16"/>
                <w:color w:val="auto"/>
              </w:rPr>
            </w:pPr>
          </w:p>
        </w:tc>
        <w:tc>
          <w:tcPr>
            <w:tcW w:w="1020" w:type="dxa"/>
            <w:vAlign w:val="bottom"/>
            <w:vMerge w:val="restart"/>
          </w:tcPr>
          <w:p>
            <w:pPr>
              <w:jc w:val="right"/>
              <w:ind w:right="62"/>
              <w:spacing w:after="0"/>
              <w:rPr>
                <w:sz w:val="20"/>
                <w:szCs w:val="20"/>
                <w:color w:val="auto"/>
              </w:rPr>
            </w:pPr>
            <w:r>
              <w:rPr>
                <w:rFonts w:ascii="Times New Roman" w:cs="Times New Roman" w:eastAsia="Times New Roman" w:hAnsi="Times New Roman"/>
                <w:sz w:val="12"/>
                <w:szCs w:val="12"/>
                <w:color w:val="auto"/>
              </w:rPr>
              <w:t>414</w:t>
            </w:r>
          </w:p>
        </w:tc>
        <w:tc>
          <w:tcPr>
            <w:tcW w:w="0" w:type="dxa"/>
            <w:vAlign w:val="bottom"/>
          </w:tcPr>
          <w:p>
            <w:pPr>
              <w:spacing w:after="0"/>
              <w:rPr>
                <w:sz w:val="1"/>
                <w:szCs w:val="1"/>
                <w:color w:val="auto"/>
              </w:rPr>
            </w:pPr>
          </w:p>
        </w:tc>
      </w:tr>
      <w:tr>
        <w:trPr>
          <w:trHeight w:val="81"/>
        </w:trPr>
        <w:tc>
          <w:tcPr>
            <w:tcW w:w="31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2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260" w:type="dxa"/>
            <w:vAlign w:val="bottom"/>
          </w:tcPr>
          <w:p>
            <w:pPr>
              <w:spacing w:after="0"/>
              <w:rPr>
                <w:sz w:val="7"/>
                <w:szCs w:val="7"/>
                <w:color w:val="auto"/>
              </w:rPr>
            </w:pPr>
          </w:p>
        </w:tc>
        <w:tc>
          <w:tcPr>
            <w:tcW w:w="840" w:type="dxa"/>
            <w:vAlign w:val="bottom"/>
            <w:gridSpan w:val="2"/>
            <w:vMerge w:val="continue"/>
          </w:tcPr>
          <w:p>
            <w:pPr>
              <w:spacing w:after="0"/>
              <w:rPr>
                <w:sz w:val="7"/>
                <w:szCs w:val="7"/>
                <w:color w:val="auto"/>
              </w:rPr>
            </w:pPr>
          </w:p>
        </w:tc>
        <w:tc>
          <w:tcPr>
            <w:tcW w:w="540" w:type="dxa"/>
            <w:vAlign w:val="bottom"/>
          </w:tcPr>
          <w:p>
            <w:pPr>
              <w:spacing w:after="0"/>
              <w:rPr>
                <w:sz w:val="7"/>
                <w:szCs w:val="7"/>
                <w:color w:val="auto"/>
              </w:rPr>
            </w:pPr>
          </w:p>
        </w:tc>
        <w:tc>
          <w:tcPr>
            <w:tcW w:w="10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70"/>
        </w:trPr>
        <w:tc>
          <w:tcPr>
            <w:tcW w:w="3120" w:type="dxa"/>
            <w:vAlign w:val="bottom"/>
          </w:tcPr>
          <w:p>
            <w:pPr>
              <w:spacing w:after="0"/>
              <w:rPr>
                <w:sz w:val="20"/>
                <w:szCs w:val="20"/>
                <w:color w:val="auto"/>
              </w:rPr>
            </w:pPr>
            <w:r>
              <w:rPr>
                <w:rFonts w:ascii="Times New Roman" w:cs="Times New Roman" w:eastAsia="Times New Roman" w:hAnsi="Times New Roman"/>
                <w:sz w:val="12"/>
                <w:szCs w:val="12"/>
                <w:color w:val="auto"/>
              </w:rPr>
              <w:t>Class B-1 common stock</w:t>
            </w:r>
          </w:p>
        </w:tc>
        <w:tc>
          <w:tcPr>
            <w:tcW w:w="200" w:type="dxa"/>
            <w:vAlign w:val="bottom"/>
          </w:tcPr>
          <w:p>
            <w:pPr>
              <w:spacing w:after="0"/>
              <w:rPr>
                <w:sz w:val="23"/>
                <w:szCs w:val="23"/>
                <w:color w:val="auto"/>
              </w:rPr>
            </w:pPr>
          </w:p>
        </w:tc>
        <w:tc>
          <w:tcPr>
            <w:tcW w:w="660" w:type="dxa"/>
            <w:vAlign w:val="bottom"/>
          </w:tcPr>
          <w:p>
            <w:pPr>
              <w:jc w:val="right"/>
              <w:ind w:right="22"/>
              <w:spacing w:after="0"/>
              <w:rPr>
                <w:sz w:val="20"/>
                <w:szCs w:val="20"/>
                <w:color w:val="auto"/>
              </w:rPr>
            </w:pPr>
            <w:r>
              <w:rPr>
                <w:rFonts w:ascii="Times New Roman" w:cs="Times New Roman" w:eastAsia="Times New Roman" w:hAnsi="Times New Roman"/>
                <w:sz w:val="12"/>
                <w:szCs w:val="12"/>
                <w:color w:val="auto"/>
              </w:rPr>
              <w:t>—</w:t>
            </w:r>
          </w:p>
        </w:tc>
        <w:tc>
          <w:tcPr>
            <w:tcW w:w="220" w:type="dxa"/>
            <w:vAlign w:val="bottom"/>
          </w:tcPr>
          <w:p>
            <w:pPr>
              <w:spacing w:after="0"/>
              <w:rPr>
                <w:sz w:val="23"/>
                <w:szCs w:val="23"/>
                <w:color w:val="auto"/>
              </w:rPr>
            </w:pPr>
          </w:p>
        </w:tc>
        <w:tc>
          <w:tcPr>
            <w:tcW w:w="660" w:type="dxa"/>
            <w:vAlign w:val="bottom"/>
          </w:tcPr>
          <w:p>
            <w:pPr>
              <w:jc w:val="right"/>
              <w:ind w:right="22"/>
              <w:spacing w:after="0"/>
              <w:rPr>
                <w:sz w:val="20"/>
                <w:szCs w:val="20"/>
                <w:color w:val="auto"/>
              </w:rPr>
            </w:pPr>
            <w:r>
              <w:rPr>
                <w:rFonts w:ascii="Times New Roman" w:cs="Times New Roman" w:eastAsia="Times New Roman" w:hAnsi="Times New Roman"/>
                <w:sz w:val="12"/>
                <w:szCs w:val="12"/>
                <w:color w:val="auto"/>
              </w:rPr>
              <w:t>—</w:t>
            </w:r>
          </w:p>
        </w:tc>
        <w:tc>
          <w:tcPr>
            <w:tcW w:w="280" w:type="dxa"/>
            <w:vAlign w:val="bottom"/>
          </w:tcPr>
          <w:p>
            <w:pPr>
              <w:spacing w:after="0"/>
              <w:rPr>
                <w:sz w:val="23"/>
                <w:szCs w:val="23"/>
                <w:color w:val="auto"/>
              </w:rPr>
            </w:pPr>
          </w:p>
        </w:tc>
        <w:tc>
          <w:tcPr>
            <w:tcW w:w="740" w:type="dxa"/>
            <w:vAlign w:val="bottom"/>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2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4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rPr>
              <w:t>—</w:t>
            </w:r>
          </w:p>
        </w:tc>
        <w:tc>
          <w:tcPr>
            <w:tcW w:w="3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40" w:type="dxa"/>
            <w:vAlign w:val="bottom"/>
            <w:gridSpan w:val="2"/>
          </w:tcPr>
          <w:p>
            <w:pPr>
              <w:jc w:val="right"/>
              <w:ind w:right="220"/>
              <w:spacing w:after="0"/>
              <w:rPr>
                <w:sz w:val="20"/>
                <w:szCs w:val="20"/>
                <w:color w:val="auto"/>
              </w:rPr>
            </w:pPr>
            <w:r>
              <w:rPr>
                <w:rFonts w:ascii="Times New Roman" w:cs="Times New Roman" w:eastAsia="Times New Roman" w:hAnsi="Times New Roman"/>
                <w:sz w:val="12"/>
                <w:szCs w:val="12"/>
                <w:color w:val="auto"/>
              </w:rPr>
              <w:t>—</w:t>
            </w:r>
          </w:p>
        </w:tc>
        <w:tc>
          <w:tcPr>
            <w:tcW w:w="540" w:type="dxa"/>
            <w:vAlign w:val="bottom"/>
          </w:tcPr>
          <w:p>
            <w:pPr>
              <w:spacing w:after="0"/>
              <w:rPr>
                <w:sz w:val="23"/>
                <w:szCs w:val="23"/>
                <w:color w:val="auto"/>
              </w:rPr>
            </w:pPr>
          </w:p>
        </w:tc>
        <w:tc>
          <w:tcPr>
            <w:tcW w:w="1020" w:type="dxa"/>
            <w:vAlign w:val="bottom"/>
          </w:tcPr>
          <w:p>
            <w:pPr>
              <w:jc w:val="right"/>
              <w:ind w:right="62"/>
              <w:spacing w:after="0"/>
              <w:rPr>
                <w:sz w:val="20"/>
                <w:szCs w:val="20"/>
                <w:color w:val="auto"/>
              </w:rPr>
            </w:pPr>
            <w:r>
              <w:rPr>
                <w:rFonts w:ascii="Times New Roman" w:cs="Times New Roman" w:eastAsia="Times New Roman" w:hAnsi="Times New Roman"/>
                <w:sz w:val="12"/>
                <w:szCs w:val="12"/>
                <w:color w:val="auto"/>
              </w:rPr>
              <w:t>123</w:t>
            </w:r>
          </w:p>
        </w:tc>
        <w:tc>
          <w:tcPr>
            <w:tcW w:w="0" w:type="dxa"/>
            <w:vAlign w:val="bottom"/>
          </w:tcPr>
          <w:p>
            <w:pPr>
              <w:spacing w:after="0"/>
              <w:rPr>
                <w:sz w:val="1"/>
                <w:szCs w:val="1"/>
                <w:color w:val="auto"/>
              </w:rPr>
            </w:pPr>
          </w:p>
        </w:tc>
      </w:tr>
      <w:tr>
        <w:trPr>
          <w:trHeight w:val="189"/>
        </w:trPr>
        <w:tc>
          <w:tcPr>
            <w:tcW w:w="3120" w:type="dxa"/>
            <w:vAlign w:val="bottom"/>
            <w:vMerge w:val="restart"/>
          </w:tcPr>
          <w:p>
            <w:pPr>
              <w:spacing w:after="0"/>
              <w:rPr>
                <w:sz w:val="20"/>
                <w:szCs w:val="20"/>
                <w:color w:val="auto"/>
              </w:rPr>
            </w:pPr>
            <w:r>
              <w:rPr>
                <w:rFonts w:ascii="Times New Roman" w:cs="Times New Roman" w:eastAsia="Times New Roman" w:hAnsi="Times New Roman"/>
                <w:sz w:val="12"/>
                <w:szCs w:val="12"/>
                <w:color w:val="auto"/>
              </w:rPr>
              <w:t>Class B common stock</w:t>
            </w:r>
          </w:p>
        </w:tc>
        <w:tc>
          <w:tcPr>
            <w:tcW w:w="20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w:t>
            </w:r>
          </w:p>
        </w:tc>
        <w:tc>
          <w:tcPr>
            <w:tcW w:w="22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w:t>
            </w:r>
          </w:p>
        </w:tc>
        <w:tc>
          <w:tcPr>
            <w:tcW w:w="280" w:type="dxa"/>
            <w:vAlign w:val="bottom"/>
          </w:tcPr>
          <w:p>
            <w:pPr>
              <w:spacing w:after="0"/>
              <w:rPr>
                <w:sz w:val="16"/>
                <w:szCs w:val="16"/>
                <w:color w:val="auto"/>
              </w:rPr>
            </w:pPr>
          </w:p>
        </w:tc>
        <w:tc>
          <w:tcPr>
            <w:tcW w:w="740" w:type="dxa"/>
            <w:vAlign w:val="bottom"/>
            <w:vMerge w:val="restart"/>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2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2,199</w:t>
            </w:r>
          </w:p>
        </w:tc>
        <w:tc>
          <w:tcPr>
            <w:tcW w:w="580" w:type="dxa"/>
            <w:vAlign w:val="bottom"/>
            <w:gridSpan w:val="2"/>
          </w:tcPr>
          <w:p>
            <w:pPr>
              <w:jc w:val="right"/>
              <w:ind w:right="280"/>
              <w:spacing w:after="0"/>
              <w:rPr>
                <w:sz w:val="20"/>
                <w:szCs w:val="20"/>
                <w:color w:val="auto"/>
              </w:rPr>
            </w:pPr>
            <w:r>
              <w:rPr>
                <w:rFonts w:ascii="Times New Roman" w:cs="Times New Roman" w:eastAsia="Times New Roman" w:hAnsi="Times New Roman"/>
                <w:sz w:val="12"/>
                <w:szCs w:val="12"/>
                <w:color w:val="auto"/>
              </w:rPr>
              <w:t>(g)</w:t>
            </w:r>
          </w:p>
        </w:tc>
        <w:tc>
          <w:tcPr>
            <w:tcW w:w="84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2"/>
                <w:szCs w:val="12"/>
                <w:color w:val="auto"/>
              </w:rPr>
              <w:t>—</w:t>
            </w:r>
          </w:p>
        </w:tc>
        <w:tc>
          <w:tcPr>
            <w:tcW w:w="540" w:type="dxa"/>
            <w:vAlign w:val="bottom"/>
          </w:tcPr>
          <w:p>
            <w:pPr>
              <w:spacing w:after="0"/>
              <w:rPr>
                <w:sz w:val="16"/>
                <w:szCs w:val="16"/>
                <w:color w:val="auto"/>
              </w:rPr>
            </w:pPr>
          </w:p>
        </w:tc>
        <w:tc>
          <w:tcPr>
            <w:tcW w:w="1020" w:type="dxa"/>
            <w:vAlign w:val="bottom"/>
            <w:vMerge w:val="restart"/>
          </w:tcPr>
          <w:p>
            <w:pPr>
              <w:jc w:val="right"/>
              <w:ind w:right="62"/>
              <w:spacing w:after="0"/>
              <w:rPr>
                <w:sz w:val="20"/>
                <w:szCs w:val="20"/>
                <w:color w:val="auto"/>
              </w:rPr>
            </w:pPr>
            <w:r>
              <w:rPr>
                <w:rFonts w:ascii="Times New Roman" w:cs="Times New Roman" w:eastAsia="Times New Roman" w:hAnsi="Times New Roman"/>
                <w:sz w:val="12"/>
                <w:szCs w:val="12"/>
                <w:color w:val="auto"/>
              </w:rPr>
              <w:t>(537)</w:t>
            </w:r>
          </w:p>
        </w:tc>
        <w:tc>
          <w:tcPr>
            <w:tcW w:w="0" w:type="dxa"/>
            <w:vAlign w:val="bottom"/>
          </w:tcPr>
          <w:p>
            <w:pPr>
              <w:spacing w:after="0"/>
              <w:rPr>
                <w:sz w:val="1"/>
                <w:szCs w:val="1"/>
                <w:color w:val="auto"/>
              </w:rPr>
            </w:pPr>
          </w:p>
        </w:tc>
      </w:tr>
      <w:tr>
        <w:trPr>
          <w:trHeight w:val="81"/>
        </w:trPr>
        <w:tc>
          <w:tcPr>
            <w:tcW w:w="31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2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260" w:type="dxa"/>
            <w:vAlign w:val="bottom"/>
          </w:tcPr>
          <w:p>
            <w:pPr>
              <w:spacing w:after="0"/>
              <w:rPr>
                <w:sz w:val="7"/>
                <w:szCs w:val="7"/>
                <w:color w:val="auto"/>
              </w:rPr>
            </w:pPr>
          </w:p>
        </w:tc>
        <w:tc>
          <w:tcPr>
            <w:tcW w:w="840" w:type="dxa"/>
            <w:vAlign w:val="bottom"/>
            <w:gridSpan w:val="2"/>
            <w:vMerge w:val="continue"/>
          </w:tcPr>
          <w:p>
            <w:pPr>
              <w:spacing w:after="0"/>
              <w:rPr>
                <w:sz w:val="7"/>
                <w:szCs w:val="7"/>
                <w:color w:val="auto"/>
              </w:rPr>
            </w:pPr>
          </w:p>
        </w:tc>
        <w:tc>
          <w:tcPr>
            <w:tcW w:w="540" w:type="dxa"/>
            <w:vAlign w:val="bottom"/>
          </w:tcPr>
          <w:p>
            <w:pPr>
              <w:spacing w:after="0"/>
              <w:rPr>
                <w:sz w:val="7"/>
                <w:szCs w:val="7"/>
                <w:color w:val="auto"/>
              </w:rPr>
            </w:pPr>
          </w:p>
        </w:tc>
        <w:tc>
          <w:tcPr>
            <w:tcW w:w="10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3120" w:type="dxa"/>
            <w:vAlign w:val="bottom"/>
            <w:vMerge w:val="restart"/>
          </w:tcPr>
          <w:p>
            <w:pPr>
              <w:spacing w:after="0"/>
              <w:rPr>
                <w:sz w:val="20"/>
                <w:szCs w:val="20"/>
                <w:color w:val="auto"/>
              </w:rPr>
            </w:pPr>
            <w:r>
              <w:rPr>
                <w:rFonts w:ascii="Times New Roman" w:cs="Times New Roman" w:eastAsia="Times New Roman" w:hAnsi="Times New Roman"/>
                <w:sz w:val="12"/>
                <w:szCs w:val="12"/>
                <w:color w:val="auto"/>
              </w:rPr>
              <w:t>Treasury stock</w:t>
            </w:r>
          </w:p>
        </w:tc>
        <w:tc>
          <w:tcPr>
            <w:tcW w:w="20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w:t>
            </w:r>
          </w:p>
        </w:tc>
        <w:tc>
          <w:tcPr>
            <w:tcW w:w="22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(2,157)</w:t>
            </w:r>
          </w:p>
        </w:tc>
        <w:tc>
          <w:tcPr>
            <w:tcW w:w="280" w:type="dxa"/>
            <w:vAlign w:val="bottom"/>
          </w:tcPr>
          <w:p>
            <w:pPr>
              <w:spacing w:after="0"/>
              <w:rPr>
                <w:sz w:val="16"/>
                <w:szCs w:val="16"/>
                <w:color w:val="auto"/>
              </w:rPr>
            </w:pP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2,157</w:t>
            </w:r>
          </w:p>
        </w:tc>
        <w:tc>
          <w:tcPr>
            <w:tcW w:w="460" w:type="dxa"/>
            <w:vAlign w:val="bottom"/>
            <w:gridSpan w:val="2"/>
          </w:tcPr>
          <w:p>
            <w:pPr>
              <w:jc w:val="right"/>
              <w:ind w:right="280"/>
              <w:spacing w:after="0"/>
              <w:rPr>
                <w:sz w:val="20"/>
                <w:szCs w:val="20"/>
                <w:color w:val="auto"/>
              </w:rPr>
            </w:pPr>
            <w:r>
              <w:rPr>
                <w:rFonts w:ascii="Times New Roman" w:cs="Times New Roman" w:eastAsia="Times New Roman" w:hAnsi="Times New Roman"/>
                <w:sz w:val="12"/>
                <w:szCs w:val="12"/>
                <w:color w:val="auto"/>
              </w:rPr>
              <w:t>(j)</w:t>
            </w: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w:t>
            </w:r>
          </w:p>
        </w:tc>
        <w:tc>
          <w:tcPr>
            <w:tcW w:w="3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2"/>
                <w:szCs w:val="12"/>
                <w:color w:val="auto"/>
              </w:rPr>
              <w:t>—</w:t>
            </w:r>
          </w:p>
        </w:tc>
        <w:tc>
          <w:tcPr>
            <w:tcW w:w="540" w:type="dxa"/>
            <w:vAlign w:val="bottom"/>
          </w:tcPr>
          <w:p>
            <w:pPr>
              <w:spacing w:after="0"/>
              <w:rPr>
                <w:sz w:val="16"/>
                <w:szCs w:val="16"/>
                <w:color w:val="auto"/>
              </w:rPr>
            </w:pPr>
          </w:p>
        </w:tc>
        <w:tc>
          <w:tcPr>
            <w:tcW w:w="1020" w:type="dxa"/>
            <w:vAlign w:val="bottom"/>
            <w:vMerge w:val="restart"/>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0" w:type="dxa"/>
            <w:vAlign w:val="bottom"/>
          </w:tcPr>
          <w:p>
            <w:pPr>
              <w:spacing w:after="0"/>
              <w:rPr>
                <w:sz w:val="1"/>
                <w:szCs w:val="1"/>
                <w:color w:val="auto"/>
              </w:rPr>
            </w:pPr>
          </w:p>
        </w:tc>
      </w:tr>
      <w:tr>
        <w:trPr>
          <w:trHeight w:val="81"/>
        </w:trPr>
        <w:tc>
          <w:tcPr>
            <w:tcW w:w="31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2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260" w:type="dxa"/>
            <w:vAlign w:val="bottom"/>
          </w:tcPr>
          <w:p>
            <w:pPr>
              <w:spacing w:after="0"/>
              <w:rPr>
                <w:sz w:val="7"/>
                <w:szCs w:val="7"/>
                <w:color w:val="auto"/>
              </w:rPr>
            </w:pPr>
          </w:p>
        </w:tc>
        <w:tc>
          <w:tcPr>
            <w:tcW w:w="840" w:type="dxa"/>
            <w:vAlign w:val="bottom"/>
            <w:gridSpan w:val="2"/>
            <w:vMerge w:val="continue"/>
          </w:tcPr>
          <w:p>
            <w:pPr>
              <w:spacing w:after="0"/>
              <w:rPr>
                <w:sz w:val="7"/>
                <w:szCs w:val="7"/>
                <w:color w:val="auto"/>
              </w:rPr>
            </w:pPr>
          </w:p>
        </w:tc>
        <w:tc>
          <w:tcPr>
            <w:tcW w:w="540" w:type="dxa"/>
            <w:vAlign w:val="bottom"/>
          </w:tcPr>
          <w:p>
            <w:pPr>
              <w:spacing w:after="0"/>
              <w:rPr>
                <w:sz w:val="7"/>
                <w:szCs w:val="7"/>
                <w:color w:val="auto"/>
              </w:rPr>
            </w:pPr>
          </w:p>
        </w:tc>
        <w:tc>
          <w:tcPr>
            <w:tcW w:w="10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3120" w:type="dxa"/>
            <w:vAlign w:val="bottom"/>
            <w:vMerge w:val="restart"/>
          </w:tcPr>
          <w:p>
            <w:pPr>
              <w:ind w:left="20"/>
              <w:spacing w:after="0"/>
              <w:rPr>
                <w:sz w:val="20"/>
                <w:szCs w:val="20"/>
                <w:color w:val="auto"/>
              </w:rPr>
            </w:pPr>
            <w:r>
              <w:rPr>
                <w:rFonts w:ascii="Times New Roman" w:cs="Times New Roman" w:eastAsia="Times New Roman" w:hAnsi="Times New Roman"/>
                <w:sz w:val="12"/>
                <w:szCs w:val="12"/>
                <w:color w:val="auto"/>
              </w:rPr>
              <w:t>Additional paid in capital</w:t>
            </w:r>
          </w:p>
        </w:tc>
        <w:tc>
          <w:tcPr>
            <w:tcW w:w="20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w:t>
            </w:r>
          </w:p>
        </w:tc>
        <w:tc>
          <w:tcPr>
            <w:tcW w:w="22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563,974</w:t>
            </w:r>
          </w:p>
        </w:tc>
        <w:tc>
          <w:tcPr>
            <w:tcW w:w="280" w:type="dxa"/>
            <w:vAlign w:val="bottom"/>
          </w:tcPr>
          <w:p>
            <w:pPr>
              <w:spacing w:after="0"/>
              <w:rPr>
                <w:sz w:val="16"/>
                <w:szCs w:val="16"/>
                <w:color w:val="auto"/>
              </w:rPr>
            </w:pP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799,088</w:t>
            </w:r>
          </w:p>
        </w:tc>
        <w:tc>
          <w:tcPr>
            <w:tcW w:w="460" w:type="dxa"/>
            <w:vAlign w:val="bottom"/>
            <w:gridSpan w:val="2"/>
          </w:tcPr>
          <w:p>
            <w:pPr>
              <w:jc w:val="right"/>
              <w:ind w:right="280"/>
              <w:spacing w:after="0"/>
              <w:rPr>
                <w:sz w:val="20"/>
                <w:szCs w:val="20"/>
                <w:color w:val="auto"/>
              </w:rPr>
            </w:pPr>
            <w:r>
              <w:rPr>
                <w:rFonts w:ascii="Times New Roman" w:cs="Times New Roman" w:eastAsia="Times New Roman" w:hAnsi="Times New Roman"/>
                <w:sz w:val="12"/>
                <w:szCs w:val="12"/>
                <w:color w:val="auto"/>
              </w:rPr>
              <w:t>(j)</w:t>
            </w: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(67,854)</w:t>
            </w:r>
          </w:p>
        </w:tc>
        <w:tc>
          <w:tcPr>
            <w:tcW w:w="580" w:type="dxa"/>
            <w:vAlign w:val="bottom"/>
            <w:gridSpan w:val="2"/>
          </w:tcPr>
          <w:p>
            <w:pPr>
              <w:jc w:val="right"/>
              <w:ind w:right="280"/>
              <w:spacing w:after="0"/>
              <w:rPr>
                <w:sz w:val="20"/>
                <w:szCs w:val="20"/>
                <w:color w:val="auto"/>
              </w:rPr>
            </w:pPr>
            <w:r>
              <w:rPr>
                <w:rFonts w:ascii="Times New Roman" w:cs="Times New Roman" w:eastAsia="Times New Roman" w:hAnsi="Times New Roman"/>
                <w:sz w:val="12"/>
                <w:szCs w:val="12"/>
                <w:color w:val="auto"/>
              </w:rPr>
              <w:t>(g)</w:t>
            </w:r>
          </w:p>
        </w:tc>
        <w:tc>
          <w:tcPr>
            <w:tcW w:w="72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(622,938)</w:t>
            </w:r>
          </w:p>
        </w:tc>
        <w:tc>
          <w:tcPr>
            <w:tcW w:w="1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020" w:type="dxa"/>
            <w:vAlign w:val="bottom"/>
            <w:vMerge w:val="restart"/>
          </w:tcPr>
          <w:p>
            <w:pPr>
              <w:jc w:val="right"/>
              <w:ind w:right="62"/>
              <w:spacing w:after="0"/>
              <w:rPr>
                <w:sz w:val="20"/>
                <w:szCs w:val="20"/>
                <w:color w:val="auto"/>
              </w:rPr>
            </w:pPr>
            <w:r>
              <w:rPr>
                <w:rFonts w:ascii="Times New Roman" w:cs="Times New Roman" w:eastAsia="Times New Roman" w:hAnsi="Times New Roman"/>
                <w:sz w:val="12"/>
                <w:szCs w:val="12"/>
                <w:color w:val="auto"/>
              </w:rPr>
              <w:t>277,003</w:t>
            </w:r>
          </w:p>
        </w:tc>
        <w:tc>
          <w:tcPr>
            <w:tcW w:w="0" w:type="dxa"/>
            <w:vAlign w:val="bottom"/>
          </w:tcPr>
          <w:p>
            <w:pPr>
              <w:spacing w:after="0"/>
              <w:rPr>
                <w:sz w:val="1"/>
                <w:szCs w:val="1"/>
                <w:color w:val="auto"/>
              </w:rPr>
            </w:pPr>
          </w:p>
        </w:tc>
      </w:tr>
      <w:tr>
        <w:trPr>
          <w:trHeight w:val="81"/>
        </w:trPr>
        <w:tc>
          <w:tcPr>
            <w:tcW w:w="31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2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540" w:type="dxa"/>
            <w:vAlign w:val="bottom"/>
          </w:tcPr>
          <w:p>
            <w:pPr>
              <w:spacing w:after="0"/>
              <w:rPr>
                <w:sz w:val="7"/>
                <w:szCs w:val="7"/>
                <w:color w:val="auto"/>
              </w:rPr>
            </w:pPr>
          </w:p>
        </w:tc>
        <w:tc>
          <w:tcPr>
            <w:tcW w:w="10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3120" w:type="dxa"/>
            <w:vAlign w:val="bottom"/>
            <w:vMerge w:val="restart"/>
          </w:tcPr>
          <w:p>
            <w:pPr>
              <w:ind w:left="20"/>
              <w:spacing w:after="0"/>
              <w:rPr>
                <w:sz w:val="20"/>
                <w:szCs w:val="20"/>
                <w:color w:val="auto"/>
              </w:rPr>
            </w:pPr>
            <w:r>
              <w:rPr>
                <w:rFonts w:ascii="Times New Roman" w:cs="Times New Roman" w:eastAsia="Times New Roman" w:hAnsi="Times New Roman"/>
                <w:sz w:val="12"/>
                <w:szCs w:val="12"/>
                <w:color w:val="auto"/>
              </w:rPr>
              <w:t>Accumulated other comprehensive (loss) income</w:t>
            </w:r>
          </w:p>
        </w:tc>
        <w:tc>
          <w:tcPr>
            <w:tcW w:w="20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(24,189)</w:t>
            </w:r>
          </w:p>
        </w:tc>
        <w:tc>
          <w:tcPr>
            <w:tcW w:w="22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49</w:t>
            </w:r>
          </w:p>
        </w:tc>
        <w:tc>
          <w:tcPr>
            <w:tcW w:w="280" w:type="dxa"/>
            <w:vAlign w:val="bottom"/>
          </w:tcPr>
          <w:p>
            <w:pPr>
              <w:spacing w:after="0"/>
              <w:rPr>
                <w:sz w:val="16"/>
                <w:szCs w:val="16"/>
                <w:color w:val="auto"/>
              </w:rPr>
            </w:pP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(49)</w:t>
            </w:r>
          </w:p>
        </w:tc>
        <w:tc>
          <w:tcPr>
            <w:tcW w:w="460" w:type="dxa"/>
            <w:vAlign w:val="bottom"/>
            <w:gridSpan w:val="2"/>
          </w:tcPr>
          <w:p>
            <w:pPr>
              <w:jc w:val="right"/>
              <w:ind w:right="280"/>
              <w:spacing w:after="0"/>
              <w:rPr>
                <w:sz w:val="20"/>
                <w:szCs w:val="20"/>
                <w:color w:val="auto"/>
              </w:rPr>
            </w:pPr>
            <w:r>
              <w:rPr>
                <w:rFonts w:ascii="Times New Roman" w:cs="Times New Roman" w:eastAsia="Times New Roman" w:hAnsi="Times New Roman"/>
                <w:sz w:val="12"/>
                <w:szCs w:val="12"/>
                <w:color w:val="auto"/>
              </w:rPr>
              <w:t>(j)</w:t>
            </w: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w:t>
            </w:r>
          </w:p>
        </w:tc>
        <w:tc>
          <w:tcPr>
            <w:tcW w:w="3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2"/>
                <w:szCs w:val="12"/>
                <w:color w:val="auto"/>
              </w:rPr>
              <w:t>—</w:t>
            </w:r>
          </w:p>
        </w:tc>
        <w:tc>
          <w:tcPr>
            <w:tcW w:w="540" w:type="dxa"/>
            <w:vAlign w:val="bottom"/>
          </w:tcPr>
          <w:p>
            <w:pPr>
              <w:spacing w:after="0"/>
              <w:rPr>
                <w:sz w:val="16"/>
                <w:szCs w:val="16"/>
                <w:color w:val="auto"/>
              </w:rPr>
            </w:pPr>
          </w:p>
        </w:tc>
        <w:tc>
          <w:tcPr>
            <w:tcW w:w="1020" w:type="dxa"/>
            <w:vAlign w:val="bottom"/>
            <w:vMerge w:val="restart"/>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0" w:type="dxa"/>
            <w:vAlign w:val="bottom"/>
          </w:tcPr>
          <w:p>
            <w:pPr>
              <w:spacing w:after="0"/>
              <w:rPr>
                <w:sz w:val="1"/>
                <w:szCs w:val="1"/>
                <w:color w:val="auto"/>
              </w:rPr>
            </w:pPr>
          </w:p>
        </w:tc>
      </w:tr>
      <w:tr>
        <w:trPr>
          <w:trHeight w:val="81"/>
        </w:trPr>
        <w:tc>
          <w:tcPr>
            <w:tcW w:w="31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2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260" w:type="dxa"/>
            <w:vAlign w:val="bottom"/>
          </w:tcPr>
          <w:p>
            <w:pPr>
              <w:spacing w:after="0"/>
              <w:rPr>
                <w:sz w:val="7"/>
                <w:szCs w:val="7"/>
                <w:color w:val="auto"/>
              </w:rPr>
            </w:pPr>
          </w:p>
        </w:tc>
        <w:tc>
          <w:tcPr>
            <w:tcW w:w="840" w:type="dxa"/>
            <w:vAlign w:val="bottom"/>
            <w:gridSpan w:val="2"/>
            <w:vMerge w:val="continue"/>
          </w:tcPr>
          <w:p>
            <w:pPr>
              <w:spacing w:after="0"/>
              <w:rPr>
                <w:sz w:val="7"/>
                <w:szCs w:val="7"/>
                <w:color w:val="auto"/>
              </w:rPr>
            </w:pPr>
          </w:p>
        </w:tc>
        <w:tc>
          <w:tcPr>
            <w:tcW w:w="540" w:type="dxa"/>
            <w:vAlign w:val="bottom"/>
          </w:tcPr>
          <w:p>
            <w:pPr>
              <w:spacing w:after="0"/>
              <w:rPr>
                <w:sz w:val="7"/>
                <w:szCs w:val="7"/>
                <w:color w:val="auto"/>
              </w:rPr>
            </w:pPr>
          </w:p>
        </w:tc>
        <w:tc>
          <w:tcPr>
            <w:tcW w:w="10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3120" w:type="dxa"/>
            <w:vAlign w:val="bottom"/>
            <w:vMerge w:val="restart"/>
          </w:tcPr>
          <w:p>
            <w:pPr>
              <w:ind w:left="20"/>
              <w:spacing w:after="0"/>
              <w:rPr>
                <w:sz w:val="20"/>
                <w:szCs w:val="20"/>
                <w:color w:val="auto"/>
              </w:rPr>
            </w:pPr>
            <w:r>
              <w:rPr>
                <w:rFonts w:ascii="Times New Roman" w:cs="Times New Roman" w:eastAsia="Times New Roman" w:hAnsi="Times New Roman"/>
                <w:sz w:val="12"/>
                <w:szCs w:val="12"/>
                <w:color w:val="auto"/>
              </w:rPr>
              <w:t>(Accumulated deficit) retained earnings</w:t>
            </w:r>
          </w:p>
        </w:tc>
        <w:tc>
          <w:tcPr>
            <w:tcW w:w="20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(357,980)</w:t>
            </w:r>
          </w:p>
        </w:tc>
        <w:tc>
          <w:tcPr>
            <w:tcW w:w="220" w:type="dxa"/>
            <w:vAlign w:val="bottom"/>
          </w:tcPr>
          <w:p>
            <w:pPr>
              <w:spacing w:after="0"/>
              <w:rPr>
                <w:sz w:val="16"/>
                <w:szCs w:val="16"/>
                <w:color w:val="auto"/>
              </w:rPr>
            </w:pPr>
          </w:p>
        </w:tc>
        <w:tc>
          <w:tcPr>
            <w:tcW w:w="660" w:type="dxa"/>
            <w:vAlign w:val="bottom"/>
            <w:vMerge w:val="restart"/>
          </w:tcPr>
          <w:p>
            <w:pPr>
              <w:jc w:val="right"/>
              <w:ind w:right="22"/>
              <w:spacing w:after="0"/>
              <w:rPr>
                <w:sz w:val="20"/>
                <w:szCs w:val="20"/>
                <w:color w:val="auto"/>
              </w:rPr>
            </w:pPr>
            <w:r>
              <w:rPr>
                <w:rFonts w:ascii="Times New Roman" w:cs="Times New Roman" w:eastAsia="Times New Roman" w:hAnsi="Times New Roman"/>
                <w:sz w:val="12"/>
                <w:szCs w:val="12"/>
                <w:color w:val="auto"/>
              </w:rPr>
              <w:t>(503,004)</w:t>
            </w:r>
          </w:p>
        </w:tc>
        <w:tc>
          <w:tcPr>
            <w:tcW w:w="280" w:type="dxa"/>
            <w:vAlign w:val="bottom"/>
          </w:tcPr>
          <w:p>
            <w:pPr>
              <w:spacing w:after="0"/>
              <w:rPr>
                <w:sz w:val="16"/>
                <w:szCs w:val="16"/>
                <w:color w:val="auto"/>
              </w:rPr>
            </w:pP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467,843</w:t>
            </w:r>
          </w:p>
        </w:tc>
        <w:tc>
          <w:tcPr>
            <w:tcW w:w="460" w:type="dxa"/>
            <w:vAlign w:val="bottom"/>
            <w:gridSpan w:val="2"/>
          </w:tcPr>
          <w:p>
            <w:pPr>
              <w:jc w:val="right"/>
              <w:ind w:right="280"/>
              <w:spacing w:after="0"/>
              <w:rPr>
                <w:sz w:val="20"/>
                <w:szCs w:val="20"/>
                <w:color w:val="auto"/>
              </w:rPr>
            </w:pPr>
            <w:r>
              <w:rPr>
                <w:rFonts w:ascii="Times New Roman" w:cs="Times New Roman" w:eastAsia="Times New Roman" w:hAnsi="Times New Roman"/>
                <w:sz w:val="12"/>
                <w:szCs w:val="12"/>
                <w:color w:val="auto"/>
              </w:rPr>
              <w:t>(j)</w:t>
            </w:r>
          </w:p>
        </w:tc>
        <w:tc>
          <w:tcPr>
            <w:tcW w:w="740" w:type="dxa"/>
            <w:vAlign w:val="bottom"/>
            <w:vMerge w:val="restart"/>
          </w:tcPr>
          <w:p>
            <w:pPr>
              <w:jc w:val="right"/>
              <w:ind w:right="42"/>
              <w:spacing w:after="0"/>
              <w:rPr>
                <w:sz w:val="20"/>
                <w:szCs w:val="20"/>
                <w:color w:val="auto"/>
              </w:rPr>
            </w:pPr>
            <w:r>
              <w:rPr>
                <w:rFonts w:ascii="Times New Roman" w:cs="Times New Roman" w:eastAsia="Times New Roman" w:hAnsi="Times New Roman"/>
                <w:sz w:val="12"/>
                <w:szCs w:val="12"/>
                <w:color w:val="auto"/>
              </w:rPr>
              <w:t>(18,662)</w:t>
            </w:r>
          </w:p>
        </w:tc>
        <w:tc>
          <w:tcPr>
            <w:tcW w:w="580" w:type="dxa"/>
            <w:vAlign w:val="bottom"/>
            <w:gridSpan w:val="2"/>
          </w:tcPr>
          <w:p>
            <w:pPr>
              <w:jc w:val="right"/>
              <w:ind w:right="280"/>
              <w:spacing w:after="0"/>
              <w:rPr>
                <w:sz w:val="20"/>
                <w:szCs w:val="20"/>
                <w:color w:val="auto"/>
              </w:rPr>
            </w:pPr>
            <w:r>
              <w:rPr>
                <w:rFonts w:ascii="Times New Roman" w:cs="Times New Roman" w:eastAsia="Times New Roman" w:hAnsi="Times New Roman"/>
                <w:sz w:val="12"/>
                <w:szCs w:val="12"/>
                <w:color w:val="auto"/>
              </w:rPr>
              <w:t>(g)</w:t>
            </w:r>
          </w:p>
        </w:tc>
        <w:tc>
          <w:tcPr>
            <w:tcW w:w="84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2"/>
                <w:szCs w:val="12"/>
                <w:color w:val="auto"/>
              </w:rPr>
              <w:t>—</w:t>
            </w:r>
          </w:p>
        </w:tc>
        <w:tc>
          <w:tcPr>
            <w:tcW w:w="540" w:type="dxa"/>
            <w:vAlign w:val="bottom"/>
          </w:tcPr>
          <w:p>
            <w:pPr>
              <w:spacing w:after="0"/>
              <w:rPr>
                <w:sz w:val="16"/>
                <w:szCs w:val="16"/>
                <w:color w:val="auto"/>
              </w:rPr>
            </w:pPr>
          </w:p>
        </w:tc>
        <w:tc>
          <w:tcPr>
            <w:tcW w:w="1020" w:type="dxa"/>
            <w:vAlign w:val="bottom"/>
            <w:vMerge w:val="restart"/>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0" w:type="dxa"/>
            <w:vAlign w:val="bottom"/>
          </w:tcPr>
          <w:p>
            <w:pPr>
              <w:spacing w:after="0"/>
              <w:rPr>
                <w:sz w:val="1"/>
                <w:szCs w:val="1"/>
                <w:color w:val="auto"/>
              </w:rPr>
            </w:pPr>
          </w:p>
        </w:tc>
      </w:tr>
      <w:tr>
        <w:trPr>
          <w:trHeight w:val="81"/>
        </w:trPr>
        <w:tc>
          <w:tcPr>
            <w:tcW w:w="31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2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260" w:type="dxa"/>
            <w:vAlign w:val="bottom"/>
          </w:tcPr>
          <w:p>
            <w:pPr>
              <w:spacing w:after="0"/>
              <w:rPr>
                <w:sz w:val="7"/>
                <w:szCs w:val="7"/>
                <w:color w:val="auto"/>
              </w:rPr>
            </w:pPr>
          </w:p>
        </w:tc>
        <w:tc>
          <w:tcPr>
            <w:tcW w:w="840" w:type="dxa"/>
            <w:vAlign w:val="bottom"/>
            <w:gridSpan w:val="2"/>
            <w:vMerge w:val="continue"/>
          </w:tcPr>
          <w:p>
            <w:pPr>
              <w:spacing w:after="0"/>
              <w:rPr>
                <w:sz w:val="7"/>
                <w:szCs w:val="7"/>
                <w:color w:val="auto"/>
              </w:rPr>
            </w:pPr>
          </w:p>
        </w:tc>
        <w:tc>
          <w:tcPr>
            <w:tcW w:w="540" w:type="dxa"/>
            <w:vAlign w:val="bottom"/>
          </w:tcPr>
          <w:p>
            <w:pPr>
              <w:spacing w:after="0"/>
              <w:rPr>
                <w:sz w:val="7"/>
                <w:szCs w:val="7"/>
                <w:color w:val="auto"/>
              </w:rPr>
            </w:pPr>
          </w:p>
        </w:tc>
        <w:tc>
          <w:tcPr>
            <w:tcW w:w="10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3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30"/>
        </w:trPr>
        <w:tc>
          <w:tcPr>
            <w:tcW w:w="3120" w:type="dxa"/>
            <w:vAlign w:val="bottom"/>
          </w:tcPr>
          <w:p>
            <w:pPr>
              <w:ind w:left="20"/>
              <w:spacing w:after="0"/>
              <w:rPr>
                <w:sz w:val="20"/>
                <w:szCs w:val="20"/>
                <w:color w:val="auto"/>
              </w:rPr>
            </w:pPr>
            <w:r>
              <w:rPr>
                <w:rFonts w:ascii="Times New Roman" w:cs="Times New Roman" w:eastAsia="Times New Roman" w:hAnsi="Times New Roman"/>
                <w:sz w:val="12"/>
                <w:szCs w:val="12"/>
                <w:color w:val="auto"/>
              </w:rPr>
              <w:t>Total New Amneal shareholders' (deficit) equity</w:t>
            </w:r>
          </w:p>
        </w:tc>
        <w:tc>
          <w:tcPr>
            <w:tcW w:w="200" w:type="dxa"/>
            <w:vAlign w:val="bottom"/>
          </w:tcPr>
          <w:p>
            <w:pPr>
              <w:spacing w:after="0"/>
              <w:rPr>
                <w:sz w:val="20"/>
                <w:szCs w:val="20"/>
                <w:color w:val="auto"/>
              </w:rPr>
            </w:pPr>
          </w:p>
        </w:tc>
        <w:tc>
          <w:tcPr>
            <w:tcW w:w="660" w:type="dxa"/>
            <w:vAlign w:val="bottom"/>
          </w:tcPr>
          <w:p>
            <w:pPr>
              <w:jc w:val="right"/>
              <w:ind w:right="22"/>
              <w:spacing w:after="0"/>
              <w:rPr>
                <w:sz w:val="20"/>
                <w:szCs w:val="20"/>
                <w:color w:val="auto"/>
              </w:rPr>
            </w:pPr>
            <w:r>
              <w:rPr>
                <w:rFonts w:ascii="Times New Roman" w:cs="Times New Roman" w:eastAsia="Times New Roman" w:hAnsi="Times New Roman"/>
                <w:sz w:val="12"/>
                <w:szCs w:val="12"/>
                <w:color w:val="auto"/>
              </w:rPr>
              <w:t>(379,453)</w:t>
            </w:r>
          </w:p>
        </w:tc>
        <w:tc>
          <w:tcPr>
            <w:tcW w:w="220" w:type="dxa"/>
            <w:vAlign w:val="bottom"/>
          </w:tcPr>
          <w:p>
            <w:pPr>
              <w:spacing w:after="0"/>
              <w:rPr>
                <w:sz w:val="20"/>
                <w:szCs w:val="20"/>
                <w:color w:val="auto"/>
              </w:rPr>
            </w:pPr>
          </w:p>
        </w:tc>
        <w:tc>
          <w:tcPr>
            <w:tcW w:w="660" w:type="dxa"/>
            <w:vAlign w:val="bottom"/>
          </w:tcPr>
          <w:p>
            <w:pPr>
              <w:jc w:val="right"/>
              <w:ind w:right="22"/>
              <w:spacing w:after="0"/>
              <w:rPr>
                <w:sz w:val="20"/>
                <w:szCs w:val="20"/>
                <w:color w:val="auto"/>
              </w:rPr>
            </w:pPr>
            <w:r>
              <w:rPr>
                <w:rFonts w:ascii="Times New Roman" w:cs="Times New Roman" w:eastAsia="Times New Roman" w:hAnsi="Times New Roman"/>
                <w:sz w:val="12"/>
                <w:szCs w:val="12"/>
                <w:color w:val="auto"/>
              </w:rPr>
              <w:t>59,603</w:t>
            </w:r>
          </w:p>
        </w:tc>
        <w:tc>
          <w:tcPr>
            <w:tcW w:w="280" w:type="dxa"/>
            <w:vAlign w:val="bottom"/>
          </w:tcPr>
          <w:p>
            <w:pPr>
              <w:spacing w:after="0"/>
              <w:rPr>
                <w:sz w:val="20"/>
                <w:szCs w:val="20"/>
                <w:color w:val="auto"/>
              </w:rPr>
            </w:pPr>
          </w:p>
        </w:tc>
        <w:tc>
          <w:tcPr>
            <w:tcW w:w="740" w:type="dxa"/>
            <w:vAlign w:val="bottom"/>
          </w:tcPr>
          <w:p>
            <w:pPr>
              <w:jc w:val="right"/>
              <w:ind w:right="62"/>
              <w:spacing w:after="0"/>
              <w:rPr>
                <w:sz w:val="20"/>
                <w:szCs w:val="20"/>
                <w:color w:val="auto"/>
              </w:rPr>
            </w:pPr>
            <w:r>
              <w:rPr>
                <w:rFonts w:ascii="Times New Roman" w:cs="Times New Roman" w:eastAsia="Times New Roman" w:hAnsi="Times New Roman"/>
                <w:sz w:val="12"/>
                <w:szCs w:val="12"/>
                <w:color w:val="auto"/>
              </w:rPr>
              <w:t>1,269,031</w:t>
            </w: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4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rPr>
              <w:t>(87,033)</w:t>
            </w:r>
          </w:p>
        </w:tc>
        <w:tc>
          <w:tcPr>
            <w:tcW w:w="3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2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rPr>
              <w:t>(622,938)</w:t>
            </w:r>
          </w:p>
        </w:tc>
        <w:tc>
          <w:tcPr>
            <w:tcW w:w="1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20" w:type="dxa"/>
            <w:vAlign w:val="bottom"/>
          </w:tcPr>
          <w:p>
            <w:pPr>
              <w:jc w:val="right"/>
              <w:ind w:right="62"/>
              <w:spacing w:after="0"/>
              <w:rPr>
                <w:sz w:val="20"/>
                <w:szCs w:val="20"/>
                <w:color w:val="auto"/>
              </w:rPr>
            </w:pPr>
            <w:r>
              <w:rPr>
                <w:rFonts w:ascii="Times New Roman" w:cs="Times New Roman" w:eastAsia="Times New Roman" w:hAnsi="Times New Roman"/>
                <w:sz w:val="12"/>
                <w:szCs w:val="12"/>
                <w:color w:val="auto"/>
              </w:rPr>
              <w:t>277,003</w:t>
            </w:r>
          </w:p>
        </w:tc>
        <w:tc>
          <w:tcPr>
            <w:tcW w:w="0" w:type="dxa"/>
            <w:vAlign w:val="bottom"/>
          </w:tcPr>
          <w:p>
            <w:pPr>
              <w:spacing w:after="0"/>
              <w:rPr>
                <w:sz w:val="1"/>
                <w:szCs w:val="1"/>
                <w:color w:val="auto"/>
              </w:rPr>
            </w:pPr>
          </w:p>
        </w:tc>
      </w:tr>
      <w:tr>
        <w:trPr>
          <w:trHeight w:val="270"/>
        </w:trPr>
        <w:tc>
          <w:tcPr>
            <w:tcW w:w="3120" w:type="dxa"/>
            <w:vAlign w:val="bottom"/>
          </w:tcPr>
          <w:p>
            <w:pPr>
              <w:ind w:left="20"/>
              <w:spacing w:after="0"/>
              <w:rPr>
                <w:sz w:val="20"/>
                <w:szCs w:val="20"/>
                <w:color w:val="auto"/>
              </w:rPr>
            </w:pPr>
            <w:r>
              <w:rPr>
                <w:rFonts w:ascii="Times New Roman" w:cs="Times New Roman" w:eastAsia="Times New Roman" w:hAnsi="Times New Roman"/>
                <w:sz w:val="12"/>
                <w:szCs w:val="12"/>
                <w:color w:val="auto"/>
              </w:rPr>
              <w:t>Non-controlling interests</w:t>
            </w:r>
          </w:p>
        </w:tc>
        <w:tc>
          <w:tcPr>
            <w:tcW w:w="200" w:type="dxa"/>
            <w:vAlign w:val="bottom"/>
          </w:tcPr>
          <w:p>
            <w:pPr>
              <w:spacing w:after="0"/>
              <w:rPr>
                <w:sz w:val="23"/>
                <w:szCs w:val="23"/>
                <w:color w:val="auto"/>
              </w:rPr>
            </w:pPr>
          </w:p>
        </w:tc>
        <w:tc>
          <w:tcPr>
            <w:tcW w:w="660" w:type="dxa"/>
            <w:vAlign w:val="bottom"/>
          </w:tcPr>
          <w:p>
            <w:pPr>
              <w:jc w:val="right"/>
              <w:ind w:right="22"/>
              <w:spacing w:after="0"/>
              <w:rPr>
                <w:sz w:val="20"/>
                <w:szCs w:val="20"/>
                <w:color w:val="auto"/>
              </w:rPr>
            </w:pPr>
            <w:r>
              <w:rPr>
                <w:rFonts w:ascii="Times New Roman" w:cs="Times New Roman" w:eastAsia="Times New Roman" w:hAnsi="Times New Roman"/>
                <w:sz w:val="12"/>
                <w:szCs w:val="12"/>
                <w:color w:val="auto"/>
              </w:rPr>
              <w:t>10,634</w:t>
            </w:r>
          </w:p>
        </w:tc>
        <w:tc>
          <w:tcPr>
            <w:tcW w:w="220" w:type="dxa"/>
            <w:vAlign w:val="bottom"/>
          </w:tcPr>
          <w:p>
            <w:pPr>
              <w:spacing w:after="0"/>
              <w:rPr>
                <w:sz w:val="23"/>
                <w:szCs w:val="23"/>
                <w:color w:val="auto"/>
              </w:rPr>
            </w:pPr>
          </w:p>
        </w:tc>
        <w:tc>
          <w:tcPr>
            <w:tcW w:w="660" w:type="dxa"/>
            <w:vAlign w:val="bottom"/>
          </w:tcPr>
          <w:p>
            <w:pPr>
              <w:jc w:val="right"/>
              <w:ind w:right="22"/>
              <w:spacing w:after="0"/>
              <w:rPr>
                <w:sz w:val="20"/>
                <w:szCs w:val="20"/>
                <w:color w:val="auto"/>
              </w:rPr>
            </w:pPr>
            <w:r>
              <w:rPr>
                <w:rFonts w:ascii="Times New Roman" w:cs="Times New Roman" w:eastAsia="Times New Roman" w:hAnsi="Times New Roman"/>
                <w:sz w:val="12"/>
                <w:szCs w:val="12"/>
                <w:color w:val="auto"/>
              </w:rPr>
              <w:t>—</w:t>
            </w:r>
          </w:p>
        </w:tc>
        <w:tc>
          <w:tcPr>
            <w:tcW w:w="280" w:type="dxa"/>
            <w:vAlign w:val="bottom"/>
          </w:tcPr>
          <w:p>
            <w:pPr>
              <w:spacing w:after="0"/>
              <w:rPr>
                <w:sz w:val="23"/>
                <w:szCs w:val="23"/>
                <w:color w:val="auto"/>
              </w:rPr>
            </w:pPr>
          </w:p>
        </w:tc>
        <w:tc>
          <w:tcPr>
            <w:tcW w:w="740" w:type="dxa"/>
            <w:vAlign w:val="bottom"/>
          </w:tcPr>
          <w:p>
            <w:pPr>
              <w:jc w:val="right"/>
              <w:ind w:right="62"/>
              <w:spacing w:after="0"/>
              <w:rPr>
                <w:sz w:val="20"/>
                <w:szCs w:val="20"/>
                <w:color w:val="auto"/>
              </w:rPr>
            </w:pPr>
            <w:r>
              <w:rPr>
                <w:rFonts w:ascii="Times New Roman" w:cs="Times New Roman" w:eastAsia="Times New Roman" w:hAnsi="Times New Roman"/>
                <w:sz w:val="12"/>
                <w:szCs w:val="12"/>
                <w:color w:val="auto"/>
              </w:rPr>
              <w:t>—</w:t>
            </w:r>
          </w:p>
        </w:tc>
        <w:tc>
          <w:tcPr>
            <w:tcW w:w="2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4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rPr>
              <w:t>—</w:t>
            </w:r>
          </w:p>
        </w:tc>
        <w:tc>
          <w:tcPr>
            <w:tcW w:w="3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72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rPr>
              <w:t>622,938</w:t>
            </w:r>
          </w:p>
        </w:tc>
        <w:tc>
          <w:tcPr>
            <w:tcW w:w="12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1020" w:type="dxa"/>
            <w:vAlign w:val="bottom"/>
          </w:tcPr>
          <w:p>
            <w:pPr>
              <w:jc w:val="right"/>
              <w:ind w:right="62"/>
              <w:spacing w:after="0"/>
              <w:rPr>
                <w:sz w:val="20"/>
                <w:szCs w:val="20"/>
                <w:color w:val="auto"/>
              </w:rPr>
            </w:pPr>
            <w:r>
              <w:rPr>
                <w:rFonts w:ascii="Times New Roman" w:cs="Times New Roman" w:eastAsia="Times New Roman" w:hAnsi="Times New Roman"/>
                <w:sz w:val="12"/>
                <w:szCs w:val="12"/>
                <w:color w:val="auto"/>
              </w:rPr>
              <w:t>(263,844)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-3940175</wp:posOffset>
            </wp:positionV>
            <wp:extent cx="7092315" cy="1714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092315" cy="1714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-3597275</wp:posOffset>
            </wp:positionV>
            <wp:extent cx="7092315" cy="1714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092315" cy="1714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-3253740</wp:posOffset>
            </wp:positionV>
            <wp:extent cx="7092315" cy="1714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092315" cy="1714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-2910840</wp:posOffset>
            </wp:positionV>
            <wp:extent cx="7092315" cy="1714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092315" cy="1714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-2567940</wp:posOffset>
            </wp:positionV>
            <wp:extent cx="7092315" cy="1714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092315" cy="1714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-1873250</wp:posOffset>
            </wp:positionV>
            <wp:extent cx="7092315" cy="1714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092315" cy="1714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-1530350</wp:posOffset>
            </wp:positionV>
            <wp:extent cx="7092315" cy="1714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092315" cy="1714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-1187450</wp:posOffset>
            </wp:positionV>
            <wp:extent cx="7092315" cy="1714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092315" cy="1714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-844550</wp:posOffset>
            </wp:positionV>
            <wp:extent cx="7092315" cy="1714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092315" cy="1714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-501015</wp:posOffset>
            </wp:positionV>
            <wp:extent cx="7092315" cy="1714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092315" cy="1714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-158115</wp:posOffset>
            </wp:positionV>
            <wp:extent cx="7092315" cy="1803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092315" cy="18034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-2225040</wp:posOffset>
            </wp:positionV>
            <wp:extent cx="7092315" cy="1803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092315" cy="18034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1" w:lineRule="exact"/>
        <w:rPr>
          <w:sz w:val="20"/>
          <w:szCs w:val="20"/>
          <w:color w:val="auto"/>
        </w:rPr>
      </w:pPr>
    </w:p>
    <w:p>
      <w:pPr>
        <w:ind w:left="580" w:hanging="170"/>
        <w:spacing w:after="0"/>
        <w:tabs>
          <w:tab w:leader="none" w:pos="580" w:val="left"/>
        </w:tabs>
        <w:numPr>
          <w:ilvl w:val="0"/>
          <w:numId w:val="8"/>
        </w:numPr>
        <w:rPr>
          <w:rFonts w:ascii="Times New Roman" w:cs="Times New Roman" w:eastAsia="Times New Roman" w:hAnsi="Times New Roman"/>
          <w:sz w:val="11"/>
          <w:szCs w:val="11"/>
          <w:color w:val="auto"/>
        </w:rPr>
      </w:pPr>
      <w:r>
        <w:rPr>
          <w:rFonts w:ascii="Times New Roman" w:cs="Times New Roman" w:eastAsia="Times New Roman" w:hAnsi="Times New Roman"/>
          <w:sz w:val="11"/>
          <w:szCs w:val="11"/>
          <w:color w:val="auto"/>
        </w:rPr>
        <w:t>149,482</w:t>
      </w:r>
    </w:p>
    <w:p>
      <w:pPr>
        <w:spacing w:after="0" w:line="143" w:lineRule="exact"/>
        <w:rPr>
          <w:rFonts w:ascii="Times New Roman" w:cs="Times New Roman" w:eastAsia="Times New Roman" w:hAnsi="Times New Roman"/>
          <w:sz w:val="11"/>
          <w:szCs w:val="11"/>
          <w:color w:val="auto"/>
        </w:rPr>
      </w:pPr>
    </w:p>
    <w:p>
      <w:pPr>
        <w:ind w:left="620"/>
        <w:spacing w:after="0"/>
        <w:rPr>
          <w:rFonts w:ascii="Times New Roman" w:cs="Times New Roman" w:eastAsia="Times New Roman" w:hAnsi="Times New Roman"/>
          <w:sz w:val="11"/>
          <w:szCs w:val="11"/>
          <w:color w:val="auto"/>
        </w:rPr>
      </w:pPr>
      <w:r>
        <w:rPr>
          <w:rFonts w:ascii="Times New Roman" w:cs="Times New Roman" w:eastAsia="Times New Roman" w:hAnsi="Times New Roman"/>
          <w:sz w:val="12"/>
          <w:szCs w:val="12"/>
          <w:color w:val="auto"/>
        </w:rPr>
        <w:t>27,000</w:t>
      </w:r>
    </w:p>
    <w:p>
      <w:pPr>
        <w:spacing w:after="0" w:line="132"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11"/>
          <w:szCs w:val="11"/>
          <w:color w:val="auto"/>
        </w:rPr>
        <w:t>384,917</w:t>
      </w:r>
    </w:p>
    <w:p>
      <w:pPr>
        <w:spacing w:after="0" w:line="144"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2"/>
          <w:szCs w:val="12"/>
          <w:color w:val="auto"/>
        </w:rPr>
        <w:t>9,368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200660</wp:posOffset>
            </wp:positionH>
            <wp:positionV relativeFrom="paragraph">
              <wp:posOffset>71755</wp:posOffset>
            </wp:positionV>
            <wp:extent cx="471805"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471805" cy="8890"/>
                    </a:xfrm>
                    <a:prstGeom prst="rect">
                      <a:avLst/>
                    </a:prstGeom>
                    <a:noFill/>
                  </pic:spPr>
                </pic:pic>
              </a:graphicData>
            </a:graphic>
          </wp:anchor>
        </w:drawing>
      </w:r>
    </w:p>
    <w:p>
      <w:pPr>
        <w:spacing w:after="0" w:line="126"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11"/>
          <w:szCs w:val="11"/>
          <w:color w:val="auto"/>
        </w:rPr>
        <w:t>570,767</w:t>
      </w:r>
    </w:p>
    <w:p>
      <w:pPr>
        <w:spacing w:after="0" w:line="130"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2"/>
          <w:szCs w:val="12"/>
          <w:color w:val="auto"/>
        </w:rPr>
        <w:t>3,234,245</w:t>
      </w:r>
    </w:p>
    <w:p>
      <w:pPr>
        <w:spacing w:after="0" w:line="132"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2"/>
          <w:szCs w:val="12"/>
          <w:color w:val="auto"/>
        </w:rPr>
        <w:t>2,091</w:t>
      </w:r>
    </w:p>
    <w:p>
      <w:pPr>
        <w:spacing w:after="0" w:line="132"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12"/>
          <w:szCs w:val="12"/>
          <w:color w:val="auto"/>
        </w:rPr>
        <w:t>81,635</w:t>
      </w:r>
    </w:p>
    <w:p>
      <w:pPr>
        <w:spacing w:after="0" w:line="132" w:lineRule="exact"/>
        <w:rPr>
          <w:sz w:val="20"/>
          <w:szCs w:val="20"/>
          <w:color w:val="auto"/>
        </w:rPr>
      </w:pPr>
    </w:p>
    <w:p>
      <w:pPr>
        <w:ind w:left="580" w:hanging="421"/>
        <w:spacing w:after="0"/>
        <w:tabs>
          <w:tab w:leader="none" w:pos="580" w:val="left"/>
        </w:tabs>
        <w:numPr>
          <w:ilvl w:val="0"/>
          <w:numId w:val="9"/>
        </w:numPr>
        <w:rPr>
          <w:rFonts w:ascii="Times New Roman" w:cs="Times New Roman" w:eastAsia="Times New Roman" w:hAnsi="Times New Roman"/>
          <w:sz w:val="11"/>
          <w:szCs w:val="11"/>
          <w:color w:val="auto"/>
        </w:rPr>
      </w:pPr>
      <w:r>
        <w:rPr>
          <w:rFonts w:ascii="Times New Roman" w:cs="Times New Roman" w:eastAsia="Times New Roman" w:hAnsi="Times New Roman"/>
          <w:sz w:val="11"/>
          <w:szCs w:val="11"/>
          <w:color w:val="auto"/>
        </w:rPr>
        <w:t>200,416</w:t>
      </w:r>
    </w:p>
    <w:p>
      <w:pPr>
        <w:spacing w:after="0" w:line="143" w:lineRule="exact"/>
        <w:rPr>
          <w:rFonts w:ascii="Times New Roman" w:cs="Times New Roman" w:eastAsia="Times New Roman" w:hAnsi="Times New Roman"/>
          <w:sz w:val="11"/>
          <w:szCs w:val="11"/>
          <w:color w:val="auto"/>
        </w:rPr>
      </w:pPr>
    </w:p>
    <w:p>
      <w:pPr>
        <w:ind w:left="620"/>
        <w:spacing w:after="0"/>
        <w:rPr>
          <w:rFonts w:ascii="Times New Roman" w:cs="Times New Roman" w:eastAsia="Times New Roman" w:hAnsi="Times New Roman"/>
          <w:sz w:val="11"/>
          <w:szCs w:val="11"/>
          <w:color w:val="auto"/>
        </w:rPr>
      </w:pPr>
      <w:r>
        <w:rPr>
          <w:rFonts w:ascii="Times New Roman" w:cs="Times New Roman" w:eastAsia="Times New Roman" w:hAnsi="Times New Roman"/>
          <w:sz w:val="12"/>
          <w:szCs w:val="12"/>
          <w:color w:val="auto"/>
        </w:rPr>
        <w:t>15,552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200660</wp:posOffset>
            </wp:positionH>
            <wp:positionV relativeFrom="paragraph">
              <wp:posOffset>71755</wp:posOffset>
            </wp:positionV>
            <wp:extent cx="47180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471805" cy="8890"/>
                    </a:xfrm>
                    <a:prstGeom prst="rect">
                      <a:avLst/>
                    </a:prstGeom>
                    <a:noFill/>
                  </pic:spPr>
                </pic:pic>
              </a:graphicData>
            </a:graphic>
          </wp:anchor>
        </w:drawing>
      </w:r>
    </w:p>
    <w:p>
      <w:pPr>
        <w:spacing w:after="0" w:line="180"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2"/>
          <w:szCs w:val="12"/>
          <w:color w:val="auto"/>
        </w:rPr>
        <w:t>4,104,706</w:t>
      </w:r>
    </w:p>
    <w:p>
      <w:pPr>
        <w:spacing w:after="0" w:line="200" w:lineRule="exact"/>
        <w:rPr>
          <w:sz w:val="20"/>
          <w:szCs w:val="20"/>
          <w:color w:val="auto"/>
        </w:rPr>
      </w:pPr>
    </w:p>
    <w:p>
      <w:pPr>
        <w:spacing w:after="0" w:line="216"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12"/>
          <w:szCs w:val="12"/>
          <w:color w:val="auto"/>
        </w:rPr>
        <w:t>—</w:t>
      </w:r>
    </w:p>
    <w:p>
      <w:pPr>
        <w:spacing w:after="0" w:line="132"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12"/>
          <w:szCs w:val="12"/>
          <w:color w:val="auto"/>
        </w:rPr>
        <w:t>—</w:t>
      </w:r>
    </w:p>
    <w:p>
      <w:pPr>
        <w:spacing w:after="0" w:line="132"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12"/>
          <w:szCs w:val="12"/>
          <w:color w:val="auto"/>
        </w:rPr>
        <w:t>—</w:t>
      </w:r>
    </w:p>
    <w:p>
      <w:pPr>
        <w:spacing w:after="0" w:line="65" w:lineRule="exact"/>
        <w:rPr>
          <w:sz w:val="20"/>
          <w:szCs w:val="20"/>
          <w:color w:val="auto"/>
        </w:rPr>
      </w:pPr>
    </w:p>
    <w:p>
      <w:pPr>
        <w:ind w:left="680" w:hanging="527"/>
        <w:spacing w:after="0"/>
        <w:tabs>
          <w:tab w:leader="none" w:pos="680" w:val="left"/>
        </w:tabs>
        <w:numPr>
          <w:ilvl w:val="0"/>
          <w:numId w:val="10"/>
        </w:numPr>
        <w:rPr>
          <w:rFonts w:ascii="Times New Roman" w:cs="Times New Roman" w:eastAsia="Times New Roman" w:hAnsi="Times New Roman"/>
          <w:sz w:val="12"/>
          <w:szCs w:val="12"/>
          <w:color w:val="auto"/>
        </w:rPr>
      </w:pPr>
      <w:r>
        <w:rPr>
          <w:rFonts w:ascii="Times New Roman" w:cs="Times New Roman" w:eastAsia="Times New Roman" w:hAnsi="Times New Roman"/>
          <w:sz w:val="12"/>
          <w:szCs w:val="12"/>
          <w:color w:val="auto"/>
        </w:rPr>
        <w:t>1,147</w:t>
      </w:r>
    </w:p>
    <w:p>
      <w:pPr>
        <w:spacing w:after="0" w:line="132" w:lineRule="exact"/>
        <w:rPr>
          <w:sz w:val="20"/>
          <w:szCs w:val="20"/>
          <w:color w:val="auto"/>
        </w:rPr>
      </w:pPr>
    </w:p>
    <w:p>
      <w:pPr>
        <w:ind w:left="780" w:hanging="627"/>
        <w:spacing w:after="0"/>
        <w:tabs>
          <w:tab w:leader="none" w:pos="780" w:val="left"/>
        </w:tabs>
        <w:numPr>
          <w:ilvl w:val="0"/>
          <w:numId w:val="11"/>
        </w:numPr>
        <w:rPr>
          <w:rFonts w:ascii="Times New Roman" w:cs="Times New Roman" w:eastAsia="Times New Roman" w:hAnsi="Times New Roman"/>
          <w:sz w:val="12"/>
          <w:szCs w:val="12"/>
          <w:color w:val="auto"/>
        </w:rPr>
      </w:pPr>
      <w:r>
        <w:rPr>
          <w:rFonts w:ascii="Times New Roman" w:cs="Times New Roman" w:eastAsia="Times New Roman" w:hAnsi="Times New Roman"/>
          <w:sz w:val="12"/>
          <w:szCs w:val="12"/>
          <w:color w:val="auto"/>
        </w:rPr>
        <w:t>123</w:t>
      </w:r>
    </w:p>
    <w:p>
      <w:pPr>
        <w:spacing w:after="0" w:line="132" w:lineRule="exact"/>
        <w:rPr>
          <w:sz w:val="20"/>
          <w:szCs w:val="20"/>
          <w:color w:val="auto"/>
        </w:rPr>
      </w:pPr>
    </w:p>
    <w:p>
      <w:pPr>
        <w:ind w:left="680" w:hanging="527"/>
        <w:spacing w:after="0"/>
        <w:tabs>
          <w:tab w:leader="none" w:pos="680" w:val="left"/>
        </w:tabs>
        <w:numPr>
          <w:ilvl w:val="0"/>
          <w:numId w:val="12"/>
        </w:numPr>
        <w:rPr>
          <w:rFonts w:ascii="Times New Roman" w:cs="Times New Roman" w:eastAsia="Times New Roman" w:hAnsi="Times New Roman"/>
          <w:sz w:val="12"/>
          <w:szCs w:val="12"/>
          <w:color w:val="auto"/>
        </w:rPr>
      </w:pPr>
      <w:r>
        <w:rPr>
          <w:rFonts w:ascii="Times New Roman" w:cs="Times New Roman" w:eastAsia="Times New Roman" w:hAnsi="Times New Roman"/>
          <w:sz w:val="12"/>
          <w:szCs w:val="12"/>
          <w:color w:val="auto"/>
        </w:rPr>
        <w:t>1,662</w:t>
      </w:r>
    </w:p>
    <w:p>
      <w:pPr>
        <w:spacing w:after="0" w:line="200"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12"/>
          <w:szCs w:val="12"/>
          <w:color w:val="auto"/>
        </w:rPr>
        <w:t>—</w:t>
      </w:r>
    </w:p>
    <w:p>
      <w:pPr>
        <w:spacing w:after="0" w:line="203" w:lineRule="auto"/>
        <w:tabs>
          <w:tab w:leader="none" w:pos="560" w:val="left"/>
        </w:tabs>
        <w:rPr>
          <w:sz w:val="20"/>
          <w:szCs w:val="20"/>
          <w:color w:val="auto"/>
        </w:rPr>
      </w:pPr>
      <w:r>
        <w:rPr>
          <w:rFonts w:ascii="Times New Roman" w:cs="Times New Roman" w:eastAsia="Times New Roman" w:hAnsi="Times New Roman"/>
          <w:sz w:val="22"/>
          <w:szCs w:val="22"/>
          <w:color w:val="auto"/>
          <w:vertAlign w:val="superscript"/>
        </w:rPr>
        <w:t>(a,c,d)</w:t>
      </w:r>
      <w:r>
        <w:rPr>
          <w:sz w:val="20"/>
          <w:szCs w:val="20"/>
          <w:color w:val="auto"/>
        </w:rPr>
        <w:tab/>
      </w:r>
      <w:r>
        <w:rPr>
          <w:rFonts w:ascii="Times New Roman" w:cs="Times New Roman" w:eastAsia="Times New Roman" w:hAnsi="Times New Roman"/>
          <w:sz w:val="11"/>
          <w:szCs w:val="11"/>
          <w:color w:val="auto"/>
        </w:rPr>
        <w:t>949,273</w:t>
      </w:r>
    </w:p>
    <w:p>
      <w:pPr>
        <w:spacing w:after="0" w:line="202"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1"/>
          <w:szCs w:val="11"/>
          <w:color w:val="auto"/>
        </w:rPr>
        <w:t>(24,189)</w:t>
      </w:r>
    </w:p>
    <w:p>
      <w:pPr>
        <w:spacing w:after="0" w:line="144"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1"/>
          <w:szCs w:val="11"/>
          <w:color w:val="auto"/>
        </w:rPr>
        <w:t>(411,803)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200660</wp:posOffset>
            </wp:positionH>
            <wp:positionV relativeFrom="paragraph">
              <wp:posOffset>27940</wp:posOffset>
            </wp:positionV>
            <wp:extent cx="47180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471805" cy="8890"/>
                    </a:xfrm>
                    <a:prstGeom prst="rect">
                      <a:avLst/>
                    </a:prstGeom>
                    <a:noFill/>
                  </pic:spPr>
                </pic:pic>
              </a:graphicData>
            </a:graphic>
          </wp:anchor>
        </w:drawing>
      </w:r>
    </w:p>
    <w:p>
      <w:pPr>
        <w:spacing w:after="0" w:line="110"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11"/>
          <w:szCs w:val="11"/>
          <w:color w:val="auto"/>
        </w:rPr>
        <w:t>516,213</w:t>
      </w:r>
    </w:p>
    <w:p>
      <w:pPr>
        <w:spacing w:after="0" w:line="31"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12"/>
          <w:szCs w:val="12"/>
          <w:color w:val="auto"/>
        </w:rPr>
        <w:t>(c)</w:t>
      </w:r>
    </w:p>
    <w:p>
      <w:pPr>
        <w:ind w:left="580"/>
        <w:spacing w:after="0"/>
        <w:rPr>
          <w:sz w:val="20"/>
          <w:szCs w:val="20"/>
          <w:color w:val="auto"/>
        </w:rPr>
      </w:pPr>
      <w:r>
        <w:rPr>
          <w:rFonts w:ascii="Times New Roman" w:cs="Times New Roman" w:eastAsia="Times New Roman" w:hAnsi="Times New Roman"/>
          <w:sz w:val="11"/>
          <w:szCs w:val="11"/>
          <w:color w:val="auto"/>
        </w:rPr>
        <w:t>369,728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200660</wp:posOffset>
            </wp:positionH>
            <wp:positionV relativeFrom="paragraph">
              <wp:posOffset>20320</wp:posOffset>
            </wp:positionV>
            <wp:extent cx="471805"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471805" cy="8890"/>
                    </a:xfrm>
                    <a:prstGeom prst="rect">
                      <a:avLst/>
                    </a:prstGeom>
                    <a:noFill/>
                  </pic:spPr>
                </pic:pic>
              </a:graphicData>
            </a:graphic>
          </wp:anchor>
        </w:drawing>
      </w:r>
    </w:p>
    <w:p>
      <w:pPr>
        <w:spacing w:after="0" w:line="117" w:lineRule="exact"/>
        <w:rPr>
          <w:sz w:val="20"/>
          <w:szCs w:val="20"/>
          <w:color w:val="auto"/>
        </w:rPr>
      </w:pPr>
    </w:p>
    <w:p>
      <w:pPr>
        <w:sectPr>
          <w:pgSz w:w="11900" w:h="16838" w:orient="portrait"/>
          <w:cols w:equalWidth="0" w:num="2">
            <w:col w:w="10080" w:space="40"/>
            <w:col w:w="1060"/>
          </w:cols>
          <w:pgMar w:left="360" w:top="581" w:right="359" w:bottom="1440" w:gutter="0" w:footer="0" w:header="0"/>
          <w:type w:val="continuous"/>
        </w:sectPr>
      </w:pPr>
    </w:p>
    <w:tbl>
      <w:tblPr>
        <w:tblLayout w:type="fixed"/>
        <w:tblInd w:w="0" w:type="dxa"/>
        <w:tblCellMar>
          <w:top w:w="0" w:type="dxa"/>
          <w:left w:w="0" w:type="dxa"/>
          <w:bottom w:w="0" w:type="dxa"/>
          <w:right w:w="0" w:type="dxa"/>
        </w:tblCellMar>
      </w:tblPr>
      <w:tr>
        <w:trPr>
          <w:trHeight w:val="164"/>
        </w:trPr>
        <w:tc>
          <w:tcPr>
            <w:tcW w:w="3140" w:type="dxa"/>
            <w:vAlign w:val="bottom"/>
          </w:tcPr>
          <w:p>
            <w:pPr>
              <w:ind w:left="40"/>
              <w:spacing w:after="0"/>
              <w:rPr>
                <w:sz w:val="20"/>
                <w:szCs w:val="20"/>
                <w:color w:val="auto"/>
              </w:rPr>
            </w:pPr>
            <w:r>
              <w:rPr>
                <w:rFonts w:ascii="Times New Roman" w:cs="Times New Roman" w:eastAsia="Times New Roman" w:hAnsi="Times New Roman"/>
                <w:sz w:val="12"/>
                <w:szCs w:val="12"/>
                <w:color w:val="auto"/>
              </w:rPr>
              <w:t>Total shareholders’ (deficit) equity</w:t>
            </w:r>
          </w:p>
        </w:tc>
        <w:tc>
          <w:tcPr>
            <w:tcW w:w="200" w:type="dxa"/>
            <w:vAlign w:val="bottom"/>
          </w:tcPr>
          <w:p>
            <w:pPr>
              <w:spacing w:after="0"/>
              <w:rPr>
                <w:sz w:val="14"/>
                <w:szCs w:val="14"/>
                <w:color w:val="auto"/>
              </w:rPr>
            </w:pPr>
          </w:p>
        </w:tc>
        <w:tc>
          <w:tcPr>
            <w:tcW w:w="660" w:type="dxa"/>
            <w:vAlign w:val="bottom"/>
          </w:tcPr>
          <w:p>
            <w:pPr>
              <w:jc w:val="right"/>
              <w:ind w:right="22"/>
              <w:spacing w:after="0"/>
              <w:rPr>
                <w:sz w:val="20"/>
                <w:szCs w:val="20"/>
                <w:color w:val="auto"/>
              </w:rPr>
            </w:pPr>
            <w:r>
              <w:rPr>
                <w:rFonts w:ascii="Times New Roman" w:cs="Times New Roman" w:eastAsia="Times New Roman" w:hAnsi="Times New Roman"/>
                <w:sz w:val="12"/>
                <w:szCs w:val="12"/>
                <w:color w:val="auto"/>
              </w:rPr>
              <w:t>(368,819)</w:t>
            </w:r>
          </w:p>
        </w:tc>
        <w:tc>
          <w:tcPr>
            <w:tcW w:w="220" w:type="dxa"/>
            <w:vAlign w:val="bottom"/>
          </w:tcPr>
          <w:p>
            <w:pPr>
              <w:spacing w:after="0"/>
              <w:rPr>
                <w:sz w:val="14"/>
                <w:szCs w:val="14"/>
                <w:color w:val="auto"/>
              </w:rPr>
            </w:pPr>
          </w:p>
        </w:tc>
        <w:tc>
          <w:tcPr>
            <w:tcW w:w="660" w:type="dxa"/>
            <w:vAlign w:val="bottom"/>
          </w:tcPr>
          <w:p>
            <w:pPr>
              <w:jc w:val="right"/>
              <w:ind w:right="22"/>
              <w:spacing w:after="0"/>
              <w:rPr>
                <w:sz w:val="20"/>
                <w:szCs w:val="20"/>
                <w:color w:val="auto"/>
              </w:rPr>
            </w:pPr>
            <w:r>
              <w:rPr>
                <w:rFonts w:ascii="Times New Roman" w:cs="Times New Roman" w:eastAsia="Times New Roman" w:hAnsi="Times New Roman"/>
                <w:sz w:val="12"/>
                <w:szCs w:val="12"/>
                <w:color w:val="auto"/>
              </w:rPr>
              <w:t>59,603</w:t>
            </w:r>
          </w:p>
        </w:tc>
        <w:tc>
          <w:tcPr>
            <w:tcW w:w="280" w:type="dxa"/>
            <w:vAlign w:val="bottom"/>
          </w:tcPr>
          <w:p>
            <w:pPr>
              <w:spacing w:after="0"/>
              <w:rPr>
                <w:sz w:val="14"/>
                <w:szCs w:val="14"/>
                <w:color w:val="auto"/>
              </w:rPr>
            </w:pPr>
          </w:p>
        </w:tc>
        <w:tc>
          <w:tcPr>
            <w:tcW w:w="740" w:type="dxa"/>
            <w:vAlign w:val="bottom"/>
          </w:tcPr>
          <w:p>
            <w:pPr>
              <w:jc w:val="right"/>
              <w:ind w:right="62"/>
              <w:spacing w:after="0"/>
              <w:rPr>
                <w:sz w:val="20"/>
                <w:szCs w:val="20"/>
                <w:color w:val="auto"/>
              </w:rPr>
            </w:pPr>
            <w:r>
              <w:rPr>
                <w:rFonts w:ascii="Times New Roman" w:cs="Times New Roman" w:eastAsia="Times New Roman" w:hAnsi="Times New Roman"/>
                <w:sz w:val="12"/>
                <w:szCs w:val="12"/>
                <w:color w:val="auto"/>
              </w:rPr>
              <w:t>1,269,031</w:t>
            </w: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4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rPr>
              <w:t>(87,033)</w:t>
            </w:r>
          </w:p>
        </w:tc>
        <w:tc>
          <w:tcPr>
            <w:tcW w:w="3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gridSpan w:val="2"/>
          </w:tcPr>
          <w:p>
            <w:pPr>
              <w:ind w:left="340"/>
              <w:spacing w:after="0"/>
              <w:rPr>
                <w:sz w:val="20"/>
                <w:szCs w:val="20"/>
                <w:color w:val="auto"/>
              </w:rPr>
            </w:pPr>
            <w:r>
              <w:rPr>
                <w:rFonts w:ascii="Times New Roman" w:cs="Times New Roman" w:eastAsia="Times New Roman" w:hAnsi="Times New Roman"/>
                <w:sz w:val="12"/>
                <w:szCs w:val="12"/>
                <w:color w:val="auto"/>
              </w:rPr>
              <w:t>—</w:t>
            </w:r>
          </w:p>
        </w:tc>
        <w:tc>
          <w:tcPr>
            <w:tcW w:w="580" w:type="dxa"/>
            <w:vAlign w:val="bottom"/>
          </w:tcPr>
          <w:p>
            <w:pPr>
              <w:spacing w:after="0"/>
              <w:rPr>
                <w:sz w:val="14"/>
                <w:szCs w:val="14"/>
                <w:color w:val="auto"/>
              </w:rPr>
            </w:pPr>
          </w:p>
        </w:tc>
        <w:tc>
          <w:tcPr>
            <w:tcW w:w="980" w:type="dxa"/>
            <w:vAlign w:val="bottom"/>
          </w:tcPr>
          <w:p>
            <w:pPr>
              <w:jc w:val="right"/>
              <w:ind w:right="62"/>
              <w:spacing w:after="0"/>
              <w:rPr>
                <w:sz w:val="20"/>
                <w:szCs w:val="20"/>
                <w:color w:val="auto"/>
              </w:rPr>
            </w:pPr>
            <w:r>
              <w:rPr>
                <w:rFonts w:ascii="Times New Roman" w:cs="Times New Roman" w:eastAsia="Times New Roman" w:hAnsi="Times New Roman"/>
                <w:sz w:val="12"/>
                <w:szCs w:val="12"/>
                <w:color w:val="auto"/>
              </w:rPr>
              <w:t>13,159</w:t>
            </w:r>
          </w:p>
        </w:tc>
        <w:tc>
          <w:tcPr>
            <w:tcW w:w="360" w:type="dxa"/>
            <w:vAlign w:val="bottom"/>
          </w:tcPr>
          <w:p>
            <w:pPr>
              <w:spacing w:after="0"/>
              <w:rPr>
                <w:sz w:val="14"/>
                <w:szCs w:val="14"/>
                <w:color w:val="auto"/>
              </w:rPr>
            </w:pPr>
          </w:p>
        </w:tc>
        <w:tc>
          <w:tcPr>
            <w:tcW w:w="740" w:type="dxa"/>
            <w:vAlign w:val="bottom"/>
          </w:tcPr>
          <w:p>
            <w:pPr>
              <w:jc w:val="right"/>
              <w:ind w:right="42"/>
              <w:spacing w:after="0"/>
              <w:rPr>
                <w:sz w:val="20"/>
                <w:szCs w:val="20"/>
                <w:color w:val="auto"/>
              </w:rPr>
            </w:pPr>
            <w:r>
              <w:rPr>
                <w:rFonts w:ascii="Times New Roman" w:cs="Times New Roman" w:eastAsia="Times New Roman" w:hAnsi="Times New Roman"/>
                <w:sz w:val="12"/>
                <w:szCs w:val="12"/>
                <w:color w:val="auto"/>
              </w:rPr>
              <w:t>885,941</w:t>
            </w:r>
          </w:p>
        </w:tc>
      </w:tr>
      <w:tr>
        <w:trPr>
          <w:trHeight w:val="20"/>
        </w:trPr>
        <w:tc>
          <w:tcPr>
            <w:tcW w:w="314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CCEEFF"/>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r>
        <w:trPr>
          <w:trHeight w:val="233"/>
        </w:trPr>
        <w:tc>
          <w:tcPr>
            <w:tcW w:w="314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2"/>
                <w:szCs w:val="12"/>
                <w:color w:val="auto"/>
              </w:rPr>
              <w:t>Total liabilities and shareholders’ (deficit) equity</w:t>
            </w:r>
          </w:p>
        </w:tc>
        <w:tc>
          <w:tcPr>
            <w:tcW w:w="200" w:type="dxa"/>
            <w:vAlign w:val="bottom"/>
            <w:shd w:val="clear" w:color="auto" w:fill="CCEEFF"/>
          </w:tcPr>
          <w:p>
            <w:pPr>
              <w:jc w:val="right"/>
              <w:ind w:right="62"/>
              <w:spacing w:after="0"/>
              <w:rPr>
                <w:sz w:val="20"/>
                <w:szCs w:val="20"/>
                <w:color w:val="auto"/>
              </w:rPr>
            </w:pPr>
            <w:r>
              <w:rPr>
                <w:rFonts w:ascii="Times New Roman" w:cs="Times New Roman" w:eastAsia="Times New Roman" w:hAnsi="Times New Roman"/>
                <w:sz w:val="12"/>
                <w:szCs w:val="12"/>
                <w:color w:val="auto"/>
                <w:w w:val="99"/>
              </w:rPr>
              <w:t>$</w:t>
            </w:r>
          </w:p>
        </w:tc>
        <w:tc>
          <w:tcPr>
            <w:tcW w:w="660" w:type="dxa"/>
            <w:vAlign w:val="bottom"/>
            <w:shd w:val="clear" w:color="auto" w:fill="CCEEFF"/>
          </w:tcPr>
          <w:p>
            <w:pPr>
              <w:jc w:val="right"/>
              <w:ind w:right="22"/>
              <w:spacing w:after="0"/>
              <w:rPr>
                <w:sz w:val="20"/>
                <w:szCs w:val="20"/>
                <w:color w:val="auto"/>
              </w:rPr>
            </w:pPr>
            <w:r>
              <w:rPr>
                <w:rFonts w:ascii="Times New Roman" w:cs="Times New Roman" w:eastAsia="Times New Roman" w:hAnsi="Times New Roman"/>
                <w:sz w:val="12"/>
                <w:szCs w:val="12"/>
                <w:color w:val="auto"/>
              </w:rPr>
              <w:t>1,358,788</w:t>
            </w:r>
          </w:p>
        </w:tc>
        <w:tc>
          <w:tcPr>
            <w:tcW w:w="220" w:type="dxa"/>
            <w:vAlign w:val="bottom"/>
            <w:shd w:val="clear" w:color="auto" w:fill="CCEEFF"/>
          </w:tcPr>
          <w:p>
            <w:pPr>
              <w:jc w:val="right"/>
              <w:ind w:right="42"/>
              <w:spacing w:after="0"/>
              <w:rPr>
                <w:sz w:val="20"/>
                <w:szCs w:val="20"/>
                <w:color w:val="auto"/>
              </w:rPr>
            </w:pPr>
            <w:r>
              <w:rPr>
                <w:rFonts w:ascii="Times New Roman" w:cs="Times New Roman" w:eastAsia="Times New Roman" w:hAnsi="Times New Roman"/>
                <w:sz w:val="12"/>
                <w:szCs w:val="12"/>
                <w:color w:val="auto"/>
              </w:rPr>
              <w:t>$</w:t>
            </w:r>
          </w:p>
        </w:tc>
        <w:tc>
          <w:tcPr>
            <w:tcW w:w="660" w:type="dxa"/>
            <w:vAlign w:val="bottom"/>
            <w:shd w:val="clear" w:color="auto" w:fill="CCEEFF"/>
          </w:tcPr>
          <w:p>
            <w:pPr>
              <w:jc w:val="right"/>
              <w:ind w:right="22"/>
              <w:spacing w:after="0"/>
              <w:rPr>
                <w:sz w:val="20"/>
                <w:szCs w:val="20"/>
                <w:color w:val="auto"/>
              </w:rPr>
            </w:pPr>
            <w:r>
              <w:rPr>
                <w:rFonts w:ascii="Times New Roman" w:cs="Times New Roman" w:eastAsia="Times New Roman" w:hAnsi="Times New Roman"/>
                <w:sz w:val="12"/>
                <w:szCs w:val="12"/>
                <w:color w:val="auto"/>
              </w:rPr>
              <w:t>1,207,733</w:t>
            </w:r>
          </w:p>
        </w:tc>
        <w:tc>
          <w:tcPr>
            <w:tcW w:w="280" w:type="dxa"/>
            <w:vAlign w:val="bottom"/>
            <w:shd w:val="clear" w:color="auto" w:fill="CCEEFF"/>
          </w:tcPr>
          <w:p>
            <w:pPr>
              <w:jc w:val="right"/>
              <w:ind w:right="102"/>
              <w:spacing w:after="0"/>
              <w:rPr>
                <w:sz w:val="20"/>
                <w:szCs w:val="20"/>
                <w:color w:val="auto"/>
              </w:rPr>
            </w:pPr>
            <w:r>
              <w:rPr>
                <w:rFonts w:ascii="Times New Roman" w:cs="Times New Roman" w:eastAsia="Times New Roman" w:hAnsi="Times New Roman"/>
                <w:sz w:val="12"/>
                <w:szCs w:val="12"/>
                <w:color w:val="auto"/>
              </w:rPr>
              <w:t>$</w:t>
            </w:r>
          </w:p>
        </w:tc>
        <w:tc>
          <w:tcPr>
            <w:tcW w:w="740" w:type="dxa"/>
            <w:vAlign w:val="bottom"/>
            <w:shd w:val="clear" w:color="auto" w:fill="CCEEFF"/>
          </w:tcPr>
          <w:p>
            <w:pPr>
              <w:jc w:val="right"/>
              <w:ind w:right="62"/>
              <w:spacing w:after="0"/>
              <w:rPr>
                <w:sz w:val="20"/>
                <w:szCs w:val="20"/>
                <w:color w:val="auto"/>
              </w:rPr>
            </w:pPr>
            <w:r>
              <w:rPr>
                <w:rFonts w:ascii="Times New Roman" w:cs="Times New Roman" w:eastAsia="Times New Roman" w:hAnsi="Times New Roman"/>
                <w:sz w:val="12"/>
                <w:szCs w:val="12"/>
                <w:color w:val="auto"/>
              </w:rPr>
              <w:t>1,079,203</w:t>
            </w:r>
          </w:p>
        </w:tc>
        <w:tc>
          <w:tcPr>
            <w:tcW w:w="220" w:type="dxa"/>
            <w:vAlign w:val="bottom"/>
            <w:shd w:val="clear" w:color="auto" w:fill="CCEEFF"/>
          </w:tcPr>
          <w:p>
            <w:pPr>
              <w:spacing w:after="0"/>
              <w:rPr>
                <w:sz w:val="20"/>
                <w:szCs w:val="20"/>
                <w:color w:val="auto"/>
              </w:rPr>
            </w:pPr>
          </w:p>
        </w:tc>
        <w:tc>
          <w:tcPr>
            <w:tcW w:w="240" w:type="dxa"/>
            <w:vAlign w:val="bottom"/>
            <w:shd w:val="clear" w:color="auto" w:fill="CCEEFF"/>
          </w:tcPr>
          <w:p>
            <w:pPr>
              <w:jc w:val="right"/>
              <w:ind w:right="102"/>
              <w:spacing w:after="0"/>
              <w:rPr>
                <w:sz w:val="20"/>
                <w:szCs w:val="20"/>
                <w:color w:val="auto"/>
              </w:rPr>
            </w:pPr>
            <w:r>
              <w:rPr>
                <w:rFonts w:ascii="Times New Roman" w:cs="Times New Roman" w:eastAsia="Times New Roman" w:hAnsi="Times New Roman"/>
                <w:sz w:val="12"/>
                <w:szCs w:val="12"/>
                <w:color w:val="auto"/>
                <w:w w:val="99"/>
              </w:rPr>
              <w:t>$</w:t>
            </w:r>
          </w:p>
        </w:tc>
        <w:tc>
          <w:tcPr>
            <w:tcW w:w="740" w:type="dxa"/>
            <w:vAlign w:val="bottom"/>
            <w:shd w:val="clear" w:color="auto" w:fill="CCEEFF"/>
          </w:tcPr>
          <w:p>
            <w:pPr>
              <w:jc w:val="right"/>
              <w:ind w:right="42"/>
              <w:spacing w:after="0"/>
              <w:rPr>
                <w:sz w:val="20"/>
                <w:szCs w:val="20"/>
                <w:color w:val="auto"/>
              </w:rPr>
            </w:pPr>
            <w:r>
              <w:rPr>
                <w:rFonts w:ascii="Times New Roman" w:cs="Times New Roman" w:eastAsia="Times New Roman" w:hAnsi="Times New Roman"/>
                <w:sz w:val="12"/>
                <w:szCs w:val="12"/>
                <w:color w:val="auto"/>
              </w:rPr>
              <w:t>1,131,348</w:t>
            </w:r>
          </w:p>
        </w:tc>
        <w:tc>
          <w:tcPr>
            <w:tcW w:w="320" w:type="dxa"/>
            <w:vAlign w:val="bottom"/>
            <w:shd w:val="clear" w:color="auto" w:fill="CCEEFF"/>
          </w:tcPr>
          <w:p>
            <w:pPr>
              <w:spacing w:after="0"/>
              <w:rPr>
                <w:sz w:val="20"/>
                <w:szCs w:val="20"/>
                <w:color w:val="auto"/>
              </w:rPr>
            </w:pPr>
          </w:p>
        </w:tc>
        <w:tc>
          <w:tcPr>
            <w:tcW w:w="420" w:type="dxa"/>
            <w:vAlign w:val="bottom"/>
            <w:shd w:val="clear" w:color="auto" w:fill="CCEEFF"/>
          </w:tcPr>
          <w:p>
            <w:pPr>
              <w:jc w:val="right"/>
              <w:ind w:right="282"/>
              <w:spacing w:after="0"/>
              <w:rPr>
                <w:sz w:val="20"/>
                <w:szCs w:val="20"/>
                <w:color w:val="auto"/>
              </w:rPr>
            </w:pPr>
            <w:r>
              <w:rPr>
                <w:rFonts w:ascii="Times New Roman" w:cs="Times New Roman" w:eastAsia="Times New Roman" w:hAnsi="Times New Roman"/>
                <w:sz w:val="12"/>
                <w:szCs w:val="12"/>
                <w:color w:val="auto"/>
                <w:w w:val="99"/>
              </w:rPr>
              <w:t>$</w:t>
            </w:r>
          </w:p>
        </w:tc>
        <w:tc>
          <w:tcPr>
            <w:tcW w:w="680" w:type="dxa"/>
            <w:vAlign w:val="bottom"/>
            <w:gridSpan w:val="2"/>
            <w:shd w:val="clear" w:color="auto" w:fill="CCEEFF"/>
          </w:tcPr>
          <w:p>
            <w:pPr>
              <w:ind w:left="340"/>
              <w:spacing w:after="0"/>
              <w:rPr>
                <w:sz w:val="20"/>
                <w:szCs w:val="20"/>
                <w:color w:val="auto"/>
              </w:rPr>
            </w:pPr>
            <w:r>
              <w:rPr>
                <w:rFonts w:ascii="Times New Roman" w:cs="Times New Roman" w:eastAsia="Times New Roman" w:hAnsi="Times New Roman"/>
                <w:sz w:val="12"/>
                <w:szCs w:val="12"/>
                <w:color w:val="auto"/>
              </w:rPr>
              <w:t>—</w:t>
            </w:r>
          </w:p>
        </w:tc>
        <w:tc>
          <w:tcPr>
            <w:tcW w:w="580" w:type="dxa"/>
            <w:vAlign w:val="bottom"/>
            <w:shd w:val="clear" w:color="auto" w:fill="CCEEFF"/>
          </w:tcPr>
          <w:p>
            <w:pPr>
              <w:jc w:val="right"/>
              <w:ind w:right="442"/>
              <w:spacing w:after="0"/>
              <w:rPr>
                <w:sz w:val="20"/>
                <w:szCs w:val="20"/>
                <w:color w:val="auto"/>
              </w:rPr>
            </w:pPr>
            <w:r>
              <w:rPr>
                <w:rFonts w:ascii="Times New Roman" w:cs="Times New Roman" w:eastAsia="Times New Roman" w:hAnsi="Times New Roman"/>
                <w:sz w:val="12"/>
                <w:szCs w:val="12"/>
                <w:color w:val="auto"/>
                <w:w w:val="99"/>
              </w:rPr>
              <w:t>$</w:t>
            </w:r>
          </w:p>
        </w:tc>
        <w:tc>
          <w:tcPr>
            <w:tcW w:w="980" w:type="dxa"/>
            <w:vAlign w:val="bottom"/>
            <w:shd w:val="clear" w:color="auto" w:fill="CCEEFF"/>
          </w:tcPr>
          <w:p>
            <w:pPr>
              <w:jc w:val="right"/>
              <w:ind w:right="62"/>
              <w:spacing w:after="0"/>
              <w:rPr>
                <w:sz w:val="20"/>
                <w:szCs w:val="20"/>
                <w:color w:val="auto"/>
              </w:rPr>
            </w:pPr>
            <w:r>
              <w:rPr>
                <w:rFonts w:ascii="Times New Roman" w:cs="Times New Roman" w:eastAsia="Times New Roman" w:hAnsi="Times New Roman"/>
                <w:sz w:val="12"/>
                <w:szCs w:val="12"/>
                <w:color w:val="auto"/>
              </w:rPr>
              <w:t>213,575</w:t>
            </w:r>
          </w:p>
        </w:tc>
        <w:tc>
          <w:tcPr>
            <w:tcW w:w="360" w:type="dxa"/>
            <w:vAlign w:val="bottom"/>
            <w:shd w:val="clear" w:color="auto" w:fill="CCEEFF"/>
          </w:tcPr>
          <w:p>
            <w:pPr>
              <w:spacing w:after="0"/>
              <w:rPr>
                <w:sz w:val="20"/>
                <w:szCs w:val="20"/>
                <w:color w:val="auto"/>
              </w:rPr>
            </w:pPr>
          </w:p>
        </w:tc>
        <w:tc>
          <w:tcPr>
            <w:tcW w:w="740" w:type="dxa"/>
            <w:vAlign w:val="bottom"/>
            <w:shd w:val="clear" w:color="auto" w:fill="CCEEFF"/>
          </w:tcPr>
          <w:p>
            <w:pPr>
              <w:jc w:val="right"/>
              <w:ind w:right="42"/>
              <w:spacing w:after="0"/>
              <w:rPr>
                <w:sz w:val="20"/>
                <w:szCs w:val="20"/>
                <w:color w:val="auto"/>
              </w:rPr>
            </w:pPr>
            <w:r>
              <w:rPr>
                <w:rFonts w:ascii="Times New Roman" w:cs="Times New Roman" w:eastAsia="Times New Roman" w:hAnsi="Times New Roman"/>
                <w:sz w:val="12"/>
                <w:szCs w:val="12"/>
                <w:color w:val="auto"/>
              </w:rPr>
              <w:t>$  4,990,647</w:t>
            </w:r>
          </w:p>
        </w:tc>
      </w:tr>
      <w:tr>
        <w:trPr>
          <w:trHeight w:val="20"/>
        </w:trPr>
        <w:tc>
          <w:tcPr>
            <w:tcW w:w="3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180"/>
          </w:cols>
          <w:pgMar w:left="360" w:top="581" w:right="359" w:bottom="1440" w:gutter="0" w:footer="0" w:header="0"/>
          <w:type w:val="continuous"/>
        </w:sect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1180"/>
          </w:cols>
          <w:pgMar w:left="360" w:top="581" w:right="359" w:bottom="1440" w:gutter="0" w:footer="0" w:header="0"/>
          <w:type w:val="continuous"/>
        </w:sectPr>
      </w:pPr>
    </w:p>
    <w:bookmarkStart w:id="35" w:name="page36"/>
    <w:bookmarkEnd w:id="35"/>
    <w:p>
      <w:pPr>
        <w:jc w:val="center"/>
        <w:ind w:right="-99"/>
        <w:spacing w:after="0"/>
        <w:rPr>
          <w:sz w:val="20"/>
          <w:szCs w:val="20"/>
          <w:color w:val="auto"/>
        </w:rPr>
      </w:pPr>
      <w:r>
        <w:rPr>
          <w:rFonts w:ascii="Times New Roman" w:cs="Times New Roman" w:eastAsia="Times New Roman" w:hAnsi="Times New Roman"/>
          <w:sz w:val="22"/>
          <w:szCs w:val="22"/>
          <w:b w:val="1"/>
          <w:bCs w:val="1"/>
          <w:color w:val="auto"/>
        </w:rPr>
        <w:t>UNAUDITED PRO FORMA CONDENSED COMBINED STATEMENT OF OPERATIONS</w:t>
      </w:r>
    </w:p>
    <w:p>
      <w:pPr>
        <w:spacing w:after="0" w:line="27"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22"/>
          <w:szCs w:val="22"/>
          <w:b w:val="1"/>
          <w:bCs w:val="1"/>
          <w:color w:val="auto"/>
        </w:rPr>
        <w:t>FOR THE THREE MONTHS ENDED MARCH 31, 2018</w:t>
      </w:r>
    </w:p>
    <w:p>
      <w:pPr>
        <w:jc w:val="center"/>
        <w:ind w:right="-99"/>
        <w:spacing w:after="0"/>
        <w:rPr>
          <w:sz w:val="20"/>
          <w:szCs w:val="20"/>
          <w:color w:val="auto"/>
        </w:rPr>
      </w:pPr>
      <w:r>
        <w:rPr>
          <w:rFonts w:ascii="Times New Roman" w:cs="Times New Roman" w:eastAsia="Times New Roman" w:hAnsi="Times New Roman"/>
          <w:sz w:val="18"/>
          <w:szCs w:val="18"/>
          <w:i w:val="1"/>
          <w:iCs w:val="1"/>
          <w:color w:val="auto"/>
        </w:rPr>
        <w:t>(in thousands except share and per share amounts)</w:t>
      </w: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3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jc w:val="center"/>
              <w:ind w:right="59"/>
              <w:spacing w:after="0"/>
              <w:rPr>
                <w:sz w:val="20"/>
                <w:szCs w:val="20"/>
                <w:color w:val="auto"/>
              </w:rPr>
            </w:pPr>
            <w:r>
              <w:rPr>
                <w:rFonts w:ascii="Times New Roman" w:cs="Times New Roman" w:eastAsia="Times New Roman" w:hAnsi="Times New Roman"/>
                <w:sz w:val="16"/>
                <w:szCs w:val="16"/>
                <w:b w:val="1"/>
                <w:bCs w:val="1"/>
                <w:color w:val="auto"/>
                <w:w w:val="98"/>
              </w:rPr>
              <w:t>PIPE</w:t>
            </w: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rPr>
              <w:t>Investment</w:t>
            </w: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gridSpan w:val="2"/>
          </w:tcPr>
          <w:p>
            <w:pPr>
              <w:jc w:val="center"/>
              <w:ind w:right="240"/>
              <w:spacing w:after="0"/>
              <w:rPr>
                <w:sz w:val="20"/>
                <w:szCs w:val="20"/>
                <w:color w:val="auto"/>
              </w:rPr>
            </w:pPr>
            <w:r>
              <w:rPr>
                <w:rFonts w:ascii="Times New Roman" w:cs="Times New Roman" w:eastAsia="Times New Roman" w:hAnsi="Times New Roman"/>
                <w:sz w:val="16"/>
                <w:szCs w:val="16"/>
                <w:b w:val="1"/>
                <w:bCs w:val="1"/>
                <w:color w:val="auto"/>
              </w:rPr>
              <w:t>Non-</w:t>
            </w:r>
          </w:p>
        </w:tc>
        <w:tc>
          <w:tcPr>
            <w:tcW w:w="88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rPr>
              <w:t>&amp; Closing</w:t>
            </w: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0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rPr>
              <w:t>Financing</w:t>
            </w:r>
          </w:p>
        </w:tc>
        <w:tc>
          <w:tcPr>
            <w:tcW w:w="240" w:type="dxa"/>
            <w:vAlign w:val="bottom"/>
          </w:tcPr>
          <w:p>
            <w:pPr>
              <w:spacing w:after="0"/>
              <w:rPr>
                <w:sz w:val="17"/>
                <w:szCs w:val="17"/>
                <w:color w:val="auto"/>
              </w:rPr>
            </w:pPr>
          </w:p>
        </w:tc>
        <w:tc>
          <w:tcPr>
            <w:tcW w:w="1000" w:type="dxa"/>
            <w:vAlign w:val="bottom"/>
            <w:gridSpan w:val="3"/>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rPr>
              <w:t>controlling</w:t>
            </w:r>
          </w:p>
        </w:tc>
        <w:tc>
          <w:tcPr>
            <w:tcW w:w="140" w:type="dxa"/>
            <w:vAlign w:val="bottom"/>
          </w:tcPr>
          <w:p>
            <w:pPr>
              <w:spacing w:after="0"/>
              <w:rPr>
                <w:sz w:val="17"/>
                <w:szCs w:val="17"/>
                <w:color w:val="auto"/>
              </w:rPr>
            </w:pPr>
          </w:p>
        </w:tc>
        <w:tc>
          <w:tcPr>
            <w:tcW w:w="740" w:type="dxa"/>
            <w:vAlign w:val="bottom"/>
          </w:tcPr>
          <w:p>
            <w:pPr>
              <w:jc w:val="center"/>
              <w:ind w:right="59"/>
              <w:spacing w:after="0"/>
              <w:rPr>
                <w:sz w:val="20"/>
                <w:szCs w:val="20"/>
                <w:color w:val="auto"/>
              </w:rPr>
            </w:pPr>
            <w:r>
              <w:rPr>
                <w:rFonts w:ascii="Times New Roman" w:cs="Times New Roman" w:eastAsia="Times New Roman" w:hAnsi="Times New Roman"/>
                <w:sz w:val="16"/>
                <w:szCs w:val="16"/>
                <w:b w:val="1"/>
                <w:bCs w:val="1"/>
                <w:color w:val="auto"/>
                <w:w w:val="99"/>
              </w:rPr>
              <w:t>Date</w:t>
            </w: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580" w:type="dxa"/>
            <w:vAlign w:val="bottom"/>
          </w:tcPr>
          <w:p>
            <w:pPr>
              <w:spacing w:after="0"/>
              <w:rPr>
                <w:sz w:val="17"/>
                <w:szCs w:val="17"/>
                <w:color w:val="auto"/>
              </w:rPr>
            </w:pPr>
          </w:p>
        </w:tc>
        <w:tc>
          <w:tcPr>
            <w:tcW w:w="980" w:type="dxa"/>
            <w:vAlign w:val="bottom"/>
            <w:gridSpan w:val="3"/>
          </w:tcPr>
          <w:p>
            <w:pPr>
              <w:jc w:val="center"/>
              <w:ind w:right="100"/>
              <w:spacing w:after="0"/>
              <w:rPr>
                <w:sz w:val="20"/>
                <w:szCs w:val="20"/>
                <w:color w:val="auto"/>
              </w:rPr>
            </w:pPr>
            <w:r>
              <w:rPr>
                <w:rFonts w:ascii="Times New Roman" w:cs="Times New Roman" w:eastAsia="Times New Roman" w:hAnsi="Times New Roman"/>
                <w:sz w:val="16"/>
                <w:szCs w:val="16"/>
                <w:b w:val="1"/>
                <w:bCs w:val="1"/>
                <w:color w:val="auto"/>
              </w:rPr>
              <w:t>Historical</w:t>
            </w:r>
          </w:p>
        </w:tc>
        <w:tc>
          <w:tcPr>
            <w:tcW w:w="88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rPr>
              <w:t>Historical</w:t>
            </w:r>
          </w:p>
        </w:tc>
        <w:tc>
          <w:tcPr>
            <w:tcW w:w="100" w:type="dxa"/>
            <w:vAlign w:val="bottom"/>
          </w:tcPr>
          <w:p>
            <w:pPr>
              <w:spacing w:after="0"/>
              <w:rPr>
                <w:sz w:val="17"/>
                <w:szCs w:val="17"/>
                <w:color w:val="auto"/>
              </w:rPr>
            </w:pPr>
          </w:p>
        </w:tc>
        <w:tc>
          <w:tcPr>
            <w:tcW w:w="980" w:type="dxa"/>
            <w:vAlign w:val="bottom"/>
            <w:gridSpan w:val="2"/>
          </w:tcPr>
          <w:p>
            <w:pPr>
              <w:ind w:left="40"/>
              <w:spacing w:after="0"/>
              <w:rPr>
                <w:sz w:val="20"/>
                <w:szCs w:val="20"/>
                <w:color w:val="auto"/>
              </w:rPr>
            </w:pPr>
            <w:r>
              <w:rPr>
                <w:rFonts w:ascii="Times New Roman" w:cs="Times New Roman" w:eastAsia="Times New Roman" w:hAnsi="Times New Roman"/>
                <w:sz w:val="16"/>
                <w:szCs w:val="16"/>
                <w:b w:val="1"/>
                <w:bCs w:val="1"/>
                <w:color w:val="auto"/>
              </w:rPr>
              <w:t>Combination</w:t>
            </w:r>
          </w:p>
        </w:tc>
        <w:tc>
          <w:tcPr>
            <w:tcW w:w="3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jc w:val="center"/>
              <w:ind w:right="59"/>
              <w:spacing w:after="0"/>
              <w:rPr>
                <w:sz w:val="20"/>
                <w:szCs w:val="20"/>
                <w:color w:val="auto"/>
              </w:rPr>
            </w:pPr>
            <w:r>
              <w:rPr>
                <w:rFonts w:ascii="Times New Roman" w:cs="Times New Roman" w:eastAsia="Times New Roman" w:hAnsi="Times New Roman"/>
                <w:sz w:val="16"/>
                <w:szCs w:val="16"/>
                <w:b w:val="1"/>
                <w:bCs w:val="1"/>
                <w:color w:val="auto"/>
              </w:rPr>
              <w:t>&amp; other</w:t>
            </w:r>
          </w:p>
        </w:tc>
        <w:tc>
          <w:tcPr>
            <w:tcW w:w="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gridSpan w:val="2"/>
          </w:tcPr>
          <w:p>
            <w:pPr>
              <w:jc w:val="center"/>
              <w:ind w:right="260"/>
              <w:spacing w:after="0"/>
              <w:rPr>
                <w:sz w:val="20"/>
                <w:szCs w:val="20"/>
                <w:color w:val="auto"/>
              </w:rPr>
            </w:pPr>
            <w:r>
              <w:rPr>
                <w:rFonts w:ascii="Times New Roman" w:cs="Times New Roman" w:eastAsia="Times New Roman" w:hAnsi="Times New Roman"/>
                <w:sz w:val="16"/>
                <w:szCs w:val="16"/>
                <w:b w:val="1"/>
                <w:bCs w:val="1"/>
                <w:color w:val="auto"/>
              </w:rPr>
              <w:t>interest</w:t>
            </w:r>
          </w:p>
        </w:tc>
        <w:tc>
          <w:tcPr>
            <w:tcW w:w="88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rPr>
              <w:t>Redemption</w:t>
            </w: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3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gridSpan w:val="2"/>
          </w:tcPr>
          <w:p>
            <w:pPr>
              <w:jc w:val="center"/>
              <w:ind w:right="260"/>
              <w:spacing w:after="0"/>
              <w:rPr>
                <w:sz w:val="20"/>
                <w:szCs w:val="20"/>
                <w:color w:val="auto"/>
              </w:rPr>
            </w:pPr>
            <w:r>
              <w:rPr>
                <w:rFonts w:ascii="Times New Roman" w:cs="Times New Roman" w:eastAsia="Times New Roman" w:hAnsi="Times New Roman"/>
                <w:sz w:val="16"/>
                <w:szCs w:val="16"/>
                <w:b w:val="1"/>
                <w:bCs w:val="1"/>
                <w:color w:val="auto"/>
              </w:rPr>
              <w:t>Amneal</w:t>
            </w:r>
          </w:p>
        </w:tc>
        <w:tc>
          <w:tcPr>
            <w:tcW w:w="120" w:type="dxa"/>
            <w:vAlign w:val="bottom"/>
          </w:tcPr>
          <w:p>
            <w:pPr>
              <w:spacing w:after="0"/>
              <w:rPr>
                <w:sz w:val="18"/>
                <w:szCs w:val="18"/>
                <w:color w:val="auto"/>
              </w:rPr>
            </w:pPr>
          </w:p>
        </w:tc>
        <w:tc>
          <w:tcPr>
            <w:tcW w:w="760" w:type="dxa"/>
            <w:vAlign w:val="bottom"/>
          </w:tcPr>
          <w:p>
            <w:pPr>
              <w:jc w:val="center"/>
              <w:ind w:right="39"/>
              <w:spacing w:after="0"/>
              <w:rPr>
                <w:sz w:val="20"/>
                <w:szCs w:val="20"/>
                <w:color w:val="auto"/>
              </w:rPr>
            </w:pPr>
            <w:r>
              <w:rPr>
                <w:rFonts w:ascii="Times New Roman" w:cs="Times New Roman" w:eastAsia="Times New Roman" w:hAnsi="Times New Roman"/>
                <w:sz w:val="16"/>
                <w:szCs w:val="16"/>
                <w:b w:val="1"/>
                <w:bCs w:val="1"/>
                <w:color w:val="auto"/>
                <w:w w:val="98"/>
              </w:rPr>
              <w:t>Impax</w:t>
            </w:r>
          </w:p>
        </w:tc>
        <w:tc>
          <w:tcPr>
            <w:tcW w:w="10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16"/>
                <w:szCs w:val="16"/>
                <w:b w:val="1"/>
                <w:bCs w:val="1"/>
                <w:color w:val="auto"/>
              </w:rPr>
              <w:t>adjustments</w:t>
            </w:r>
          </w:p>
        </w:tc>
        <w:tc>
          <w:tcPr>
            <w:tcW w:w="360" w:type="dxa"/>
            <w:vAlign w:val="bottom"/>
          </w:tcPr>
          <w:p>
            <w:pPr>
              <w:spacing w:after="0"/>
              <w:rPr>
                <w:sz w:val="18"/>
                <w:szCs w:val="18"/>
                <w:color w:val="auto"/>
              </w:rPr>
            </w:pPr>
          </w:p>
        </w:tc>
        <w:tc>
          <w:tcPr>
            <w:tcW w:w="90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rPr>
              <w:t>adjustments</w:t>
            </w:r>
          </w:p>
        </w:tc>
        <w:tc>
          <w:tcPr>
            <w:tcW w:w="240" w:type="dxa"/>
            <w:vAlign w:val="bottom"/>
          </w:tcPr>
          <w:p>
            <w:pPr>
              <w:spacing w:after="0"/>
              <w:rPr>
                <w:sz w:val="18"/>
                <w:szCs w:val="18"/>
                <w:color w:val="auto"/>
              </w:rPr>
            </w:pPr>
          </w:p>
        </w:tc>
        <w:tc>
          <w:tcPr>
            <w:tcW w:w="1000" w:type="dxa"/>
            <w:vAlign w:val="bottom"/>
            <w:gridSpan w:val="3"/>
          </w:tcPr>
          <w:p>
            <w:pPr>
              <w:jc w:val="center"/>
              <w:ind w:right="100"/>
              <w:spacing w:after="0"/>
              <w:rPr>
                <w:sz w:val="20"/>
                <w:szCs w:val="20"/>
                <w:color w:val="auto"/>
              </w:rPr>
            </w:pPr>
            <w:r>
              <w:rPr>
                <w:rFonts w:ascii="Times New Roman" w:cs="Times New Roman" w:eastAsia="Times New Roman" w:hAnsi="Times New Roman"/>
                <w:sz w:val="16"/>
                <w:szCs w:val="16"/>
                <w:b w:val="1"/>
                <w:bCs w:val="1"/>
                <w:color w:val="auto"/>
              </w:rPr>
              <w:t>adjustments</w:t>
            </w:r>
          </w:p>
        </w:tc>
        <w:tc>
          <w:tcPr>
            <w:tcW w:w="88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rPr>
              <w:t>adjustments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w w:val="99"/>
              </w:rPr>
              <w:t>Pro forma</w:t>
            </w:r>
          </w:p>
        </w:tc>
        <w:tc>
          <w:tcPr>
            <w:tcW w:w="0" w:type="dxa"/>
            <w:vAlign w:val="bottom"/>
          </w:tcPr>
          <w:p>
            <w:pPr>
              <w:spacing w:after="0"/>
              <w:rPr>
                <w:sz w:val="1"/>
                <w:szCs w:val="1"/>
                <w:color w:val="auto"/>
              </w:rPr>
            </w:pPr>
          </w:p>
        </w:tc>
      </w:tr>
      <w:tr>
        <w:trPr>
          <w:trHeight w:val="40"/>
        </w:trPr>
        <w:tc>
          <w:tcPr>
            <w:tcW w:w="3580" w:type="dxa"/>
            <w:vAlign w:val="bottom"/>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740" w:type="dxa"/>
            <w:vAlign w:val="bottom"/>
            <w:tcBorders>
              <w:bottom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360" w:type="dxa"/>
            <w:vAlign w:val="bottom"/>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240" w:type="dxa"/>
            <w:vAlign w:val="bottom"/>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740" w:type="dxa"/>
            <w:vAlign w:val="bottom"/>
            <w:tcBorders>
              <w:bottom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740" w:type="dxa"/>
            <w:vAlign w:val="bottom"/>
            <w:tcBorders>
              <w:bottom w:val="single" w:sz="8" w:color="auto"/>
            </w:tcBorders>
          </w:tcPr>
          <w:p>
            <w:pPr>
              <w:spacing w:after="0"/>
              <w:rPr>
                <w:sz w:val="3"/>
                <w:szCs w:val="3"/>
                <w:color w:val="auto"/>
              </w:rPr>
            </w:pPr>
          </w:p>
        </w:tc>
        <w:tc>
          <w:tcPr>
            <w:tcW w:w="260" w:type="dxa"/>
            <w:vAlign w:val="bottom"/>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37"/>
        </w:trPr>
        <w:tc>
          <w:tcPr>
            <w:tcW w:w="35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jc w:val="center"/>
              <w:ind w:right="39"/>
              <w:spacing w:after="0"/>
              <w:rPr>
                <w:sz w:val="20"/>
                <w:szCs w:val="20"/>
                <w:color w:val="auto"/>
              </w:rPr>
            </w:pPr>
            <w:r>
              <w:rPr>
                <w:rFonts w:ascii="Times New Roman" w:cs="Times New Roman" w:eastAsia="Times New Roman" w:hAnsi="Times New Roman"/>
                <w:sz w:val="16"/>
                <w:szCs w:val="16"/>
                <w:b w:val="1"/>
                <w:bCs w:val="1"/>
                <w:color w:val="auto"/>
              </w:rPr>
              <w:t>(Note 4)</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tcPr>
          <w:p>
            <w:pPr>
              <w:jc w:val="right"/>
              <w:ind w:right="139"/>
              <w:spacing w:after="0"/>
              <w:rPr>
                <w:sz w:val="20"/>
                <w:szCs w:val="20"/>
                <w:color w:val="auto"/>
              </w:rPr>
            </w:pPr>
            <w:r>
              <w:rPr>
                <w:rFonts w:ascii="Times New Roman" w:cs="Times New Roman" w:eastAsia="Times New Roman" w:hAnsi="Times New Roman"/>
                <w:sz w:val="16"/>
                <w:szCs w:val="16"/>
                <w:b w:val="1"/>
                <w:bCs w:val="1"/>
                <w:color w:val="auto"/>
              </w:rPr>
              <w:t>(Note 5)</w:t>
            </w:r>
          </w:p>
        </w:tc>
        <w:tc>
          <w:tcPr>
            <w:tcW w:w="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60" w:type="dxa"/>
            <w:vAlign w:val="bottom"/>
          </w:tcPr>
          <w:p>
            <w:pPr>
              <w:jc w:val="center"/>
              <w:ind w:right="59"/>
              <w:spacing w:after="0"/>
              <w:rPr>
                <w:sz w:val="20"/>
                <w:szCs w:val="20"/>
                <w:color w:val="auto"/>
              </w:rPr>
            </w:pPr>
            <w:r>
              <w:rPr>
                <w:rFonts w:ascii="Times New Roman" w:cs="Times New Roman" w:eastAsia="Times New Roman" w:hAnsi="Times New Roman"/>
                <w:sz w:val="16"/>
                <w:szCs w:val="16"/>
                <w:b w:val="1"/>
                <w:bCs w:val="1"/>
                <w:color w:val="auto"/>
                <w:w w:val="98"/>
              </w:rPr>
              <w:t>(Note 6)</w:t>
            </w: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gridSpan w:val="2"/>
          </w:tcPr>
          <w:p>
            <w:pPr>
              <w:jc w:val="center"/>
              <w:ind w:right="260"/>
              <w:spacing w:after="0"/>
              <w:rPr>
                <w:sz w:val="20"/>
                <w:szCs w:val="20"/>
                <w:color w:val="auto"/>
              </w:rPr>
            </w:pPr>
            <w:r>
              <w:rPr>
                <w:rFonts w:ascii="Times New Roman" w:cs="Times New Roman" w:eastAsia="Times New Roman" w:hAnsi="Times New Roman"/>
                <w:sz w:val="16"/>
                <w:szCs w:val="16"/>
                <w:b w:val="1"/>
                <w:bCs w:val="1"/>
                <w:color w:val="auto"/>
              </w:rPr>
              <w:t>(Note 7)</w:t>
            </w:r>
          </w:p>
        </w:tc>
        <w:tc>
          <w:tcPr>
            <w:tcW w:w="140" w:type="dxa"/>
            <w:vAlign w:val="bottom"/>
          </w:tcPr>
          <w:p>
            <w:pPr>
              <w:spacing w:after="0"/>
              <w:rPr>
                <w:sz w:val="20"/>
                <w:szCs w:val="20"/>
                <w:color w:val="auto"/>
              </w:rPr>
            </w:pPr>
          </w:p>
        </w:tc>
        <w:tc>
          <w:tcPr>
            <w:tcW w:w="740" w:type="dxa"/>
            <w:vAlign w:val="bottom"/>
          </w:tcPr>
          <w:p>
            <w:pPr>
              <w:jc w:val="center"/>
              <w:ind w:right="59"/>
              <w:spacing w:after="0"/>
              <w:rPr>
                <w:sz w:val="20"/>
                <w:szCs w:val="20"/>
                <w:color w:val="auto"/>
              </w:rPr>
            </w:pPr>
            <w:r>
              <w:rPr>
                <w:rFonts w:ascii="Times New Roman" w:cs="Times New Roman" w:eastAsia="Times New Roman" w:hAnsi="Times New Roman"/>
                <w:sz w:val="16"/>
                <w:szCs w:val="16"/>
                <w:b w:val="1"/>
                <w:bCs w:val="1"/>
                <w:color w:val="auto"/>
              </w:rPr>
              <w:t>(Note 8)</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3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Net revenue</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275,189</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142,355</w:t>
            </w:r>
          </w:p>
        </w:tc>
        <w:tc>
          <w:tcPr>
            <w:tcW w:w="260" w:type="dxa"/>
            <w:vAlign w:val="bottom"/>
            <w:tcBorders>
              <w:bottom w:val="single" w:sz="8" w:color="CCEEFF"/>
            </w:tcBorders>
            <w:gridSpan w:val="2"/>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360" w:type="dxa"/>
            <w:vAlign w:val="bottom"/>
            <w:tcBorders>
              <w:bottom w:val="single" w:sz="8" w:color="CCEEFF"/>
            </w:tcBorders>
            <w:gridSpan w:val="2"/>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w w:val="74"/>
              </w:rPr>
              <w:t>$</w:t>
            </w: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417,544</w:t>
            </w:r>
          </w:p>
        </w:tc>
        <w:tc>
          <w:tcPr>
            <w:tcW w:w="0" w:type="dxa"/>
            <w:vAlign w:val="bottom"/>
          </w:tcPr>
          <w:p>
            <w:pPr>
              <w:spacing w:after="0"/>
              <w:rPr>
                <w:sz w:val="1"/>
                <w:szCs w:val="1"/>
                <w:color w:val="auto"/>
              </w:rPr>
            </w:pPr>
          </w:p>
        </w:tc>
      </w:tr>
      <w:tr>
        <w:trPr>
          <w:trHeight w:val="237"/>
        </w:trPr>
        <w:tc>
          <w:tcPr>
            <w:tcW w:w="35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Cost of goods sold</w:t>
            </w:r>
          </w:p>
        </w:tc>
        <w:tc>
          <w:tcPr>
            <w:tcW w:w="140" w:type="dxa"/>
            <w:vAlign w:val="bottom"/>
          </w:tcPr>
          <w:p>
            <w:pPr>
              <w:spacing w:after="0"/>
              <w:rPr>
                <w:sz w:val="20"/>
                <w:szCs w:val="20"/>
                <w:color w:val="auto"/>
              </w:rPr>
            </w:pPr>
          </w:p>
        </w:tc>
        <w:tc>
          <w:tcPr>
            <w:tcW w:w="7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121,371</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96,467</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20"/>
                <w:szCs w:val="20"/>
                <w:color w:val="auto"/>
              </w:rPr>
            </w:pPr>
          </w:p>
        </w:tc>
        <w:tc>
          <w:tcPr>
            <w:tcW w:w="7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217,838</w:t>
            </w:r>
          </w:p>
        </w:tc>
        <w:tc>
          <w:tcPr>
            <w:tcW w:w="0" w:type="dxa"/>
            <w:vAlign w:val="bottom"/>
          </w:tcPr>
          <w:p>
            <w:pPr>
              <w:spacing w:after="0"/>
              <w:rPr>
                <w:sz w:val="1"/>
                <w:szCs w:val="1"/>
                <w:color w:val="auto"/>
              </w:rPr>
            </w:pPr>
          </w:p>
        </w:tc>
      </w:tr>
      <w:tr>
        <w:trPr>
          <w:trHeight w:val="33"/>
        </w:trPr>
        <w:tc>
          <w:tcPr>
            <w:tcW w:w="3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5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Depreciation and amortization</w:t>
            </w:r>
          </w:p>
        </w:tc>
        <w:tc>
          <w:tcPr>
            <w:tcW w:w="14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9,223</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15,608</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4,607</w:t>
            </w:r>
          </w:p>
        </w:tc>
        <w:tc>
          <w:tcPr>
            <w:tcW w:w="3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(c,n)</w:t>
            </w:r>
          </w:p>
        </w:tc>
        <w:tc>
          <w:tcPr>
            <w:tcW w:w="14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24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29,438</w:t>
            </w:r>
          </w:p>
        </w:tc>
        <w:tc>
          <w:tcPr>
            <w:tcW w:w="0" w:type="dxa"/>
            <w:vAlign w:val="bottom"/>
          </w:tcPr>
          <w:p>
            <w:pPr>
              <w:spacing w:after="0"/>
              <w:rPr>
                <w:sz w:val="1"/>
                <w:szCs w:val="1"/>
                <w:color w:val="auto"/>
              </w:rPr>
            </w:pPr>
          </w:p>
        </w:tc>
      </w:tr>
      <w:tr>
        <w:trPr>
          <w:trHeight w:val="217"/>
        </w:trPr>
        <w:tc>
          <w:tcPr>
            <w:tcW w:w="35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Gross profit</w:t>
            </w:r>
          </w:p>
        </w:tc>
        <w:tc>
          <w:tcPr>
            <w:tcW w:w="14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144,595</w:t>
            </w: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30,280</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(4,607)</w:t>
            </w:r>
          </w:p>
        </w:tc>
        <w:tc>
          <w:tcPr>
            <w:tcW w:w="3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2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170,268</w:t>
            </w:r>
          </w:p>
        </w:tc>
        <w:tc>
          <w:tcPr>
            <w:tcW w:w="0" w:type="dxa"/>
            <w:vAlign w:val="bottom"/>
          </w:tcPr>
          <w:p>
            <w:pPr>
              <w:spacing w:after="0"/>
              <w:rPr>
                <w:sz w:val="1"/>
                <w:szCs w:val="1"/>
                <w:color w:val="auto"/>
              </w:rPr>
            </w:pPr>
          </w:p>
        </w:tc>
      </w:tr>
      <w:tr>
        <w:trPr>
          <w:trHeight w:val="33"/>
        </w:trPr>
        <w:tc>
          <w:tcPr>
            <w:tcW w:w="3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Selling, general and administrative</w:t>
            </w:r>
          </w:p>
        </w:tc>
        <w:tc>
          <w:tcPr>
            <w:tcW w:w="1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30,874</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55,724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(12,570)</w:t>
            </w:r>
          </w:p>
        </w:tc>
        <w:tc>
          <w:tcPr>
            <w:tcW w:w="3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(m)</w:t>
            </w:r>
          </w:p>
        </w:tc>
        <w:tc>
          <w:tcPr>
            <w:tcW w:w="1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74,028</w:t>
            </w:r>
          </w:p>
        </w:tc>
        <w:tc>
          <w:tcPr>
            <w:tcW w:w="0" w:type="dxa"/>
            <w:vAlign w:val="bottom"/>
          </w:tcPr>
          <w:p>
            <w:pPr>
              <w:spacing w:after="0"/>
              <w:rPr>
                <w:sz w:val="1"/>
                <w:szCs w:val="1"/>
                <w:color w:val="auto"/>
              </w:rPr>
            </w:pPr>
          </w:p>
        </w:tc>
      </w:tr>
      <w:tr>
        <w:trPr>
          <w:trHeight w:val="237"/>
        </w:trPr>
        <w:tc>
          <w:tcPr>
            <w:tcW w:w="35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Research and development</w:t>
            </w:r>
          </w:p>
        </w:tc>
        <w:tc>
          <w:tcPr>
            <w:tcW w:w="140" w:type="dxa"/>
            <w:vAlign w:val="bottom"/>
          </w:tcPr>
          <w:p>
            <w:pPr>
              <w:spacing w:after="0"/>
              <w:rPr>
                <w:sz w:val="20"/>
                <w:szCs w:val="20"/>
                <w:color w:val="auto"/>
              </w:rPr>
            </w:pPr>
          </w:p>
        </w:tc>
        <w:tc>
          <w:tcPr>
            <w:tcW w:w="7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40,063</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11,527</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20"/>
                <w:szCs w:val="20"/>
                <w:color w:val="auto"/>
              </w:rPr>
            </w:pPr>
          </w:p>
        </w:tc>
        <w:tc>
          <w:tcPr>
            <w:tcW w:w="7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51,590</w:t>
            </w:r>
          </w:p>
        </w:tc>
        <w:tc>
          <w:tcPr>
            <w:tcW w:w="0" w:type="dxa"/>
            <w:vAlign w:val="bottom"/>
          </w:tcPr>
          <w:p>
            <w:pPr>
              <w:spacing w:after="0"/>
              <w:rPr>
                <w:sz w:val="1"/>
                <w:szCs w:val="1"/>
                <w:color w:val="auto"/>
              </w:rPr>
            </w:pPr>
          </w:p>
        </w:tc>
      </w:tr>
      <w:tr>
        <w:trPr>
          <w:trHeight w:val="33"/>
        </w:trPr>
        <w:tc>
          <w:tcPr>
            <w:tcW w:w="3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Legal settlement loss</w:t>
            </w:r>
          </w:p>
        </w:tc>
        <w:tc>
          <w:tcPr>
            <w:tcW w:w="14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85,537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85,537</w:t>
            </w:r>
          </w:p>
        </w:tc>
        <w:tc>
          <w:tcPr>
            <w:tcW w:w="0" w:type="dxa"/>
            <w:vAlign w:val="bottom"/>
          </w:tcPr>
          <w:p>
            <w:pPr>
              <w:spacing w:after="0"/>
              <w:rPr>
                <w:sz w:val="1"/>
                <w:szCs w:val="1"/>
                <w:color w:val="auto"/>
              </w:rPr>
            </w:pPr>
          </w:p>
        </w:tc>
      </w:tr>
      <w:tr>
        <w:trPr>
          <w:trHeight w:val="237"/>
        </w:trPr>
        <w:tc>
          <w:tcPr>
            <w:tcW w:w="35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Other operating expenses</w:t>
            </w:r>
          </w:p>
        </w:tc>
        <w:tc>
          <w:tcPr>
            <w:tcW w:w="140" w:type="dxa"/>
            <w:vAlign w:val="bottom"/>
          </w:tcPr>
          <w:p>
            <w:pPr>
              <w:spacing w:after="0"/>
              <w:rPr>
                <w:sz w:val="20"/>
                <w:szCs w:val="20"/>
                <w:color w:val="auto"/>
              </w:rPr>
            </w:pPr>
          </w:p>
        </w:tc>
        <w:tc>
          <w:tcPr>
            <w:tcW w:w="7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10,104</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2,368</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20"/>
                <w:szCs w:val="20"/>
                <w:color w:val="auto"/>
              </w:rPr>
            </w:pPr>
          </w:p>
        </w:tc>
        <w:tc>
          <w:tcPr>
            <w:tcW w:w="7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12,472</w:t>
            </w:r>
          </w:p>
        </w:tc>
        <w:tc>
          <w:tcPr>
            <w:tcW w:w="0" w:type="dxa"/>
            <w:vAlign w:val="bottom"/>
          </w:tcPr>
          <w:p>
            <w:pPr>
              <w:spacing w:after="0"/>
              <w:rPr>
                <w:sz w:val="1"/>
                <w:szCs w:val="1"/>
                <w:color w:val="auto"/>
              </w:rPr>
            </w:pPr>
          </w:p>
        </w:tc>
      </w:tr>
      <w:tr>
        <w:trPr>
          <w:trHeight w:val="33"/>
        </w:trPr>
        <w:tc>
          <w:tcPr>
            <w:tcW w:w="35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3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35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Operating profit (loss)</w:t>
            </w:r>
          </w:p>
        </w:tc>
        <w:tc>
          <w:tcPr>
            <w:tcW w:w="14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63,554</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(124,876)</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7,963</w:t>
            </w:r>
          </w:p>
        </w:tc>
        <w:tc>
          <w:tcPr>
            <w:tcW w:w="36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24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(53,359)</w:t>
            </w:r>
          </w:p>
        </w:tc>
        <w:tc>
          <w:tcPr>
            <w:tcW w:w="0" w:type="dxa"/>
            <w:vAlign w:val="bottom"/>
          </w:tcPr>
          <w:p>
            <w:pPr>
              <w:spacing w:after="0"/>
              <w:rPr>
                <w:sz w:val="1"/>
                <w:szCs w:val="1"/>
                <w:color w:val="auto"/>
              </w:rPr>
            </w:pPr>
          </w:p>
        </w:tc>
      </w:tr>
      <w:tr>
        <w:trPr>
          <w:trHeight w:val="237"/>
        </w:trPr>
        <w:tc>
          <w:tcPr>
            <w:tcW w:w="35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Other expense:</w:t>
            </w:r>
          </w:p>
        </w:tc>
        <w:tc>
          <w:tcPr>
            <w:tcW w:w="1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3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Interest expense, net</w:t>
            </w:r>
          </w:p>
        </w:tc>
        <w:tc>
          <w:tcPr>
            <w:tcW w:w="1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(21,051)</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(13,692)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10,692</w:t>
            </w:r>
          </w:p>
        </w:tc>
        <w:tc>
          <w:tcPr>
            <w:tcW w:w="3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(l)</w:t>
            </w:r>
          </w:p>
        </w:tc>
        <w:tc>
          <w:tcPr>
            <w:tcW w:w="1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(18,579)</w:t>
            </w:r>
          </w:p>
        </w:tc>
        <w:tc>
          <w:tcPr>
            <w:tcW w:w="2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(h)</w:t>
            </w:r>
          </w:p>
        </w:tc>
        <w:tc>
          <w:tcPr>
            <w:tcW w:w="1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(42,630)</w:t>
            </w:r>
          </w:p>
        </w:tc>
        <w:tc>
          <w:tcPr>
            <w:tcW w:w="0" w:type="dxa"/>
            <w:vAlign w:val="bottom"/>
          </w:tcPr>
          <w:p>
            <w:pPr>
              <w:spacing w:after="0"/>
              <w:rPr>
                <w:sz w:val="1"/>
                <w:szCs w:val="1"/>
                <w:color w:val="auto"/>
              </w:rPr>
            </w:pPr>
          </w:p>
        </w:tc>
      </w:tr>
      <w:tr>
        <w:trPr>
          <w:trHeight w:val="237"/>
        </w:trPr>
        <w:tc>
          <w:tcPr>
            <w:tcW w:w="35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Other income, net</w:t>
            </w:r>
          </w:p>
        </w:tc>
        <w:tc>
          <w:tcPr>
            <w:tcW w:w="140" w:type="dxa"/>
            <w:vAlign w:val="bottom"/>
          </w:tcPr>
          <w:p>
            <w:pPr>
              <w:spacing w:after="0"/>
              <w:rPr>
                <w:sz w:val="20"/>
                <w:szCs w:val="20"/>
                <w:color w:val="auto"/>
              </w:rPr>
            </w:pPr>
          </w:p>
        </w:tc>
        <w:tc>
          <w:tcPr>
            <w:tcW w:w="7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9,513</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346</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20"/>
                <w:szCs w:val="20"/>
                <w:color w:val="auto"/>
              </w:rPr>
            </w:pPr>
          </w:p>
        </w:tc>
        <w:tc>
          <w:tcPr>
            <w:tcW w:w="7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9,859</w:t>
            </w:r>
          </w:p>
        </w:tc>
        <w:tc>
          <w:tcPr>
            <w:tcW w:w="0" w:type="dxa"/>
            <w:vAlign w:val="bottom"/>
          </w:tcPr>
          <w:p>
            <w:pPr>
              <w:spacing w:after="0"/>
              <w:rPr>
                <w:sz w:val="1"/>
                <w:szCs w:val="1"/>
                <w:color w:val="auto"/>
              </w:rPr>
            </w:pPr>
          </w:p>
        </w:tc>
      </w:tr>
      <w:tr>
        <w:trPr>
          <w:trHeight w:val="33"/>
        </w:trPr>
        <w:tc>
          <w:tcPr>
            <w:tcW w:w="35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3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35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Total other expense, net</w:t>
            </w:r>
          </w:p>
        </w:tc>
        <w:tc>
          <w:tcPr>
            <w:tcW w:w="1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(11,538)</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(13,346)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10,692</w:t>
            </w:r>
          </w:p>
        </w:tc>
        <w:tc>
          <w:tcPr>
            <w:tcW w:w="3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(18,579)</w:t>
            </w:r>
          </w:p>
        </w:tc>
        <w:tc>
          <w:tcPr>
            <w:tcW w:w="2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(32,771)</w:t>
            </w:r>
          </w:p>
        </w:tc>
        <w:tc>
          <w:tcPr>
            <w:tcW w:w="0" w:type="dxa"/>
            <w:vAlign w:val="bottom"/>
          </w:tcPr>
          <w:p>
            <w:pPr>
              <w:spacing w:after="0"/>
              <w:rPr>
                <w:sz w:val="1"/>
                <w:szCs w:val="1"/>
                <w:color w:val="auto"/>
              </w:rPr>
            </w:pPr>
          </w:p>
        </w:tc>
      </w:tr>
      <w:tr>
        <w:trPr>
          <w:trHeight w:val="217"/>
        </w:trPr>
        <w:tc>
          <w:tcPr>
            <w:tcW w:w="35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Income (loss) before income tax</w:t>
            </w:r>
          </w:p>
        </w:tc>
        <w:tc>
          <w:tcPr>
            <w:tcW w:w="14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52,016</w:t>
            </w: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(138,222)</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18,655</w:t>
            </w:r>
          </w:p>
        </w:tc>
        <w:tc>
          <w:tcPr>
            <w:tcW w:w="3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(18,579)</w:t>
            </w:r>
          </w:p>
        </w:tc>
        <w:tc>
          <w:tcPr>
            <w:tcW w:w="2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(86,130)</w:t>
            </w:r>
          </w:p>
        </w:tc>
        <w:tc>
          <w:tcPr>
            <w:tcW w:w="0" w:type="dxa"/>
            <w:vAlign w:val="bottom"/>
          </w:tcPr>
          <w:p>
            <w:pPr>
              <w:spacing w:after="0"/>
              <w:rPr>
                <w:sz w:val="1"/>
                <w:szCs w:val="1"/>
                <w:color w:val="auto"/>
              </w:rPr>
            </w:pPr>
          </w:p>
        </w:tc>
      </w:tr>
      <w:tr>
        <w:trPr>
          <w:trHeight w:val="33"/>
        </w:trPr>
        <w:tc>
          <w:tcPr>
            <w:tcW w:w="3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5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Income tax provision (benefit)</w:t>
            </w:r>
          </w:p>
        </w:tc>
        <w:tc>
          <w:tcPr>
            <w:tcW w:w="14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364</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(7,290)</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6,577</w:t>
            </w:r>
          </w:p>
        </w:tc>
        <w:tc>
          <w:tcPr>
            <w:tcW w:w="3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(k)</w:t>
            </w:r>
          </w:p>
        </w:tc>
        <w:tc>
          <w:tcPr>
            <w:tcW w:w="14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1,568</w:t>
            </w:r>
          </w:p>
        </w:tc>
        <w:tc>
          <w:tcPr>
            <w:tcW w:w="2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(f)</w:t>
            </w:r>
          </w:p>
        </w:tc>
        <w:tc>
          <w:tcPr>
            <w:tcW w:w="14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894</w:t>
            </w:r>
          </w:p>
        </w:tc>
        <w:tc>
          <w:tcPr>
            <w:tcW w:w="360" w:type="dxa"/>
            <w:vAlign w:val="bottom"/>
            <w:tcBorders>
              <w:bottom w:val="single" w:sz="8" w:color="CCEEFF"/>
            </w:tcBorders>
            <w:gridSpan w:val="2"/>
            <w:shd w:val="clear" w:color="auto" w:fill="CCEEFF"/>
          </w:tcPr>
          <w:p>
            <w:pPr>
              <w:jc w:val="right"/>
              <w:ind w:right="59"/>
              <w:spacing w:after="0"/>
              <w:rPr>
                <w:sz w:val="20"/>
                <w:szCs w:val="20"/>
                <w:color w:val="auto"/>
              </w:rPr>
            </w:pPr>
            <w:r>
              <w:rPr>
                <w:rFonts w:ascii="Times New Roman" w:cs="Times New Roman" w:eastAsia="Times New Roman" w:hAnsi="Times New Roman"/>
                <w:sz w:val="16"/>
                <w:szCs w:val="16"/>
                <w:color w:val="auto"/>
              </w:rPr>
              <w:t>(d)</w:t>
            </w: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2,113</w:t>
            </w:r>
          </w:p>
        </w:tc>
        <w:tc>
          <w:tcPr>
            <w:tcW w:w="0" w:type="dxa"/>
            <w:vAlign w:val="bottom"/>
          </w:tcPr>
          <w:p>
            <w:pPr>
              <w:spacing w:after="0"/>
              <w:rPr>
                <w:sz w:val="1"/>
                <w:szCs w:val="1"/>
                <w:color w:val="auto"/>
              </w:rPr>
            </w:pPr>
          </w:p>
        </w:tc>
      </w:tr>
      <w:tr>
        <w:trPr>
          <w:trHeight w:val="217"/>
        </w:trPr>
        <w:tc>
          <w:tcPr>
            <w:tcW w:w="35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Net income (loss)</w:t>
            </w:r>
          </w:p>
        </w:tc>
        <w:tc>
          <w:tcPr>
            <w:tcW w:w="14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51,652</w:t>
            </w: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(130,932)</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12,078</w:t>
            </w:r>
          </w:p>
        </w:tc>
        <w:tc>
          <w:tcPr>
            <w:tcW w:w="3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(20,147)</w:t>
            </w:r>
          </w:p>
        </w:tc>
        <w:tc>
          <w:tcPr>
            <w:tcW w:w="2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(894)</w:t>
            </w: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(88,243)</w:t>
            </w:r>
          </w:p>
        </w:tc>
        <w:tc>
          <w:tcPr>
            <w:tcW w:w="0" w:type="dxa"/>
            <w:vAlign w:val="bottom"/>
          </w:tcPr>
          <w:p>
            <w:pPr>
              <w:spacing w:after="0"/>
              <w:rPr>
                <w:sz w:val="1"/>
                <w:szCs w:val="1"/>
                <w:color w:val="auto"/>
              </w:rPr>
            </w:pPr>
          </w:p>
        </w:tc>
      </w:tr>
      <w:tr>
        <w:trPr>
          <w:trHeight w:val="33"/>
        </w:trPr>
        <w:tc>
          <w:tcPr>
            <w:tcW w:w="3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5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Net income (loss) attributable to non-controlling</w:t>
            </w: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59"/>
              <w:spacing w:after="0"/>
              <w:rPr>
                <w:sz w:val="20"/>
                <w:szCs w:val="20"/>
                <w:color w:val="auto"/>
              </w:rPr>
            </w:pPr>
            <w:r>
              <w:rPr>
                <w:rFonts w:ascii="Times New Roman" w:cs="Times New Roman" w:eastAsia="Times New Roman" w:hAnsi="Times New Roman"/>
                <w:sz w:val="16"/>
                <w:szCs w:val="16"/>
                <w:color w:val="auto"/>
              </w:rPr>
              <w:t>(c)</w:t>
            </w:r>
          </w:p>
        </w:tc>
        <w:tc>
          <w:tcPr>
            <w:tcW w:w="8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35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interests</w:t>
            </w:r>
          </w:p>
        </w:tc>
        <w:tc>
          <w:tcPr>
            <w:tcW w:w="1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117</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(64,968)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15,516</w:t>
            </w:r>
          </w:p>
        </w:tc>
        <w:tc>
          <w:tcPr>
            <w:tcW w:w="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(49,335)</w:t>
            </w:r>
          </w:p>
        </w:tc>
        <w:tc>
          <w:tcPr>
            <w:tcW w:w="0" w:type="dxa"/>
            <w:vAlign w:val="bottom"/>
          </w:tcPr>
          <w:p>
            <w:pPr>
              <w:spacing w:after="0"/>
              <w:rPr>
                <w:sz w:val="1"/>
                <w:szCs w:val="1"/>
                <w:color w:val="auto"/>
              </w:rPr>
            </w:pPr>
          </w:p>
        </w:tc>
      </w:tr>
      <w:tr>
        <w:trPr>
          <w:trHeight w:val="284"/>
        </w:trPr>
        <w:tc>
          <w:tcPr>
            <w:tcW w:w="3580" w:type="dxa"/>
            <w:vAlign w:val="bottom"/>
            <w:tcBorders>
              <w:bottom w:val="single" w:sz="8" w:color="CCEEFF"/>
            </w:tcBorders>
          </w:tcPr>
          <w:p>
            <w:pPr>
              <w:ind w:left="40"/>
              <w:spacing w:after="0"/>
              <w:rPr>
                <w:sz w:val="20"/>
                <w:szCs w:val="20"/>
                <w:color w:val="auto"/>
              </w:rPr>
            </w:pPr>
            <w:r>
              <w:rPr>
                <w:rFonts w:ascii="Times New Roman" w:cs="Times New Roman" w:eastAsia="Times New Roman" w:hAnsi="Times New Roman"/>
                <w:sz w:val="16"/>
                <w:szCs w:val="16"/>
                <w:color w:val="auto"/>
              </w:rPr>
              <w:t>Net income (loss) attributable to New Amneal</w:t>
            </w: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40" w:type="dxa"/>
            <w:vAlign w:val="bottom"/>
            <w:tcBorders>
              <w:top w:val="single" w:sz="8" w:color="auto"/>
              <w:bottom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51,535</w:t>
            </w:r>
          </w:p>
        </w:tc>
        <w:tc>
          <w:tcPr>
            <w:tcW w:w="100" w:type="dxa"/>
            <w:vAlign w:val="bottom"/>
            <w:tcBorders>
              <w:bottom w:val="single" w:sz="8" w:color="CCEEFF"/>
            </w:tcBorders>
          </w:tcPr>
          <w:p>
            <w:pPr>
              <w:spacing w:after="0"/>
              <w:rPr>
                <w:sz w:val="24"/>
                <w:szCs w:val="24"/>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(130,932)</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tcBorders>
              <w:top w:val="single" w:sz="8" w:color="auto"/>
              <w:bottom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12,078</w:t>
            </w:r>
          </w:p>
        </w:tc>
        <w:tc>
          <w:tcPr>
            <w:tcW w:w="36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(20,147)</w:t>
            </w:r>
          </w:p>
        </w:tc>
        <w:tc>
          <w:tcPr>
            <w:tcW w:w="24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40" w:type="dxa"/>
            <w:vAlign w:val="bottom"/>
            <w:tcBorders>
              <w:top w:val="single" w:sz="8" w:color="auto"/>
              <w:bottom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64,968</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(16,410)</w:t>
            </w:r>
          </w:p>
        </w:tc>
        <w:tc>
          <w:tcPr>
            <w:tcW w:w="260" w:type="dxa"/>
            <w:vAlign w:val="bottom"/>
            <w:tcBorders>
              <w:bottom w:val="single" w:sz="8" w:color="CCEEFF"/>
            </w:tcBorders>
          </w:tcPr>
          <w:p>
            <w:pPr>
              <w:spacing w:after="0"/>
              <w:rPr>
                <w:sz w:val="24"/>
                <w:szCs w:val="24"/>
                <w:color w:val="auto"/>
              </w:rPr>
            </w:pPr>
          </w:p>
        </w:tc>
        <w:tc>
          <w:tcPr>
            <w:tcW w:w="100" w:type="dxa"/>
            <w:vAlign w:val="bottom"/>
            <w:tcBorders>
              <w:top w:val="single" w:sz="8" w:color="auto"/>
              <w:bottom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w w:val="74"/>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(38,908)</w:t>
            </w:r>
          </w:p>
        </w:tc>
        <w:tc>
          <w:tcPr>
            <w:tcW w:w="0" w:type="dxa"/>
            <w:vAlign w:val="bottom"/>
          </w:tcPr>
          <w:p>
            <w:pPr>
              <w:spacing w:after="0"/>
              <w:rPr>
                <w:sz w:val="1"/>
                <w:szCs w:val="1"/>
                <w:color w:val="auto"/>
              </w:rPr>
            </w:pPr>
          </w:p>
        </w:tc>
      </w:tr>
      <w:tr>
        <w:trPr>
          <w:trHeight w:val="184"/>
        </w:trPr>
        <w:tc>
          <w:tcPr>
            <w:tcW w:w="35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Net loss per common share (Note 9):</w:t>
            </w:r>
          </w:p>
        </w:tc>
        <w:tc>
          <w:tcPr>
            <w:tcW w:w="14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3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14"/>
        </w:trPr>
        <w:tc>
          <w:tcPr>
            <w:tcW w:w="3580" w:type="dxa"/>
            <w:vAlign w:val="bottom"/>
            <w:shd w:val="clear" w:color="auto" w:fill="CCEEFF"/>
          </w:tcPr>
          <w:p>
            <w:pPr>
              <w:spacing w:after="0"/>
              <w:rPr>
                <w:sz w:val="9"/>
                <w:szCs w:val="9"/>
                <w:color w:val="auto"/>
              </w:rPr>
            </w:pPr>
          </w:p>
        </w:tc>
        <w:tc>
          <w:tcPr>
            <w:tcW w:w="140" w:type="dxa"/>
            <w:vAlign w:val="bottom"/>
            <w:shd w:val="clear" w:color="auto" w:fill="CCEEFF"/>
          </w:tcPr>
          <w:p>
            <w:pPr>
              <w:spacing w:after="0"/>
              <w:rPr>
                <w:sz w:val="9"/>
                <w:szCs w:val="9"/>
                <w:color w:val="auto"/>
              </w:rPr>
            </w:pPr>
          </w:p>
        </w:tc>
        <w:tc>
          <w:tcPr>
            <w:tcW w:w="74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7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20" w:type="dxa"/>
            <w:vAlign w:val="bottom"/>
            <w:shd w:val="clear" w:color="auto" w:fill="CCEEFF"/>
          </w:tcPr>
          <w:p>
            <w:pPr>
              <w:spacing w:after="0"/>
              <w:rPr>
                <w:sz w:val="9"/>
                <w:szCs w:val="9"/>
                <w:color w:val="auto"/>
              </w:rPr>
            </w:pPr>
          </w:p>
        </w:tc>
        <w:tc>
          <w:tcPr>
            <w:tcW w:w="360" w:type="dxa"/>
            <w:vAlign w:val="bottom"/>
            <w:shd w:val="clear" w:color="auto" w:fill="CCEEFF"/>
          </w:tcPr>
          <w:p>
            <w:pPr>
              <w:spacing w:after="0"/>
              <w:rPr>
                <w:sz w:val="9"/>
                <w:szCs w:val="9"/>
                <w:color w:val="auto"/>
              </w:rPr>
            </w:pPr>
          </w:p>
        </w:tc>
        <w:tc>
          <w:tcPr>
            <w:tcW w:w="140" w:type="dxa"/>
            <w:vAlign w:val="bottom"/>
            <w:shd w:val="clear" w:color="auto" w:fill="CCEEFF"/>
          </w:tcPr>
          <w:p>
            <w:pPr>
              <w:spacing w:after="0"/>
              <w:rPr>
                <w:sz w:val="9"/>
                <w:szCs w:val="9"/>
                <w:color w:val="auto"/>
              </w:rPr>
            </w:pPr>
          </w:p>
        </w:tc>
        <w:tc>
          <w:tcPr>
            <w:tcW w:w="760" w:type="dxa"/>
            <w:vAlign w:val="bottom"/>
            <w:shd w:val="clear" w:color="auto" w:fill="CCEEFF"/>
          </w:tcPr>
          <w:p>
            <w:pPr>
              <w:spacing w:after="0"/>
              <w:rPr>
                <w:sz w:val="9"/>
                <w:szCs w:val="9"/>
                <w:color w:val="auto"/>
              </w:rPr>
            </w:pPr>
          </w:p>
        </w:tc>
        <w:tc>
          <w:tcPr>
            <w:tcW w:w="240" w:type="dxa"/>
            <w:vAlign w:val="bottom"/>
            <w:shd w:val="clear" w:color="auto" w:fill="CCEEFF"/>
          </w:tcPr>
          <w:p>
            <w:pPr>
              <w:spacing w:after="0"/>
              <w:rPr>
                <w:sz w:val="9"/>
                <w:szCs w:val="9"/>
                <w:color w:val="auto"/>
              </w:rPr>
            </w:pPr>
          </w:p>
        </w:tc>
        <w:tc>
          <w:tcPr>
            <w:tcW w:w="140" w:type="dxa"/>
            <w:vAlign w:val="bottom"/>
            <w:shd w:val="clear" w:color="auto" w:fill="CCEEFF"/>
          </w:tcPr>
          <w:p>
            <w:pPr>
              <w:spacing w:after="0"/>
              <w:rPr>
                <w:sz w:val="9"/>
                <w:szCs w:val="9"/>
                <w:color w:val="auto"/>
              </w:rPr>
            </w:pPr>
          </w:p>
        </w:tc>
        <w:tc>
          <w:tcPr>
            <w:tcW w:w="74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140" w:type="dxa"/>
            <w:vAlign w:val="bottom"/>
            <w:shd w:val="clear" w:color="auto" w:fill="CCEEFF"/>
          </w:tcPr>
          <w:p>
            <w:pPr>
              <w:spacing w:after="0"/>
              <w:rPr>
                <w:sz w:val="9"/>
                <w:szCs w:val="9"/>
                <w:color w:val="auto"/>
              </w:rPr>
            </w:pPr>
          </w:p>
        </w:tc>
        <w:tc>
          <w:tcPr>
            <w:tcW w:w="740" w:type="dxa"/>
            <w:vAlign w:val="bottom"/>
            <w:shd w:val="clear" w:color="auto" w:fill="CCEEFF"/>
          </w:tcPr>
          <w:p>
            <w:pPr>
              <w:spacing w:after="0"/>
              <w:rPr>
                <w:sz w:val="9"/>
                <w:szCs w:val="9"/>
                <w:color w:val="auto"/>
              </w:rPr>
            </w:pPr>
          </w:p>
        </w:tc>
        <w:tc>
          <w:tcPr>
            <w:tcW w:w="2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820" w:type="dxa"/>
            <w:vAlign w:val="bottom"/>
            <w:shd w:val="clear" w:color="auto" w:fill="CCEEFF"/>
          </w:tcPr>
          <w:p>
            <w:pPr>
              <w:spacing w:after="0"/>
              <w:rPr>
                <w:sz w:val="9"/>
                <w:szCs w:val="9"/>
                <w:color w:val="auto"/>
              </w:rPr>
            </w:pPr>
          </w:p>
        </w:tc>
        <w:tc>
          <w:tcPr>
            <w:tcW w:w="0" w:type="dxa"/>
            <w:vAlign w:val="bottom"/>
          </w:tcPr>
          <w:p>
            <w:pPr>
              <w:spacing w:after="0"/>
              <w:rPr>
                <w:sz w:val="1"/>
                <w:szCs w:val="1"/>
                <w:color w:val="auto"/>
              </w:rPr>
            </w:pPr>
          </w:p>
        </w:tc>
      </w:tr>
      <w:tr>
        <w:trPr>
          <w:trHeight w:val="224"/>
        </w:trPr>
        <w:tc>
          <w:tcPr>
            <w:tcW w:w="35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Basic</w:t>
            </w:r>
          </w:p>
        </w:tc>
        <w:tc>
          <w:tcPr>
            <w:tcW w:w="1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(1.81)</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360" w:type="dxa"/>
            <w:vAlign w:val="bottom"/>
            <w:gridSpan w:val="2"/>
          </w:tcPr>
          <w:p>
            <w:pPr>
              <w:ind w:left="280"/>
              <w:spacing w:after="0"/>
              <w:rPr>
                <w:sz w:val="20"/>
                <w:szCs w:val="20"/>
                <w:color w:val="auto"/>
              </w:rPr>
            </w:pPr>
            <w:r>
              <w:rPr>
                <w:rFonts w:ascii="Times New Roman" w:cs="Times New Roman" w:eastAsia="Times New Roman" w:hAnsi="Times New Roman"/>
                <w:sz w:val="16"/>
                <w:szCs w:val="16"/>
                <w:color w:val="auto"/>
                <w:w w:val="74"/>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(0.31)</w:t>
            </w:r>
          </w:p>
        </w:tc>
        <w:tc>
          <w:tcPr>
            <w:tcW w:w="0" w:type="dxa"/>
            <w:vAlign w:val="bottom"/>
          </w:tcPr>
          <w:p>
            <w:pPr>
              <w:spacing w:after="0"/>
              <w:rPr>
                <w:sz w:val="1"/>
                <w:szCs w:val="1"/>
                <w:color w:val="auto"/>
              </w:rPr>
            </w:pPr>
          </w:p>
        </w:tc>
      </w:tr>
      <w:tr>
        <w:trPr>
          <w:trHeight w:val="141"/>
        </w:trPr>
        <w:tc>
          <w:tcPr>
            <w:tcW w:w="3580" w:type="dxa"/>
            <w:vAlign w:val="bottom"/>
            <w:tcBorders>
              <w:bottom w:val="single" w:sz="8" w:color="CCEEFF"/>
            </w:tcBorders>
          </w:tcPr>
          <w:p>
            <w:pPr>
              <w:spacing w:after="0"/>
              <w:rPr>
                <w:sz w:val="12"/>
                <w:szCs w:val="12"/>
                <w:color w:val="auto"/>
              </w:rPr>
            </w:pPr>
          </w:p>
        </w:tc>
        <w:tc>
          <w:tcPr>
            <w:tcW w:w="140" w:type="dxa"/>
            <w:vAlign w:val="bottom"/>
            <w:tcBorders>
              <w:bottom w:val="single" w:sz="8" w:color="CCEEFF"/>
            </w:tcBorders>
          </w:tcPr>
          <w:p>
            <w:pPr>
              <w:spacing w:after="0"/>
              <w:rPr>
                <w:sz w:val="12"/>
                <w:szCs w:val="12"/>
                <w:color w:val="auto"/>
              </w:rPr>
            </w:pPr>
          </w:p>
        </w:tc>
        <w:tc>
          <w:tcPr>
            <w:tcW w:w="74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820" w:type="dxa"/>
            <w:vAlign w:val="bottom"/>
            <w:tcBorders>
              <w:bottom w:val="single" w:sz="8" w:color="CCEEFF"/>
            </w:tcBorders>
          </w:tcPr>
          <w:p>
            <w:pPr>
              <w:spacing w:after="0"/>
              <w:rPr>
                <w:sz w:val="12"/>
                <w:szCs w:val="12"/>
                <w:color w:val="auto"/>
              </w:rPr>
            </w:pPr>
          </w:p>
        </w:tc>
        <w:tc>
          <w:tcPr>
            <w:tcW w:w="360" w:type="dxa"/>
            <w:vAlign w:val="bottom"/>
            <w:tcBorders>
              <w:bottom w:val="single" w:sz="8" w:color="CCEEFF"/>
            </w:tcBorders>
          </w:tcPr>
          <w:p>
            <w:pPr>
              <w:spacing w:after="0"/>
              <w:rPr>
                <w:sz w:val="12"/>
                <w:szCs w:val="12"/>
                <w:color w:val="auto"/>
              </w:rPr>
            </w:pPr>
          </w:p>
        </w:tc>
        <w:tc>
          <w:tcPr>
            <w:tcW w:w="140" w:type="dxa"/>
            <w:vAlign w:val="bottom"/>
            <w:tcBorders>
              <w:bottom w:val="single" w:sz="8" w:color="CCEEFF"/>
            </w:tcBorders>
          </w:tcPr>
          <w:p>
            <w:pPr>
              <w:spacing w:after="0"/>
              <w:rPr>
                <w:sz w:val="12"/>
                <w:szCs w:val="12"/>
                <w:color w:val="auto"/>
              </w:rPr>
            </w:pPr>
          </w:p>
        </w:tc>
        <w:tc>
          <w:tcPr>
            <w:tcW w:w="760" w:type="dxa"/>
            <w:vAlign w:val="bottom"/>
            <w:tcBorders>
              <w:bottom w:val="single" w:sz="8" w:color="CCEEFF"/>
            </w:tcBorders>
          </w:tcPr>
          <w:p>
            <w:pPr>
              <w:spacing w:after="0"/>
              <w:rPr>
                <w:sz w:val="12"/>
                <w:szCs w:val="12"/>
                <w:color w:val="auto"/>
              </w:rPr>
            </w:pPr>
          </w:p>
        </w:tc>
        <w:tc>
          <w:tcPr>
            <w:tcW w:w="240" w:type="dxa"/>
            <w:vAlign w:val="bottom"/>
            <w:tcBorders>
              <w:bottom w:val="single" w:sz="8" w:color="CCEEFF"/>
            </w:tcBorders>
          </w:tcPr>
          <w:p>
            <w:pPr>
              <w:spacing w:after="0"/>
              <w:rPr>
                <w:sz w:val="12"/>
                <w:szCs w:val="12"/>
                <w:color w:val="auto"/>
              </w:rPr>
            </w:pPr>
          </w:p>
        </w:tc>
        <w:tc>
          <w:tcPr>
            <w:tcW w:w="140" w:type="dxa"/>
            <w:vAlign w:val="bottom"/>
            <w:tcBorders>
              <w:bottom w:val="single" w:sz="8" w:color="CCEEFF"/>
            </w:tcBorders>
          </w:tcPr>
          <w:p>
            <w:pPr>
              <w:spacing w:after="0"/>
              <w:rPr>
                <w:sz w:val="12"/>
                <w:szCs w:val="12"/>
                <w:color w:val="auto"/>
              </w:rPr>
            </w:pPr>
          </w:p>
        </w:tc>
        <w:tc>
          <w:tcPr>
            <w:tcW w:w="740" w:type="dxa"/>
            <w:vAlign w:val="bottom"/>
            <w:tcBorders>
              <w:bottom w:val="single" w:sz="8" w:color="CCEEFF"/>
            </w:tcBorders>
          </w:tcPr>
          <w:p>
            <w:pPr>
              <w:spacing w:after="0"/>
              <w:rPr>
                <w:sz w:val="12"/>
                <w:szCs w:val="12"/>
                <w:color w:val="auto"/>
              </w:rPr>
            </w:pPr>
          </w:p>
        </w:tc>
        <w:tc>
          <w:tcPr>
            <w:tcW w:w="120" w:type="dxa"/>
            <w:vAlign w:val="bottom"/>
            <w:tcBorders>
              <w:bottom w:val="single" w:sz="8" w:color="CCEEFF"/>
            </w:tcBorders>
          </w:tcPr>
          <w:p>
            <w:pPr>
              <w:spacing w:after="0"/>
              <w:rPr>
                <w:sz w:val="12"/>
                <w:szCs w:val="12"/>
                <w:color w:val="auto"/>
              </w:rPr>
            </w:pPr>
          </w:p>
        </w:tc>
        <w:tc>
          <w:tcPr>
            <w:tcW w:w="140" w:type="dxa"/>
            <w:vAlign w:val="bottom"/>
            <w:tcBorders>
              <w:bottom w:val="single" w:sz="8" w:color="CCEEFF"/>
            </w:tcBorders>
          </w:tcPr>
          <w:p>
            <w:pPr>
              <w:spacing w:after="0"/>
              <w:rPr>
                <w:sz w:val="12"/>
                <w:szCs w:val="12"/>
                <w:color w:val="auto"/>
              </w:rPr>
            </w:pPr>
          </w:p>
        </w:tc>
        <w:tc>
          <w:tcPr>
            <w:tcW w:w="740" w:type="dxa"/>
            <w:vAlign w:val="bottom"/>
            <w:tcBorders>
              <w:bottom w:val="single" w:sz="8" w:color="CCEEFF"/>
            </w:tcBorders>
          </w:tcPr>
          <w:p>
            <w:pPr>
              <w:spacing w:after="0"/>
              <w:rPr>
                <w:sz w:val="12"/>
                <w:szCs w:val="12"/>
                <w:color w:val="auto"/>
              </w:rPr>
            </w:pPr>
          </w:p>
        </w:tc>
        <w:tc>
          <w:tcPr>
            <w:tcW w:w="26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04"/>
        </w:trPr>
        <w:tc>
          <w:tcPr>
            <w:tcW w:w="3580" w:type="dxa"/>
            <w:vAlign w:val="bottom"/>
            <w:shd w:val="clear" w:color="auto" w:fill="CCEEFF"/>
          </w:tcPr>
          <w:p>
            <w:pPr>
              <w:ind w:left="40"/>
              <w:spacing w:after="0" w:line="177" w:lineRule="exact"/>
              <w:rPr>
                <w:sz w:val="20"/>
                <w:szCs w:val="20"/>
                <w:color w:val="auto"/>
              </w:rPr>
            </w:pPr>
            <w:r>
              <w:rPr>
                <w:rFonts w:ascii="Times New Roman" w:cs="Times New Roman" w:eastAsia="Times New Roman" w:hAnsi="Times New Roman"/>
                <w:sz w:val="16"/>
                <w:szCs w:val="16"/>
                <w:color w:val="auto"/>
              </w:rPr>
              <w:t>Diluted</w:t>
            </w: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(1.81)</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36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w w:val="74"/>
              </w:rPr>
              <w:t>$</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(0.31)</w:t>
            </w:r>
          </w:p>
        </w:tc>
        <w:tc>
          <w:tcPr>
            <w:tcW w:w="0" w:type="dxa"/>
            <w:vAlign w:val="bottom"/>
          </w:tcPr>
          <w:p>
            <w:pPr>
              <w:spacing w:after="0"/>
              <w:rPr>
                <w:sz w:val="1"/>
                <w:szCs w:val="1"/>
                <w:color w:val="auto"/>
              </w:rPr>
            </w:pPr>
          </w:p>
        </w:tc>
      </w:tr>
      <w:tr>
        <w:trPr>
          <w:trHeight w:val="74"/>
        </w:trPr>
        <w:tc>
          <w:tcPr>
            <w:tcW w:w="3580" w:type="dxa"/>
            <w:vAlign w:val="bottom"/>
            <w:tcBorders>
              <w:bottom w:val="single" w:sz="8" w:color="CCEEFF"/>
            </w:tcBorders>
            <w:shd w:val="clear" w:color="auto" w:fill="CCEEFF"/>
          </w:tcPr>
          <w:p>
            <w:pPr>
              <w:spacing w:after="0"/>
              <w:rPr>
                <w:sz w:val="6"/>
                <w:szCs w:val="6"/>
                <w:color w:val="auto"/>
              </w:rPr>
            </w:pPr>
          </w:p>
        </w:tc>
        <w:tc>
          <w:tcPr>
            <w:tcW w:w="140" w:type="dxa"/>
            <w:vAlign w:val="bottom"/>
            <w:tcBorders>
              <w:bottom w:val="single" w:sz="8" w:color="CCEEFF"/>
            </w:tcBorders>
            <w:shd w:val="clear" w:color="auto" w:fill="CCEEFF"/>
          </w:tcPr>
          <w:p>
            <w:pPr>
              <w:spacing w:after="0"/>
              <w:rPr>
                <w:sz w:val="6"/>
                <w:szCs w:val="6"/>
                <w:color w:val="auto"/>
              </w:rPr>
            </w:pPr>
          </w:p>
        </w:tc>
        <w:tc>
          <w:tcPr>
            <w:tcW w:w="740" w:type="dxa"/>
            <w:vAlign w:val="bottom"/>
            <w:tcBorders>
              <w:bottom w:val="single" w:sz="8" w:color="CCEEFF"/>
            </w:tcBorders>
            <w:shd w:val="clear" w:color="auto" w:fill="CCEEFF"/>
          </w:tcPr>
          <w:p>
            <w:pPr>
              <w:spacing w:after="0"/>
              <w:rPr>
                <w:sz w:val="6"/>
                <w:szCs w:val="6"/>
                <w:color w:val="auto"/>
              </w:rPr>
            </w:pPr>
          </w:p>
        </w:tc>
        <w:tc>
          <w:tcPr>
            <w:tcW w:w="100" w:type="dxa"/>
            <w:vAlign w:val="bottom"/>
            <w:tcBorders>
              <w:bottom w:val="single" w:sz="8" w:color="CCEEFF"/>
            </w:tcBorders>
            <w:shd w:val="clear" w:color="auto" w:fill="CCEEFF"/>
          </w:tcPr>
          <w:p>
            <w:pPr>
              <w:spacing w:after="0"/>
              <w:rPr>
                <w:sz w:val="6"/>
                <w:szCs w:val="6"/>
                <w:color w:val="auto"/>
              </w:rPr>
            </w:pPr>
          </w:p>
        </w:tc>
        <w:tc>
          <w:tcPr>
            <w:tcW w:w="120" w:type="dxa"/>
            <w:vAlign w:val="bottom"/>
            <w:tcBorders>
              <w:bottom w:val="single" w:sz="8" w:color="auto"/>
            </w:tcBorders>
            <w:shd w:val="clear" w:color="auto" w:fill="CCEEFF"/>
          </w:tcPr>
          <w:p>
            <w:pPr>
              <w:spacing w:after="0"/>
              <w:rPr>
                <w:sz w:val="6"/>
                <w:szCs w:val="6"/>
                <w:color w:val="auto"/>
              </w:rPr>
            </w:pPr>
          </w:p>
        </w:tc>
        <w:tc>
          <w:tcPr>
            <w:tcW w:w="760" w:type="dxa"/>
            <w:vAlign w:val="bottom"/>
            <w:tcBorders>
              <w:bottom w:val="single" w:sz="8" w:color="auto"/>
            </w:tcBorders>
            <w:shd w:val="clear" w:color="auto" w:fill="CCEEFF"/>
          </w:tcPr>
          <w:p>
            <w:pPr>
              <w:spacing w:after="0"/>
              <w:rPr>
                <w:sz w:val="6"/>
                <w:szCs w:val="6"/>
                <w:color w:val="auto"/>
              </w:rPr>
            </w:pPr>
          </w:p>
        </w:tc>
        <w:tc>
          <w:tcPr>
            <w:tcW w:w="100" w:type="dxa"/>
            <w:vAlign w:val="bottom"/>
            <w:tcBorders>
              <w:bottom w:val="single" w:sz="8" w:color="CCEEFF"/>
            </w:tcBorders>
            <w:shd w:val="clear" w:color="auto" w:fill="CCEEFF"/>
          </w:tcPr>
          <w:p>
            <w:pPr>
              <w:spacing w:after="0"/>
              <w:rPr>
                <w:sz w:val="6"/>
                <w:szCs w:val="6"/>
                <w:color w:val="auto"/>
              </w:rPr>
            </w:pPr>
          </w:p>
        </w:tc>
        <w:tc>
          <w:tcPr>
            <w:tcW w:w="160" w:type="dxa"/>
            <w:vAlign w:val="bottom"/>
            <w:tcBorders>
              <w:bottom w:val="single" w:sz="8" w:color="CCEEFF"/>
            </w:tcBorders>
            <w:shd w:val="clear" w:color="auto" w:fill="CCEEFF"/>
          </w:tcPr>
          <w:p>
            <w:pPr>
              <w:spacing w:after="0"/>
              <w:rPr>
                <w:sz w:val="6"/>
                <w:szCs w:val="6"/>
                <w:color w:val="auto"/>
              </w:rPr>
            </w:pPr>
          </w:p>
        </w:tc>
        <w:tc>
          <w:tcPr>
            <w:tcW w:w="820" w:type="dxa"/>
            <w:vAlign w:val="bottom"/>
            <w:tcBorders>
              <w:bottom w:val="single" w:sz="8" w:color="CCEEFF"/>
            </w:tcBorders>
            <w:shd w:val="clear" w:color="auto" w:fill="CCEEFF"/>
          </w:tcPr>
          <w:p>
            <w:pPr>
              <w:spacing w:after="0"/>
              <w:rPr>
                <w:sz w:val="6"/>
                <w:szCs w:val="6"/>
                <w:color w:val="auto"/>
              </w:rPr>
            </w:pPr>
          </w:p>
        </w:tc>
        <w:tc>
          <w:tcPr>
            <w:tcW w:w="360" w:type="dxa"/>
            <w:vAlign w:val="bottom"/>
            <w:tcBorders>
              <w:bottom w:val="single" w:sz="8" w:color="CCEEFF"/>
            </w:tcBorders>
            <w:shd w:val="clear" w:color="auto" w:fill="CCEEFF"/>
          </w:tcPr>
          <w:p>
            <w:pPr>
              <w:spacing w:after="0"/>
              <w:rPr>
                <w:sz w:val="6"/>
                <w:szCs w:val="6"/>
                <w:color w:val="auto"/>
              </w:rPr>
            </w:pPr>
          </w:p>
        </w:tc>
        <w:tc>
          <w:tcPr>
            <w:tcW w:w="140" w:type="dxa"/>
            <w:vAlign w:val="bottom"/>
            <w:tcBorders>
              <w:bottom w:val="single" w:sz="8" w:color="CCEEFF"/>
            </w:tcBorders>
            <w:shd w:val="clear" w:color="auto" w:fill="CCEEFF"/>
          </w:tcPr>
          <w:p>
            <w:pPr>
              <w:spacing w:after="0"/>
              <w:rPr>
                <w:sz w:val="6"/>
                <w:szCs w:val="6"/>
                <w:color w:val="auto"/>
              </w:rPr>
            </w:pPr>
          </w:p>
        </w:tc>
        <w:tc>
          <w:tcPr>
            <w:tcW w:w="760" w:type="dxa"/>
            <w:vAlign w:val="bottom"/>
            <w:tcBorders>
              <w:bottom w:val="single" w:sz="8" w:color="CCEEFF"/>
            </w:tcBorders>
            <w:shd w:val="clear" w:color="auto" w:fill="CCEEFF"/>
          </w:tcPr>
          <w:p>
            <w:pPr>
              <w:spacing w:after="0"/>
              <w:rPr>
                <w:sz w:val="6"/>
                <w:szCs w:val="6"/>
                <w:color w:val="auto"/>
              </w:rPr>
            </w:pPr>
          </w:p>
        </w:tc>
        <w:tc>
          <w:tcPr>
            <w:tcW w:w="240" w:type="dxa"/>
            <w:vAlign w:val="bottom"/>
            <w:tcBorders>
              <w:bottom w:val="single" w:sz="8" w:color="CCEEFF"/>
            </w:tcBorders>
            <w:shd w:val="clear" w:color="auto" w:fill="CCEEFF"/>
          </w:tcPr>
          <w:p>
            <w:pPr>
              <w:spacing w:after="0"/>
              <w:rPr>
                <w:sz w:val="6"/>
                <w:szCs w:val="6"/>
                <w:color w:val="auto"/>
              </w:rPr>
            </w:pPr>
          </w:p>
        </w:tc>
        <w:tc>
          <w:tcPr>
            <w:tcW w:w="140" w:type="dxa"/>
            <w:vAlign w:val="bottom"/>
            <w:tcBorders>
              <w:bottom w:val="single" w:sz="8" w:color="CCEEFF"/>
            </w:tcBorders>
            <w:shd w:val="clear" w:color="auto" w:fill="CCEEFF"/>
          </w:tcPr>
          <w:p>
            <w:pPr>
              <w:spacing w:after="0"/>
              <w:rPr>
                <w:sz w:val="6"/>
                <w:szCs w:val="6"/>
                <w:color w:val="auto"/>
              </w:rPr>
            </w:pPr>
          </w:p>
        </w:tc>
        <w:tc>
          <w:tcPr>
            <w:tcW w:w="740" w:type="dxa"/>
            <w:vAlign w:val="bottom"/>
            <w:tcBorders>
              <w:bottom w:val="single" w:sz="8" w:color="CCEEFF"/>
            </w:tcBorders>
            <w:shd w:val="clear" w:color="auto" w:fill="CCEEFF"/>
          </w:tcPr>
          <w:p>
            <w:pPr>
              <w:spacing w:after="0"/>
              <w:rPr>
                <w:sz w:val="6"/>
                <w:szCs w:val="6"/>
                <w:color w:val="auto"/>
              </w:rPr>
            </w:pPr>
          </w:p>
        </w:tc>
        <w:tc>
          <w:tcPr>
            <w:tcW w:w="120" w:type="dxa"/>
            <w:vAlign w:val="bottom"/>
            <w:tcBorders>
              <w:bottom w:val="single" w:sz="8" w:color="CCEEFF"/>
            </w:tcBorders>
            <w:shd w:val="clear" w:color="auto" w:fill="CCEEFF"/>
          </w:tcPr>
          <w:p>
            <w:pPr>
              <w:spacing w:after="0"/>
              <w:rPr>
                <w:sz w:val="6"/>
                <w:szCs w:val="6"/>
                <w:color w:val="auto"/>
              </w:rPr>
            </w:pPr>
          </w:p>
        </w:tc>
        <w:tc>
          <w:tcPr>
            <w:tcW w:w="140" w:type="dxa"/>
            <w:vAlign w:val="bottom"/>
            <w:tcBorders>
              <w:bottom w:val="single" w:sz="8" w:color="CCEEFF"/>
            </w:tcBorders>
            <w:shd w:val="clear" w:color="auto" w:fill="CCEEFF"/>
          </w:tcPr>
          <w:p>
            <w:pPr>
              <w:spacing w:after="0"/>
              <w:rPr>
                <w:sz w:val="6"/>
                <w:szCs w:val="6"/>
                <w:color w:val="auto"/>
              </w:rPr>
            </w:pPr>
          </w:p>
        </w:tc>
        <w:tc>
          <w:tcPr>
            <w:tcW w:w="740" w:type="dxa"/>
            <w:vAlign w:val="bottom"/>
            <w:tcBorders>
              <w:bottom w:val="single" w:sz="8" w:color="CCEEFF"/>
            </w:tcBorders>
            <w:shd w:val="clear" w:color="auto" w:fill="CCEEFF"/>
          </w:tcPr>
          <w:p>
            <w:pPr>
              <w:spacing w:after="0"/>
              <w:rPr>
                <w:sz w:val="6"/>
                <w:szCs w:val="6"/>
                <w:color w:val="auto"/>
              </w:rPr>
            </w:pPr>
          </w:p>
        </w:tc>
        <w:tc>
          <w:tcPr>
            <w:tcW w:w="260" w:type="dxa"/>
            <w:vAlign w:val="bottom"/>
            <w:tcBorders>
              <w:bottom w:val="single" w:sz="8" w:color="CCEEFF"/>
            </w:tcBorders>
            <w:shd w:val="clear" w:color="auto" w:fill="CCEEFF"/>
          </w:tcPr>
          <w:p>
            <w:pPr>
              <w:spacing w:after="0"/>
              <w:rPr>
                <w:sz w:val="6"/>
                <w:szCs w:val="6"/>
                <w:color w:val="auto"/>
              </w:rPr>
            </w:pPr>
          </w:p>
        </w:tc>
        <w:tc>
          <w:tcPr>
            <w:tcW w:w="100" w:type="dxa"/>
            <w:vAlign w:val="bottom"/>
            <w:tcBorders>
              <w:bottom w:val="single" w:sz="8" w:color="auto"/>
            </w:tcBorders>
            <w:shd w:val="clear" w:color="auto" w:fill="CCEEFF"/>
          </w:tcPr>
          <w:p>
            <w:pPr>
              <w:spacing w:after="0"/>
              <w:rPr>
                <w:sz w:val="6"/>
                <w:szCs w:val="6"/>
                <w:color w:val="auto"/>
              </w:rPr>
            </w:pPr>
          </w:p>
        </w:tc>
        <w:tc>
          <w:tcPr>
            <w:tcW w:w="820" w:type="dxa"/>
            <w:vAlign w:val="bottom"/>
            <w:tcBorders>
              <w:bottom w:val="single" w:sz="8" w:color="auto"/>
            </w:tcBorders>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358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Weighted-average common shares outstanding (Note</w:t>
            </w:r>
          </w:p>
        </w:tc>
        <w:tc>
          <w:tcPr>
            <w:tcW w:w="1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358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35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9):</w:t>
            </w: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3580" w:type="dxa"/>
            <w:vAlign w:val="bottom"/>
          </w:tcPr>
          <w:p>
            <w:pPr>
              <w:spacing w:after="0"/>
              <w:rPr>
                <w:sz w:val="9"/>
                <w:szCs w:val="9"/>
                <w:color w:val="auto"/>
              </w:rPr>
            </w:pPr>
          </w:p>
        </w:tc>
        <w:tc>
          <w:tcPr>
            <w:tcW w:w="140" w:type="dxa"/>
            <w:vAlign w:val="bottom"/>
          </w:tcPr>
          <w:p>
            <w:pPr>
              <w:spacing w:after="0"/>
              <w:rPr>
                <w:sz w:val="9"/>
                <w:szCs w:val="9"/>
                <w:color w:val="auto"/>
              </w:rPr>
            </w:pPr>
          </w:p>
        </w:tc>
        <w:tc>
          <w:tcPr>
            <w:tcW w:w="740" w:type="dxa"/>
            <w:vAlign w:val="bottom"/>
          </w:tcPr>
          <w:p>
            <w:pPr>
              <w:spacing w:after="0"/>
              <w:rPr>
                <w:sz w:val="9"/>
                <w:szCs w:val="9"/>
                <w:color w:val="auto"/>
              </w:rPr>
            </w:pPr>
          </w:p>
        </w:tc>
        <w:tc>
          <w:tcPr>
            <w:tcW w:w="100" w:type="dxa"/>
            <w:vAlign w:val="bottom"/>
          </w:tcPr>
          <w:p>
            <w:pPr>
              <w:spacing w:after="0"/>
              <w:rPr>
                <w:sz w:val="9"/>
                <w:szCs w:val="9"/>
                <w:color w:val="auto"/>
              </w:rPr>
            </w:pPr>
          </w:p>
        </w:tc>
        <w:tc>
          <w:tcPr>
            <w:tcW w:w="880" w:type="dxa"/>
            <w:vAlign w:val="bottom"/>
            <w:gridSpan w:val="2"/>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20" w:type="dxa"/>
            <w:vAlign w:val="bottom"/>
          </w:tcPr>
          <w:p>
            <w:pPr>
              <w:spacing w:after="0"/>
              <w:rPr>
                <w:sz w:val="9"/>
                <w:szCs w:val="9"/>
                <w:color w:val="auto"/>
              </w:rPr>
            </w:pPr>
          </w:p>
        </w:tc>
        <w:tc>
          <w:tcPr>
            <w:tcW w:w="36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40" w:type="dxa"/>
            <w:vAlign w:val="bottom"/>
          </w:tcPr>
          <w:p>
            <w:pPr>
              <w:spacing w:after="0"/>
              <w:rPr>
                <w:sz w:val="9"/>
                <w:szCs w:val="9"/>
                <w:color w:val="auto"/>
              </w:rPr>
            </w:pPr>
          </w:p>
        </w:tc>
        <w:tc>
          <w:tcPr>
            <w:tcW w:w="7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40" w:type="dxa"/>
            <w:vAlign w:val="bottom"/>
          </w:tcPr>
          <w:p>
            <w:pPr>
              <w:spacing w:after="0"/>
              <w:rPr>
                <w:sz w:val="9"/>
                <w:szCs w:val="9"/>
                <w:color w:val="auto"/>
              </w:rPr>
            </w:pPr>
          </w:p>
        </w:tc>
        <w:tc>
          <w:tcPr>
            <w:tcW w:w="260" w:type="dxa"/>
            <w:vAlign w:val="bottom"/>
          </w:tcPr>
          <w:p>
            <w:pPr>
              <w:spacing w:after="0"/>
              <w:rPr>
                <w:sz w:val="9"/>
                <w:szCs w:val="9"/>
                <w:color w:val="auto"/>
              </w:rPr>
            </w:pPr>
          </w:p>
        </w:tc>
        <w:tc>
          <w:tcPr>
            <w:tcW w:w="920" w:type="dxa"/>
            <w:vAlign w:val="bottom"/>
            <w:gridSpan w:val="2"/>
          </w:tcPr>
          <w:p>
            <w:pPr>
              <w:spacing w:after="0"/>
              <w:rPr>
                <w:sz w:val="9"/>
                <w:szCs w:val="9"/>
                <w:color w:val="auto"/>
              </w:rPr>
            </w:pPr>
          </w:p>
        </w:tc>
        <w:tc>
          <w:tcPr>
            <w:tcW w:w="0" w:type="dxa"/>
            <w:vAlign w:val="bottom"/>
          </w:tcPr>
          <w:p>
            <w:pPr>
              <w:spacing w:after="0"/>
              <w:rPr>
                <w:sz w:val="1"/>
                <w:szCs w:val="1"/>
                <w:color w:val="auto"/>
              </w:rPr>
            </w:pPr>
          </w:p>
        </w:tc>
      </w:tr>
      <w:tr>
        <w:trPr>
          <w:trHeight w:val="224"/>
        </w:trPr>
        <w:tc>
          <w:tcPr>
            <w:tcW w:w="35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Basic</w:t>
            </w:r>
          </w:p>
        </w:tc>
        <w:tc>
          <w:tcPr>
            <w:tcW w:w="140" w:type="dxa"/>
            <w:vAlign w:val="bottom"/>
            <w:shd w:val="clear" w:color="auto" w:fill="CCEEFF"/>
          </w:tcPr>
          <w:p>
            <w:pPr>
              <w:spacing w:after="0"/>
              <w:rPr>
                <w:sz w:val="19"/>
                <w:szCs w:val="19"/>
                <w:color w:val="auto"/>
              </w:rPr>
            </w:pPr>
          </w:p>
        </w:tc>
        <w:tc>
          <w:tcPr>
            <w:tcW w:w="7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80" w:type="dxa"/>
            <w:vAlign w:val="bottom"/>
            <w:gridSpan w:val="2"/>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72,265,794</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40" w:type="dxa"/>
            <w:vAlign w:val="bottom"/>
            <w:shd w:val="clear" w:color="auto" w:fill="CCEEFF"/>
          </w:tcPr>
          <w:p>
            <w:pPr>
              <w:spacing w:after="0"/>
              <w:rPr>
                <w:sz w:val="19"/>
                <w:szCs w:val="19"/>
                <w:color w:val="auto"/>
              </w:rPr>
            </w:pPr>
          </w:p>
        </w:tc>
        <w:tc>
          <w:tcPr>
            <w:tcW w:w="1180" w:type="dxa"/>
            <w:vAlign w:val="bottom"/>
            <w:gridSpan w:val="3"/>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127,024,248</w:t>
            </w:r>
          </w:p>
        </w:tc>
        <w:tc>
          <w:tcPr>
            <w:tcW w:w="0" w:type="dxa"/>
            <w:vAlign w:val="bottom"/>
          </w:tcPr>
          <w:p>
            <w:pPr>
              <w:spacing w:after="0"/>
              <w:rPr>
                <w:sz w:val="1"/>
                <w:szCs w:val="1"/>
                <w:color w:val="auto"/>
              </w:rPr>
            </w:pPr>
          </w:p>
        </w:tc>
      </w:tr>
      <w:tr>
        <w:trPr>
          <w:trHeight w:val="101"/>
        </w:trPr>
        <w:tc>
          <w:tcPr>
            <w:tcW w:w="3580" w:type="dxa"/>
            <w:vAlign w:val="bottom"/>
            <w:tcBorders>
              <w:bottom w:val="single" w:sz="8" w:color="CCEEFF"/>
            </w:tcBorders>
            <w:shd w:val="clear" w:color="auto" w:fill="CCEEFF"/>
          </w:tcPr>
          <w:p>
            <w:pPr>
              <w:spacing w:after="0"/>
              <w:rPr>
                <w:sz w:val="8"/>
                <w:szCs w:val="8"/>
                <w:color w:val="auto"/>
              </w:rPr>
            </w:pPr>
          </w:p>
        </w:tc>
        <w:tc>
          <w:tcPr>
            <w:tcW w:w="140" w:type="dxa"/>
            <w:vAlign w:val="bottom"/>
            <w:tcBorders>
              <w:bottom w:val="single" w:sz="8" w:color="CCEEFF"/>
            </w:tcBorders>
            <w:shd w:val="clear" w:color="auto" w:fill="CCEEFF"/>
          </w:tcPr>
          <w:p>
            <w:pPr>
              <w:spacing w:after="0"/>
              <w:rPr>
                <w:sz w:val="8"/>
                <w:szCs w:val="8"/>
                <w:color w:val="auto"/>
              </w:rPr>
            </w:pPr>
          </w:p>
        </w:tc>
        <w:tc>
          <w:tcPr>
            <w:tcW w:w="740" w:type="dxa"/>
            <w:vAlign w:val="bottom"/>
            <w:tcBorders>
              <w:bottom w:val="single" w:sz="8" w:color="CCEEFF"/>
            </w:tcBorders>
            <w:shd w:val="clear" w:color="auto" w:fill="CCEEFF"/>
          </w:tcPr>
          <w:p>
            <w:pPr>
              <w:spacing w:after="0"/>
              <w:rPr>
                <w:sz w:val="8"/>
                <w:szCs w:val="8"/>
                <w:color w:val="auto"/>
              </w:rPr>
            </w:pPr>
          </w:p>
        </w:tc>
        <w:tc>
          <w:tcPr>
            <w:tcW w:w="100" w:type="dxa"/>
            <w:vAlign w:val="bottom"/>
            <w:tcBorders>
              <w:bottom w:val="single" w:sz="8" w:color="CCEEFF"/>
            </w:tcBorders>
            <w:shd w:val="clear" w:color="auto" w:fill="CCEEFF"/>
          </w:tcPr>
          <w:p>
            <w:pPr>
              <w:spacing w:after="0"/>
              <w:rPr>
                <w:sz w:val="8"/>
                <w:szCs w:val="8"/>
                <w:color w:val="auto"/>
              </w:rPr>
            </w:pPr>
          </w:p>
        </w:tc>
        <w:tc>
          <w:tcPr>
            <w:tcW w:w="880" w:type="dxa"/>
            <w:vAlign w:val="bottom"/>
            <w:tcBorders>
              <w:bottom w:val="single" w:sz="8" w:color="auto"/>
            </w:tcBorders>
            <w:gridSpan w:val="2"/>
            <w:shd w:val="clear" w:color="auto" w:fill="CCEEFF"/>
          </w:tcPr>
          <w:p>
            <w:pPr>
              <w:spacing w:after="0"/>
              <w:rPr>
                <w:sz w:val="8"/>
                <w:szCs w:val="8"/>
                <w:color w:val="auto"/>
              </w:rPr>
            </w:pPr>
          </w:p>
        </w:tc>
        <w:tc>
          <w:tcPr>
            <w:tcW w:w="100" w:type="dxa"/>
            <w:vAlign w:val="bottom"/>
            <w:tcBorders>
              <w:bottom w:val="single" w:sz="8" w:color="CCEEFF"/>
            </w:tcBorders>
            <w:shd w:val="clear" w:color="auto" w:fill="CCEEFF"/>
          </w:tcPr>
          <w:p>
            <w:pPr>
              <w:spacing w:after="0"/>
              <w:rPr>
                <w:sz w:val="8"/>
                <w:szCs w:val="8"/>
                <w:color w:val="auto"/>
              </w:rPr>
            </w:pPr>
          </w:p>
        </w:tc>
        <w:tc>
          <w:tcPr>
            <w:tcW w:w="160" w:type="dxa"/>
            <w:vAlign w:val="bottom"/>
            <w:tcBorders>
              <w:bottom w:val="single" w:sz="8" w:color="CCEEFF"/>
            </w:tcBorders>
            <w:shd w:val="clear" w:color="auto" w:fill="CCEEFF"/>
          </w:tcPr>
          <w:p>
            <w:pPr>
              <w:spacing w:after="0"/>
              <w:rPr>
                <w:sz w:val="8"/>
                <w:szCs w:val="8"/>
                <w:color w:val="auto"/>
              </w:rPr>
            </w:pPr>
          </w:p>
        </w:tc>
        <w:tc>
          <w:tcPr>
            <w:tcW w:w="820" w:type="dxa"/>
            <w:vAlign w:val="bottom"/>
            <w:tcBorders>
              <w:bottom w:val="single" w:sz="8" w:color="CCEEFF"/>
            </w:tcBorders>
            <w:shd w:val="clear" w:color="auto" w:fill="CCEEFF"/>
          </w:tcPr>
          <w:p>
            <w:pPr>
              <w:spacing w:after="0"/>
              <w:rPr>
                <w:sz w:val="8"/>
                <w:szCs w:val="8"/>
                <w:color w:val="auto"/>
              </w:rPr>
            </w:pPr>
          </w:p>
        </w:tc>
        <w:tc>
          <w:tcPr>
            <w:tcW w:w="360" w:type="dxa"/>
            <w:vAlign w:val="bottom"/>
            <w:tcBorders>
              <w:bottom w:val="single" w:sz="8" w:color="CCEEFF"/>
            </w:tcBorders>
            <w:shd w:val="clear" w:color="auto" w:fill="CCEEFF"/>
          </w:tcPr>
          <w:p>
            <w:pPr>
              <w:spacing w:after="0"/>
              <w:rPr>
                <w:sz w:val="8"/>
                <w:szCs w:val="8"/>
                <w:color w:val="auto"/>
              </w:rPr>
            </w:pPr>
          </w:p>
        </w:tc>
        <w:tc>
          <w:tcPr>
            <w:tcW w:w="140" w:type="dxa"/>
            <w:vAlign w:val="bottom"/>
            <w:tcBorders>
              <w:bottom w:val="single" w:sz="8" w:color="CCEEFF"/>
            </w:tcBorders>
            <w:shd w:val="clear" w:color="auto" w:fill="CCEEFF"/>
          </w:tcPr>
          <w:p>
            <w:pPr>
              <w:spacing w:after="0"/>
              <w:rPr>
                <w:sz w:val="8"/>
                <w:szCs w:val="8"/>
                <w:color w:val="auto"/>
              </w:rPr>
            </w:pPr>
          </w:p>
        </w:tc>
        <w:tc>
          <w:tcPr>
            <w:tcW w:w="760" w:type="dxa"/>
            <w:vAlign w:val="bottom"/>
            <w:tcBorders>
              <w:bottom w:val="single" w:sz="8" w:color="CCEEFF"/>
            </w:tcBorders>
            <w:shd w:val="clear" w:color="auto" w:fill="CCEEFF"/>
          </w:tcPr>
          <w:p>
            <w:pPr>
              <w:spacing w:after="0"/>
              <w:rPr>
                <w:sz w:val="8"/>
                <w:szCs w:val="8"/>
                <w:color w:val="auto"/>
              </w:rPr>
            </w:pPr>
          </w:p>
        </w:tc>
        <w:tc>
          <w:tcPr>
            <w:tcW w:w="240" w:type="dxa"/>
            <w:vAlign w:val="bottom"/>
            <w:tcBorders>
              <w:bottom w:val="single" w:sz="8" w:color="CCEEFF"/>
            </w:tcBorders>
            <w:shd w:val="clear" w:color="auto" w:fill="CCEEFF"/>
          </w:tcPr>
          <w:p>
            <w:pPr>
              <w:spacing w:after="0"/>
              <w:rPr>
                <w:sz w:val="8"/>
                <w:szCs w:val="8"/>
                <w:color w:val="auto"/>
              </w:rPr>
            </w:pPr>
          </w:p>
        </w:tc>
        <w:tc>
          <w:tcPr>
            <w:tcW w:w="140" w:type="dxa"/>
            <w:vAlign w:val="bottom"/>
            <w:tcBorders>
              <w:bottom w:val="single" w:sz="8" w:color="CCEEFF"/>
            </w:tcBorders>
            <w:shd w:val="clear" w:color="auto" w:fill="CCEEFF"/>
          </w:tcPr>
          <w:p>
            <w:pPr>
              <w:spacing w:after="0"/>
              <w:rPr>
                <w:sz w:val="8"/>
                <w:szCs w:val="8"/>
                <w:color w:val="auto"/>
              </w:rPr>
            </w:pPr>
          </w:p>
        </w:tc>
        <w:tc>
          <w:tcPr>
            <w:tcW w:w="740" w:type="dxa"/>
            <w:vAlign w:val="bottom"/>
            <w:tcBorders>
              <w:bottom w:val="single" w:sz="8" w:color="CCEEFF"/>
            </w:tcBorders>
            <w:shd w:val="clear" w:color="auto" w:fill="CCEEFF"/>
          </w:tcPr>
          <w:p>
            <w:pPr>
              <w:spacing w:after="0"/>
              <w:rPr>
                <w:sz w:val="8"/>
                <w:szCs w:val="8"/>
                <w:color w:val="auto"/>
              </w:rPr>
            </w:pPr>
          </w:p>
        </w:tc>
        <w:tc>
          <w:tcPr>
            <w:tcW w:w="120" w:type="dxa"/>
            <w:vAlign w:val="bottom"/>
            <w:tcBorders>
              <w:bottom w:val="single" w:sz="8" w:color="CCEEFF"/>
            </w:tcBorders>
            <w:shd w:val="clear" w:color="auto" w:fill="CCEEFF"/>
          </w:tcPr>
          <w:p>
            <w:pPr>
              <w:spacing w:after="0"/>
              <w:rPr>
                <w:sz w:val="8"/>
                <w:szCs w:val="8"/>
                <w:color w:val="auto"/>
              </w:rPr>
            </w:pPr>
          </w:p>
        </w:tc>
        <w:tc>
          <w:tcPr>
            <w:tcW w:w="140" w:type="dxa"/>
            <w:vAlign w:val="bottom"/>
            <w:tcBorders>
              <w:bottom w:val="single" w:sz="8" w:color="CCEEFF"/>
            </w:tcBorders>
            <w:shd w:val="clear" w:color="auto" w:fill="CCEEFF"/>
          </w:tcPr>
          <w:p>
            <w:pPr>
              <w:spacing w:after="0"/>
              <w:rPr>
                <w:sz w:val="8"/>
                <w:szCs w:val="8"/>
                <w:color w:val="auto"/>
              </w:rPr>
            </w:pPr>
          </w:p>
        </w:tc>
        <w:tc>
          <w:tcPr>
            <w:tcW w:w="740" w:type="dxa"/>
            <w:vAlign w:val="bottom"/>
            <w:tcBorders>
              <w:bottom w:val="single" w:sz="8" w:color="CCEEFF"/>
            </w:tcBorders>
            <w:shd w:val="clear" w:color="auto" w:fill="CCEEFF"/>
          </w:tcPr>
          <w:p>
            <w:pPr>
              <w:spacing w:after="0"/>
              <w:rPr>
                <w:sz w:val="8"/>
                <w:szCs w:val="8"/>
                <w:color w:val="auto"/>
              </w:rPr>
            </w:pPr>
          </w:p>
        </w:tc>
        <w:tc>
          <w:tcPr>
            <w:tcW w:w="260" w:type="dxa"/>
            <w:vAlign w:val="bottom"/>
            <w:tcBorders>
              <w:bottom w:val="single" w:sz="8" w:color="CCEEFF"/>
            </w:tcBorders>
            <w:shd w:val="clear" w:color="auto" w:fill="CCEEFF"/>
          </w:tcPr>
          <w:p>
            <w:pPr>
              <w:spacing w:after="0"/>
              <w:rPr>
                <w:sz w:val="8"/>
                <w:szCs w:val="8"/>
                <w:color w:val="auto"/>
              </w:rPr>
            </w:pPr>
          </w:p>
        </w:tc>
        <w:tc>
          <w:tcPr>
            <w:tcW w:w="920" w:type="dxa"/>
            <w:vAlign w:val="bottom"/>
            <w:tcBorders>
              <w:bottom w:val="single" w:sz="8" w:color="auto"/>
            </w:tcBorders>
            <w:gridSpan w:val="2"/>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358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Diluted</w:t>
            </w:r>
          </w:p>
        </w:tc>
        <w:tc>
          <w:tcPr>
            <w:tcW w:w="1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8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920" w:type="dxa"/>
            <w:vAlign w:val="bottom"/>
            <w:tcBorders>
              <w:bottom w:val="single" w:sz="8" w:color="auto"/>
            </w:tcBorders>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3580" w:type="dxa"/>
            <w:vAlign w:val="bottom"/>
            <w:vMerge w:val="continue"/>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80" w:type="dxa"/>
            <w:vAlign w:val="bottom"/>
            <w:gridSpan w:val="2"/>
          </w:tcPr>
          <w:p>
            <w:pPr>
              <w:jc w:val="right"/>
              <w:ind w:right="19"/>
              <w:spacing w:after="0"/>
              <w:rPr>
                <w:sz w:val="20"/>
                <w:szCs w:val="20"/>
                <w:color w:val="auto"/>
              </w:rPr>
            </w:pPr>
            <w:r>
              <w:rPr>
                <w:rFonts w:ascii="Times New Roman" w:cs="Times New Roman" w:eastAsia="Times New Roman" w:hAnsi="Times New Roman"/>
                <w:sz w:val="16"/>
                <w:szCs w:val="16"/>
                <w:color w:val="auto"/>
              </w:rPr>
              <w:t>72,265,794</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180" w:type="dxa"/>
            <w:vAlign w:val="bottom"/>
            <w:gridSpan w:val="3"/>
          </w:tcPr>
          <w:p>
            <w:pPr>
              <w:ind w:left="280"/>
              <w:spacing w:after="0"/>
              <w:rPr>
                <w:sz w:val="20"/>
                <w:szCs w:val="20"/>
                <w:color w:val="auto"/>
              </w:rPr>
            </w:pPr>
            <w:r>
              <w:rPr>
                <w:rFonts w:ascii="Times New Roman" w:cs="Times New Roman" w:eastAsia="Times New Roman" w:hAnsi="Times New Roman"/>
                <w:sz w:val="16"/>
                <w:szCs w:val="16"/>
                <w:color w:val="auto"/>
              </w:rPr>
              <w:t>127,024,248</w:t>
            </w:r>
          </w:p>
        </w:tc>
        <w:tc>
          <w:tcPr>
            <w:tcW w:w="0" w:type="dxa"/>
            <w:vAlign w:val="bottom"/>
          </w:tcPr>
          <w:p>
            <w:pPr>
              <w:spacing w:after="0"/>
              <w:rPr>
                <w:sz w:val="1"/>
                <w:szCs w:val="1"/>
                <w:color w:val="auto"/>
              </w:rPr>
            </w:pPr>
          </w:p>
        </w:tc>
      </w:tr>
      <w:tr>
        <w:trPr>
          <w:trHeight w:val="74"/>
        </w:trPr>
        <w:tc>
          <w:tcPr>
            <w:tcW w:w="3580" w:type="dxa"/>
            <w:vAlign w:val="bottom"/>
          </w:tcPr>
          <w:p>
            <w:pPr>
              <w:spacing w:after="0"/>
              <w:rPr>
                <w:sz w:val="6"/>
                <w:szCs w:val="6"/>
                <w:color w:val="auto"/>
              </w:rPr>
            </w:pPr>
          </w:p>
        </w:tc>
        <w:tc>
          <w:tcPr>
            <w:tcW w:w="140" w:type="dxa"/>
            <w:vAlign w:val="bottom"/>
          </w:tcPr>
          <w:p>
            <w:pPr>
              <w:spacing w:after="0"/>
              <w:rPr>
                <w:sz w:val="6"/>
                <w:szCs w:val="6"/>
                <w:color w:val="auto"/>
              </w:rPr>
            </w:pPr>
          </w:p>
        </w:tc>
        <w:tc>
          <w:tcPr>
            <w:tcW w:w="74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760" w:type="dxa"/>
            <w:vAlign w:val="bottom"/>
            <w:tcBorders>
              <w:bottom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820" w:type="dxa"/>
            <w:vAlign w:val="bottom"/>
          </w:tcPr>
          <w:p>
            <w:pPr>
              <w:spacing w:after="0"/>
              <w:rPr>
                <w:sz w:val="6"/>
                <w:szCs w:val="6"/>
                <w:color w:val="auto"/>
              </w:rPr>
            </w:pPr>
          </w:p>
        </w:tc>
        <w:tc>
          <w:tcPr>
            <w:tcW w:w="360" w:type="dxa"/>
            <w:vAlign w:val="bottom"/>
          </w:tcPr>
          <w:p>
            <w:pPr>
              <w:spacing w:after="0"/>
              <w:rPr>
                <w:sz w:val="6"/>
                <w:szCs w:val="6"/>
                <w:color w:val="auto"/>
              </w:rPr>
            </w:pPr>
          </w:p>
        </w:tc>
        <w:tc>
          <w:tcPr>
            <w:tcW w:w="140" w:type="dxa"/>
            <w:vAlign w:val="bottom"/>
          </w:tcPr>
          <w:p>
            <w:pPr>
              <w:spacing w:after="0"/>
              <w:rPr>
                <w:sz w:val="6"/>
                <w:szCs w:val="6"/>
                <w:color w:val="auto"/>
              </w:rPr>
            </w:pPr>
          </w:p>
        </w:tc>
        <w:tc>
          <w:tcPr>
            <w:tcW w:w="760" w:type="dxa"/>
            <w:vAlign w:val="bottom"/>
          </w:tcPr>
          <w:p>
            <w:pPr>
              <w:spacing w:after="0"/>
              <w:rPr>
                <w:sz w:val="6"/>
                <w:szCs w:val="6"/>
                <w:color w:val="auto"/>
              </w:rPr>
            </w:pPr>
          </w:p>
        </w:tc>
        <w:tc>
          <w:tcPr>
            <w:tcW w:w="240" w:type="dxa"/>
            <w:vAlign w:val="bottom"/>
          </w:tcPr>
          <w:p>
            <w:pPr>
              <w:spacing w:after="0"/>
              <w:rPr>
                <w:sz w:val="6"/>
                <w:szCs w:val="6"/>
                <w:color w:val="auto"/>
              </w:rPr>
            </w:pPr>
          </w:p>
        </w:tc>
        <w:tc>
          <w:tcPr>
            <w:tcW w:w="140" w:type="dxa"/>
            <w:vAlign w:val="bottom"/>
          </w:tcPr>
          <w:p>
            <w:pPr>
              <w:spacing w:after="0"/>
              <w:rPr>
                <w:sz w:val="6"/>
                <w:szCs w:val="6"/>
                <w:color w:val="auto"/>
              </w:rPr>
            </w:pPr>
          </w:p>
        </w:tc>
        <w:tc>
          <w:tcPr>
            <w:tcW w:w="7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740" w:type="dxa"/>
            <w:vAlign w:val="bottom"/>
          </w:tcPr>
          <w:p>
            <w:pPr>
              <w:spacing w:after="0"/>
              <w:rPr>
                <w:sz w:val="6"/>
                <w:szCs w:val="6"/>
                <w:color w:val="auto"/>
              </w:rPr>
            </w:pPr>
          </w:p>
        </w:tc>
        <w:tc>
          <w:tcPr>
            <w:tcW w:w="260" w:type="dxa"/>
            <w:vAlign w:val="bottom"/>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8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3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8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1080"/>
          </w:cols>
          <w:pgMar w:left="360" w:top="797" w:right="459" w:bottom="1440" w:gutter="0" w:footer="0" w:header="0"/>
        </w:sectPr>
      </w:pPr>
    </w:p>
    <w:bookmarkStart w:id="36" w:name="page37"/>
    <w:bookmarkEnd w:id="36"/>
    <w:p>
      <w:pPr>
        <w:jc w:val="center"/>
        <w:spacing w:after="0"/>
        <w:rPr>
          <w:sz w:val="20"/>
          <w:szCs w:val="20"/>
          <w:color w:val="auto"/>
        </w:rPr>
      </w:pPr>
      <w:r>
        <w:rPr>
          <w:rFonts w:ascii="Times New Roman" w:cs="Times New Roman" w:eastAsia="Times New Roman" w:hAnsi="Times New Roman"/>
          <w:sz w:val="22"/>
          <w:szCs w:val="22"/>
          <w:b w:val="1"/>
          <w:bCs w:val="1"/>
          <w:color w:val="auto"/>
        </w:rPr>
        <w:t>UNAUDITED PRO FORMA CONDENSED COMBINED STATEMENT OF OPERATIONS</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FOR THE YEAR ENDED DECEMBER 31, 2017</w:t>
      </w:r>
    </w:p>
    <w:p>
      <w:pPr>
        <w:jc w:val="center"/>
        <w:spacing w:after="0"/>
        <w:rPr>
          <w:sz w:val="20"/>
          <w:szCs w:val="20"/>
          <w:color w:val="auto"/>
        </w:rPr>
      </w:pPr>
      <w:r>
        <w:rPr>
          <w:rFonts w:ascii="Times New Roman" w:cs="Times New Roman" w:eastAsia="Times New Roman" w:hAnsi="Times New Roman"/>
          <w:sz w:val="18"/>
          <w:szCs w:val="18"/>
          <w:i w:val="1"/>
          <w:iCs w:val="1"/>
          <w:color w:val="auto"/>
        </w:rPr>
        <w:t>(in thousands except share and per share amounts)</w:t>
      </w:r>
    </w:p>
    <w:p>
      <w:pPr>
        <w:spacing w:after="0" w:line="13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4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jc w:val="center"/>
              <w:ind w:right="48"/>
              <w:spacing w:after="0"/>
              <w:rPr>
                <w:sz w:val="20"/>
                <w:szCs w:val="20"/>
                <w:color w:val="auto"/>
              </w:rPr>
            </w:pPr>
            <w:r>
              <w:rPr>
                <w:rFonts w:ascii="Times New Roman" w:cs="Times New Roman" w:eastAsia="Times New Roman" w:hAnsi="Times New Roman"/>
                <w:sz w:val="14"/>
                <w:szCs w:val="14"/>
                <w:b w:val="1"/>
                <w:bCs w:val="1"/>
                <w:color w:val="auto"/>
              </w:rPr>
              <w:t>PIPE</w:t>
            </w:r>
          </w:p>
        </w:tc>
        <w:tc>
          <w:tcPr>
            <w:tcW w:w="3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3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Non-</w:t>
            </w:r>
          </w:p>
        </w:tc>
        <w:tc>
          <w:tcPr>
            <w:tcW w:w="88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Investment</w:t>
            </w: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8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Financing &amp;</w:t>
            </w: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center"/>
              <w:ind w:right="68"/>
              <w:spacing w:after="0" w:line="149" w:lineRule="exact"/>
              <w:rPr>
                <w:sz w:val="20"/>
                <w:szCs w:val="20"/>
                <w:color w:val="auto"/>
              </w:rPr>
            </w:pPr>
            <w:r>
              <w:rPr>
                <w:rFonts w:ascii="Times New Roman" w:cs="Times New Roman" w:eastAsia="Times New Roman" w:hAnsi="Times New Roman"/>
                <w:sz w:val="14"/>
                <w:szCs w:val="14"/>
                <w:b w:val="1"/>
                <w:bCs w:val="1"/>
                <w:color w:val="auto"/>
              </w:rPr>
              <w:t>&amp; Closing</w:t>
            </w: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Historical</w:t>
            </w:r>
          </w:p>
        </w:tc>
        <w:tc>
          <w:tcPr>
            <w:tcW w:w="120" w:type="dxa"/>
            <w:vAlign w:val="bottom"/>
          </w:tcPr>
          <w:p>
            <w:pPr>
              <w:spacing w:after="0"/>
              <w:rPr>
                <w:sz w:val="12"/>
                <w:szCs w:val="12"/>
                <w:color w:val="auto"/>
              </w:rPr>
            </w:pPr>
          </w:p>
        </w:tc>
        <w:tc>
          <w:tcPr>
            <w:tcW w:w="800" w:type="dxa"/>
            <w:vAlign w:val="bottom"/>
            <w:vMerge w:val="restart"/>
          </w:tcPr>
          <w:p>
            <w:pPr>
              <w:jc w:val="center"/>
              <w:ind w:right="48"/>
              <w:spacing w:after="0"/>
              <w:rPr>
                <w:sz w:val="20"/>
                <w:szCs w:val="20"/>
                <w:color w:val="auto"/>
              </w:rPr>
            </w:pPr>
            <w:r>
              <w:rPr>
                <w:rFonts w:ascii="Times New Roman" w:cs="Times New Roman" w:eastAsia="Times New Roman" w:hAnsi="Times New Roman"/>
                <w:sz w:val="14"/>
                <w:szCs w:val="14"/>
                <w:b w:val="1"/>
                <w:bCs w:val="1"/>
                <w:color w:val="auto"/>
              </w:rPr>
              <w:t>Historical</w:t>
            </w:r>
          </w:p>
        </w:tc>
        <w:tc>
          <w:tcPr>
            <w:tcW w:w="120" w:type="dxa"/>
            <w:vAlign w:val="bottom"/>
          </w:tcPr>
          <w:p>
            <w:pPr>
              <w:spacing w:after="0"/>
              <w:rPr>
                <w:sz w:val="12"/>
                <w:szCs w:val="12"/>
                <w:color w:val="auto"/>
              </w:rPr>
            </w:pPr>
          </w:p>
        </w:tc>
        <w:tc>
          <w:tcPr>
            <w:tcW w:w="9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Combination</w:t>
            </w:r>
          </w:p>
        </w:tc>
        <w:tc>
          <w:tcPr>
            <w:tcW w:w="460" w:type="dxa"/>
            <w:vAlign w:val="bottom"/>
          </w:tcPr>
          <w:p>
            <w:pPr>
              <w:spacing w:after="0"/>
              <w:rPr>
                <w:sz w:val="12"/>
                <w:szCs w:val="12"/>
                <w:color w:val="auto"/>
              </w:rPr>
            </w:pPr>
          </w:p>
        </w:tc>
        <w:tc>
          <w:tcPr>
            <w:tcW w:w="860" w:type="dxa"/>
            <w:vAlign w:val="bottom"/>
            <w:gridSpan w:val="2"/>
            <w:vMerge w:val="continue"/>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controlling</w:t>
            </w:r>
          </w:p>
        </w:tc>
        <w:tc>
          <w:tcPr>
            <w:tcW w:w="120" w:type="dxa"/>
            <w:vAlign w:val="bottom"/>
          </w:tcPr>
          <w:p>
            <w:pPr>
              <w:spacing w:after="0"/>
              <w:rPr>
                <w:sz w:val="12"/>
                <w:szCs w:val="12"/>
                <w:color w:val="auto"/>
              </w:rPr>
            </w:pPr>
          </w:p>
        </w:tc>
        <w:tc>
          <w:tcPr>
            <w:tcW w:w="760" w:type="dxa"/>
            <w:vAlign w:val="bottom"/>
          </w:tcPr>
          <w:p>
            <w:pPr>
              <w:jc w:val="center"/>
              <w:ind w:right="48"/>
              <w:spacing w:after="0" w:line="149" w:lineRule="exact"/>
              <w:rPr>
                <w:sz w:val="20"/>
                <w:szCs w:val="20"/>
                <w:color w:val="auto"/>
              </w:rPr>
            </w:pPr>
            <w:r>
              <w:rPr>
                <w:rFonts w:ascii="Times New Roman" w:cs="Times New Roman" w:eastAsia="Times New Roman" w:hAnsi="Times New Roman"/>
                <w:sz w:val="14"/>
                <w:szCs w:val="14"/>
                <w:b w:val="1"/>
                <w:bCs w:val="1"/>
                <w:color w:val="auto"/>
                <w:w w:val="99"/>
              </w:rPr>
              <w:t>Date</w:t>
            </w: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jc w:val="center"/>
              <w:ind w:right="68"/>
              <w:spacing w:after="0" w:line="149" w:lineRule="exact"/>
              <w:rPr>
                <w:sz w:val="20"/>
                <w:szCs w:val="20"/>
                <w:color w:val="auto"/>
              </w:rPr>
            </w:pPr>
            <w:r>
              <w:rPr>
                <w:rFonts w:ascii="Times New Roman" w:cs="Times New Roman" w:eastAsia="Times New Roman" w:hAnsi="Times New Roman"/>
                <w:sz w:val="14"/>
                <w:szCs w:val="14"/>
                <w:b w:val="1"/>
                <w:bCs w:val="1"/>
                <w:color w:val="auto"/>
              </w:rPr>
              <w:t>other</w:t>
            </w: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interest</w:t>
            </w:r>
          </w:p>
        </w:tc>
        <w:tc>
          <w:tcPr>
            <w:tcW w:w="88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Redemption</w:t>
            </w: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b w:val="1"/>
                <w:bCs w:val="1"/>
                <w:color w:val="auto"/>
              </w:rPr>
              <w:t>Pro forma</w:t>
            </w:r>
          </w:p>
        </w:tc>
        <w:tc>
          <w:tcPr>
            <w:tcW w:w="0" w:type="dxa"/>
            <w:vAlign w:val="bottom"/>
          </w:tcPr>
          <w:p>
            <w:pPr>
              <w:spacing w:after="0"/>
              <w:rPr>
                <w:sz w:val="1"/>
                <w:szCs w:val="1"/>
                <w:color w:val="auto"/>
              </w:rPr>
            </w:pPr>
          </w:p>
        </w:tc>
      </w:tr>
      <w:tr>
        <w:trPr>
          <w:trHeight w:val="207"/>
        </w:trPr>
        <w:tc>
          <w:tcPr>
            <w:tcW w:w="348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ind w:right="148"/>
              <w:spacing w:after="0"/>
              <w:rPr>
                <w:sz w:val="20"/>
                <w:szCs w:val="20"/>
                <w:color w:val="auto"/>
              </w:rPr>
            </w:pPr>
            <w:r>
              <w:rPr>
                <w:rFonts w:ascii="Times New Roman" w:cs="Times New Roman" w:eastAsia="Times New Roman" w:hAnsi="Times New Roman"/>
                <w:sz w:val="14"/>
                <w:szCs w:val="14"/>
                <w:b w:val="1"/>
                <w:bCs w:val="1"/>
                <w:color w:val="auto"/>
              </w:rPr>
              <w:t>Amneal</w:t>
            </w:r>
          </w:p>
        </w:tc>
        <w:tc>
          <w:tcPr>
            <w:tcW w:w="12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center"/>
              <w:ind w:right="48"/>
              <w:spacing w:after="0"/>
              <w:rPr>
                <w:sz w:val="20"/>
                <w:szCs w:val="20"/>
                <w:color w:val="auto"/>
              </w:rPr>
            </w:pPr>
            <w:r>
              <w:rPr>
                <w:rFonts w:ascii="Times New Roman" w:cs="Times New Roman" w:eastAsia="Times New Roman" w:hAnsi="Times New Roman"/>
                <w:sz w:val="14"/>
                <w:szCs w:val="14"/>
                <w:b w:val="1"/>
                <w:bCs w:val="1"/>
                <w:color w:val="auto"/>
              </w:rPr>
              <w:t>Impax</w:t>
            </w:r>
          </w:p>
        </w:tc>
        <w:tc>
          <w:tcPr>
            <w:tcW w:w="120" w:type="dxa"/>
            <w:vAlign w:val="bottom"/>
          </w:tcPr>
          <w:p>
            <w:pPr>
              <w:spacing w:after="0"/>
              <w:rPr>
                <w:sz w:val="18"/>
                <w:szCs w:val="18"/>
                <w:color w:val="auto"/>
              </w:rPr>
            </w:pPr>
          </w:p>
        </w:tc>
        <w:tc>
          <w:tcPr>
            <w:tcW w:w="90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adjustments</w:t>
            </w:r>
          </w:p>
        </w:tc>
        <w:tc>
          <w:tcPr>
            <w:tcW w:w="460" w:type="dxa"/>
            <w:vAlign w:val="bottom"/>
          </w:tcPr>
          <w:p>
            <w:pPr>
              <w:spacing w:after="0"/>
              <w:rPr>
                <w:sz w:val="18"/>
                <w:szCs w:val="18"/>
                <w:color w:val="auto"/>
              </w:rPr>
            </w:pPr>
          </w:p>
        </w:tc>
        <w:tc>
          <w:tcPr>
            <w:tcW w:w="86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adjustments</w:t>
            </w:r>
          </w:p>
        </w:tc>
        <w:tc>
          <w:tcPr>
            <w:tcW w:w="340" w:type="dxa"/>
            <w:vAlign w:val="bottom"/>
          </w:tcPr>
          <w:p>
            <w:pPr>
              <w:spacing w:after="0"/>
              <w:rPr>
                <w:sz w:val="18"/>
                <w:szCs w:val="18"/>
                <w:color w:val="auto"/>
              </w:rPr>
            </w:pPr>
          </w:p>
        </w:tc>
        <w:tc>
          <w:tcPr>
            <w:tcW w:w="88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adjustments</w:t>
            </w:r>
          </w:p>
        </w:tc>
        <w:tc>
          <w:tcPr>
            <w:tcW w:w="100" w:type="dxa"/>
            <w:vAlign w:val="bottom"/>
          </w:tcPr>
          <w:p>
            <w:pPr>
              <w:spacing w:after="0"/>
              <w:rPr>
                <w:sz w:val="18"/>
                <w:szCs w:val="18"/>
                <w:color w:val="auto"/>
              </w:rPr>
            </w:pPr>
          </w:p>
        </w:tc>
        <w:tc>
          <w:tcPr>
            <w:tcW w:w="88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adjustments</w:t>
            </w:r>
          </w:p>
        </w:tc>
        <w:tc>
          <w:tcPr>
            <w:tcW w:w="32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34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vMerge w:val="restart"/>
          </w:tcPr>
          <w:p>
            <w:pPr>
              <w:jc w:val="center"/>
              <w:ind w:right="48"/>
              <w:spacing w:after="0"/>
              <w:rPr>
                <w:sz w:val="20"/>
                <w:szCs w:val="20"/>
                <w:color w:val="auto"/>
              </w:rPr>
            </w:pPr>
            <w:r>
              <w:rPr>
                <w:rFonts w:ascii="Times New Roman" w:cs="Times New Roman" w:eastAsia="Times New Roman" w:hAnsi="Times New Roman"/>
                <w:sz w:val="14"/>
                <w:szCs w:val="14"/>
                <w:b w:val="1"/>
                <w:bCs w:val="1"/>
                <w:color w:val="auto"/>
              </w:rPr>
              <w:t>(Note 4)</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vMerge w:val="restart"/>
          </w:tcPr>
          <w:p>
            <w:pPr>
              <w:jc w:val="center"/>
              <w:ind w:right="88"/>
              <w:spacing w:after="0"/>
              <w:rPr>
                <w:sz w:val="20"/>
                <w:szCs w:val="20"/>
                <w:color w:val="auto"/>
              </w:rPr>
            </w:pPr>
            <w:r>
              <w:rPr>
                <w:rFonts w:ascii="Times New Roman" w:cs="Times New Roman" w:eastAsia="Times New Roman" w:hAnsi="Times New Roman"/>
                <w:sz w:val="14"/>
                <w:szCs w:val="14"/>
                <w:b w:val="1"/>
                <w:bCs w:val="1"/>
                <w:color w:val="auto"/>
              </w:rPr>
              <w:t>(Note 5)</w:t>
            </w:r>
          </w:p>
        </w:tc>
        <w:tc>
          <w:tcPr>
            <w:tcW w:w="4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vMerge w:val="restart"/>
          </w:tcPr>
          <w:p>
            <w:pPr>
              <w:jc w:val="center"/>
              <w:ind w:right="68"/>
              <w:spacing w:after="0"/>
              <w:rPr>
                <w:sz w:val="20"/>
                <w:szCs w:val="20"/>
                <w:color w:val="auto"/>
              </w:rPr>
            </w:pPr>
            <w:r>
              <w:rPr>
                <w:rFonts w:ascii="Times New Roman" w:cs="Times New Roman" w:eastAsia="Times New Roman" w:hAnsi="Times New Roman"/>
                <w:sz w:val="14"/>
                <w:szCs w:val="14"/>
                <w:b w:val="1"/>
                <w:bCs w:val="1"/>
                <w:color w:val="auto"/>
              </w:rPr>
              <w:t>(Note 6)</w:t>
            </w:r>
          </w:p>
        </w:tc>
        <w:tc>
          <w:tcPr>
            <w:tcW w:w="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8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(Note 7)</w:t>
            </w:r>
          </w:p>
        </w:tc>
        <w:tc>
          <w:tcPr>
            <w:tcW w:w="120" w:type="dxa"/>
            <w:vAlign w:val="bottom"/>
          </w:tcPr>
          <w:p>
            <w:pPr>
              <w:spacing w:after="0"/>
              <w:rPr>
                <w:sz w:val="16"/>
                <w:szCs w:val="16"/>
                <w:color w:val="auto"/>
              </w:rPr>
            </w:pPr>
          </w:p>
        </w:tc>
        <w:tc>
          <w:tcPr>
            <w:tcW w:w="760" w:type="dxa"/>
            <w:vAlign w:val="bottom"/>
          </w:tcPr>
          <w:p>
            <w:pPr>
              <w:jc w:val="center"/>
              <w:ind w:right="48"/>
              <w:spacing w:after="0"/>
              <w:rPr>
                <w:sz w:val="20"/>
                <w:szCs w:val="20"/>
                <w:color w:val="auto"/>
              </w:rPr>
            </w:pPr>
            <w:r>
              <w:rPr>
                <w:rFonts w:ascii="Times New Roman" w:cs="Times New Roman" w:eastAsia="Times New Roman" w:hAnsi="Times New Roman"/>
                <w:sz w:val="14"/>
                <w:szCs w:val="14"/>
                <w:b w:val="1"/>
                <w:bCs w:val="1"/>
                <w:color w:val="auto"/>
              </w:rPr>
              <w:t>(Note 8)</w:t>
            </w:r>
          </w:p>
        </w:tc>
        <w:tc>
          <w:tcPr>
            <w:tcW w:w="3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3"/>
        </w:trPr>
        <w:tc>
          <w:tcPr>
            <w:tcW w:w="348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740" w:type="dxa"/>
            <w:vAlign w:val="bottom"/>
            <w:vMerge w:val="continue"/>
          </w:tcPr>
          <w:p>
            <w:pPr>
              <w:spacing w:after="0"/>
              <w:rPr>
                <w:sz w:val="6"/>
                <w:szCs w:val="6"/>
                <w:color w:val="auto"/>
              </w:rPr>
            </w:pPr>
          </w:p>
        </w:tc>
        <w:tc>
          <w:tcPr>
            <w:tcW w:w="460" w:type="dxa"/>
            <w:vAlign w:val="bottom"/>
          </w:tcPr>
          <w:p>
            <w:pPr>
              <w:spacing w:after="0"/>
              <w:rPr>
                <w:sz w:val="6"/>
                <w:szCs w:val="6"/>
                <w:color w:val="auto"/>
              </w:rPr>
            </w:pPr>
          </w:p>
        </w:tc>
        <w:tc>
          <w:tcPr>
            <w:tcW w:w="14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340" w:type="dxa"/>
            <w:vAlign w:val="bottom"/>
          </w:tcPr>
          <w:p>
            <w:pPr>
              <w:spacing w:after="0"/>
              <w:rPr>
                <w:sz w:val="6"/>
                <w:szCs w:val="6"/>
                <w:color w:val="auto"/>
              </w:rPr>
            </w:pPr>
          </w:p>
        </w:tc>
        <w:tc>
          <w:tcPr>
            <w:tcW w:w="100" w:type="dxa"/>
            <w:vAlign w:val="bottom"/>
          </w:tcPr>
          <w:p>
            <w:pPr>
              <w:spacing w:after="0"/>
              <w:rPr>
                <w:sz w:val="6"/>
                <w:szCs w:val="6"/>
                <w:color w:val="auto"/>
              </w:rPr>
            </w:pPr>
          </w:p>
        </w:tc>
        <w:tc>
          <w:tcPr>
            <w:tcW w:w="880" w:type="dxa"/>
            <w:vAlign w:val="bottom"/>
            <w:gridSpan w:val="2"/>
            <w:vMerge w:val="continue"/>
          </w:tcPr>
          <w:p>
            <w:pPr>
              <w:spacing w:after="0"/>
              <w:rPr>
                <w:sz w:val="6"/>
                <w:szCs w:val="6"/>
                <w:color w:val="auto"/>
              </w:rPr>
            </w:pPr>
          </w:p>
        </w:tc>
        <w:tc>
          <w:tcPr>
            <w:tcW w:w="120" w:type="dxa"/>
            <w:vAlign w:val="bottom"/>
          </w:tcPr>
          <w:p>
            <w:pPr>
              <w:spacing w:after="0"/>
              <w:rPr>
                <w:sz w:val="6"/>
                <w:szCs w:val="6"/>
                <w:color w:val="auto"/>
              </w:rPr>
            </w:pPr>
          </w:p>
        </w:tc>
        <w:tc>
          <w:tcPr>
            <w:tcW w:w="7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20" w:type="dxa"/>
            <w:vAlign w:val="bottom"/>
          </w:tcPr>
          <w:p>
            <w:pPr>
              <w:spacing w:after="0"/>
              <w:rPr>
                <w:sz w:val="6"/>
                <w:szCs w:val="6"/>
                <w:color w:val="auto"/>
              </w:rPr>
            </w:pPr>
          </w:p>
        </w:tc>
        <w:tc>
          <w:tcPr>
            <w:tcW w:w="7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75"/>
        </w:trPr>
        <w:tc>
          <w:tcPr>
            <w:tcW w:w="34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Net revenue</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1,033,654</w:t>
            </w: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775,787</w:t>
            </w:r>
          </w:p>
        </w:tc>
        <w:tc>
          <w:tcPr>
            <w:tcW w:w="2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4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6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4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4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1,809,441</w:t>
            </w:r>
          </w:p>
        </w:tc>
        <w:tc>
          <w:tcPr>
            <w:tcW w:w="0" w:type="dxa"/>
            <w:vAlign w:val="bottom"/>
          </w:tcPr>
          <w:p>
            <w:pPr>
              <w:spacing w:after="0"/>
              <w:rPr>
                <w:sz w:val="1"/>
                <w:szCs w:val="1"/>
                <w:color w:val="auto"/>
              </w:rPr>
            </w:pPr>
          </w:p>
        </w:tc>
      </w:tr>
      <w:tr>
        <w:trPr>
          <w:trHeight w:val="265"/>
        </w:trPr>
        <w:tc>
          <w:tcPr>
            <w:tcW w:w="348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Cost of goods sold</w:t>
            </w:r>
          </w:p>
        </w:tc>
        <w:tc>
          <w:tcPr>
            <w:tcW w:w="120" w:type="dxa"/>
            <w:vAlign w:val="bottom"/>
          </w:tcPr>
          <w:p>
            <w:pPr>
              <w:spacing w:after="0"/>
              <w:rPr>
                <w:sz w:val="23"/>
                <w:szCs w:val="23"/>
                <w:color w:val="auto"/>
              </w:rPr>
            </w:pPr>
          </w:p>
        </w:tc>
        <w:tc>
          <w:tcPr>
            <w:tcW w:w="8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480,033</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432,464</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74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4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2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23"/>
                <w:szCs w:val="23"/>
                <w:color w:val="auto"/>
              </w:rPr>
            </w:pPr>
          </w:p>
        </w:tc>
        <w:tc>
          <w:tcPr>
            <w:tcW w:w="76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912,497</w:t>
            </w:r>
          </w:p>
        </w:tc>
        <w:tc>
          <w:tcPr>
            <w:tcW w:w="0" w:type="dxa"/>
            <w:vAlign w:val="bottom"/>
          </w:tcPr>
          <w:p>
            <w:pPr>
              <w:spacing w:after="0"/>
              <w:rPr>
                <w:sz w:val="1"/>
                <w:szCs w:val="1"/>
                <w:color w:val="auto"/>
              </w:rPr>
            </w:pPr>
          </w:p>
        </w:tc>
      </w:tr>
      <w:tr>
        <w:trPr>
          <w:trHeight w:val="198"/>
        </w:trPr>
        <w:tc>
          <w:tcPr>
            <w:tcW w:w="3480" w:type="dxa"/>
            <w:vAlign w:val="bottom"/>
            <w:vMerge w:val="restart"/>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Depreciation and amortization</w:t>
            </w:r>
          </w:p>
        </w:tc>
        <w:tc>
          <w:tcPr>
            <w:tcW w:w="120" w:type="dxa"/>
            <w:vAlign w:val="bottom"/>
            <w:shd w:val="clear" w:color="auto" w:fill="CCEEFF"/>
          </w:tcPr>
          <w:p>
            <w:pPr>
              <w:spacing w:after="0"/>
              <w:rPr>
                <w:sz w:val="17"/>
                <w:szCs w:val="17"/>
                <w:color w:val="auto"/>
              </w:rPr>
            </w:pPr>
          </w:p>
        </w:tc>
        <w:tc>
          <w:tcPr>
            <w:tcW w:w="80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27,443</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102,659</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4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(19,114)</w:t>
            </w:r>
          </w:p>
        </w:tc>
        <w:tc>
          <w:tcPr>
            <w:tcW w:w="600" w:type="dxa"/>
            <w:vAlign w:val="bottom"/>
            <w:gridSpan w:val="2"/>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(c,n)</w:t>
            </w:r>
          </w:p>
        </w:tc>
        <w:tc>
          <w:tcPr>
            <w:tcW w:w="72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8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7"/>
                <w:szCs w:val="17"/>
                <w:color w:val="auto"/>
              </w:rPr>
            </w:pPr>
          </w:p>
        </w:tc>
        <w:tc>
          <w:tcPr>
            <w:tcW w:w="76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110,988</w:t>
            </w:r>
          </w:p>
        </w:tc>
        <w:tc>
          <w:tcPr>
            <w:tcW w:w="0" w:type="dxa"/>
            <w:vAlign w:val="bottom"/>
          </w:tcPr>
          <w:p>
            <w:pPr>
              <w:spacing w:after="0"/>
              <w:rPr>
                <w:sz w:val="1"/>
                <w:szCs w:val="1"/>
                <w:color w:val="auto"/>
              </w:rPr>
            </w:pPr>
          </w:p>
        </w:tc>
      </w:tr>
      <w:tr>
        <w:trPr>
          <w:trHeight w:val="78"/>
        </w:trPr>
        <w:tc>
          <w:tcPr>
            <w:tcW w:w="348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80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80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740" w:type="dxa"/>
            <w:vAlign w:val="bottom"/>
            <w:vMerge w:val="continue"/>
            <w:shd w:val="clear" w:color="auto" w:fill="CCEEFF"/>
          </w:tcPr>
          <w:p>
            <w:pPr>
              <w:spacing w:after="0"/>
              <w:rPr>
                <w:sz w:val="6"/>
                <w:szCs w:val="6"/>
                <w:color w:val="auto"/>
              </w:rPr>
            </w:pPr>
          </w:p>
        </w:tc>
        <w:tc>
          <w:tcPr>
            <w:tcW w:w="460" w:type="dxa"/>
            <w:vAlign w:val="bottom"/>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720" w:type="dxa"/>
            <w:vAlign w:val="bottom"/>
            <w:vMerge w:val="continue"/>
            <w:shd w:val="clear" w:color="auto" w:fill="CCEEFF"/>
          </w:tcPr>
          <w:p>
            <w:pPr>
              <w:spacing w:after="0"/>
              <w:rPr>
                <w:sz w:val="6"/>
                <w:szCs w:val="6"/>
                <w:color w:val="auto"/>
              </w:rPr>
            </w:pPr>
          </w:p>
        </w:tc>
        <w:tc>
          <w:tcPr>
            <w:tcW w:w="3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880" w:type="dxa"/>
            <w:vAlign w:val="bottom"/>
            <w:gridSpan w:val="2"/>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760" w:type="dxa"/>
            <w:vAlign w:val="bottom"/>
            <w:vMerge w:val="continue"/>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76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265"/>
        </w:trPr>
        <w:tc>
          <w:tcPr>
            <w:tcW w:w="3480" w:type="dxa"/>
            <w:vAlign w:val="bottom"/>
            <w:tcBorders>
              <w:bottom w:val="single" w:sz="8" w:color="CCEEFF"/>
            </w:tcBorders>
          </w:tcPr>
          <w:p>
            <w:pPr>
              <w:ind w:left="40"/>
              <w:spacing w:after="0"/>
              <w:rPr>
                <w:sz w:val="20"/>
                <w:szCs w:val="20"/>
                <w:color w:val="auto"/>
              </w:rPr>
            </w:pPr>
            <w:r>
              <w:rPr>
                <w:rFonts w:ascii="Times New Roman" w:cs="Times New Roman" w:eastAsia="Times New Roman" w:hAnsi="Times New Roman"/>
                <w:sz w:val="14"/>
                <w:szCs w:val="14"/>
                <w:color w:val="auto"/>
              </w:rPr>
              <w:t>Cost of goods sold impairment charges</w:t>
            </w:r>
          </w:p>
        </w:tc>
        <w:tc>
          <w:tcPr>
            <w:tcW w:w="120" w:type="dxa"/>
            <w:vAlign w:val="bottom"/>
            <w:tcBorders>
              <w:bottom w:val="single" w:sz="8" w:color="auto"/>
            </w:tcBorders>
          </w:tcPr>
          <w:p>
            <w:pPr>
              <w:spacing w:after="0"/>
              <w:rPr>
                <w:sz w:val="23"/>
                <w:szCs w:val="23"/>
                <w:color w:val="auto"/>
              </w:rPr>
            </w:pPr>
          </w:p>
        </w:tc>
        <w:tc>
          <w:tcPr>
            <w:tcW w:w="80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Borders>
              <w:bottom w:val="single" w:sz="8" w:color="CCEEFF"/>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80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96,865</w:t>
            </w:r>
          </w:p>
        </w:tc>
        <w:tc>
          <w:tcPr>
            <w:tcW w:w="120" w:type="dxa"/>
            <w:vAlign w:val="bottom"/>
            <w:tcBorders>
              <w:bottom w:val="single" w:sz="8" w:color="CCEEFF"/>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74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460" w:type="dxa"/>
            <w:vAlign w:val="bottom"/>
            <w:tcBorders>
              <w:bottom w:val="single" w:sz="8" w:color="CCEEFF"/>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72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tcBorders>
              <w:bottom w:val="single" w:sz="8" w:color="CCEEFF"/>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78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76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tcBorders>
              <w:bottom w:val="single" w:sz="8" w:color="CCEEFF"/>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76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96,865</w:t>
            </w:r>
          </w:p>
        </w:tc>
        <w:tc>
          <w:tcPr>
            <w:tcW w:w="0" w:type="dxa"/>
            <w:vAlign w:val="bottom"/>
          </w:tcPr>
          <w:p>
            <w:pPr>
              <w:spacing w:after="0"/>
              <w:rPr>
                <w:sz w:val="1"/>
                <w:szCs w:val="1"/>
                <w:color w:val="auto"/>
              </w:rPr>
            </w:pPr>
          </w:p>
        </w:tc>
      </w:tr>
      <w:tr>
        <w:trPr>
          <w:trHeight w:val="255"/>
        </w:trPr>
        <w:tc>
          <w:tcPr>
            <w:tcW w:w="34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Gross profit</w:t>
            </w:r>
          </w:p>
        </w:tc>
        <w:tc>
          <w:tcPr>
            <w:tcW w:w="12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526,178</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143,799</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74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19,114</w:t>
            </w:r>
          </w:p>
        </w:tc>
        <w:tc>
          <w:tcPr>
            <w:tcW w:w="46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22"/>
                <w:szCs w:val="22"/>
                <w:color w:val="auto"/>
              </w:rPr>
            </w:pPr>
          </w:p>
        </w:tc>
        <w:tc>
          <w:tcPr>
            <w:tcW w:w="76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76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689,091</w:t>
            </w:r>
          </w:p>
        </w:tc>
        <w:tc>
          <w:tcPr>
            <w:tcW w:w="0" w:type="dxa"/>
            <w:vAlign w:val="bottom"/>
          </w:tcPr>
          <w:p>
            <w:pPr>
              <w:spacing w:after="0"/>
              <w:rPr>
                <w:sz w:val="1"/>
                <w:szCs w:val="1"/>
                <w:color w:val="auto"/>
              </w:rPr>
            </w:pPr>
          </w:p>
        </w:tc>
      </w:tr>
      <w:tr>
        <w:trPr>
          <w:trHeight w:val="193"/>
        </w:trPr>
        <w:tc>
          <w:tcPr>
            <w:tcW w:w="3480" w:type="dxa"/>
            <w:vAlign w:val="bottom"/>
            <w:vMerge w:val="restart"/>
          </w:tcPr>
          <w:p>
            <w:pPr>
              <w:ind w:left="40"/>
              <w:spacing w:after="0"/>
              <w:rPr>
                <w:sz w:val="20"/>
                <w:szCs w:val="20"/>
                <w:color w:val="auto"/>
              </w:rPr>
            </w:pPr>
            <w:r>
              <w:rPr>
                <w:rFonts w:ascii="Times New Roman" w:cs="Times New Roman" w:eastAsia="Times New Roman" w:hAnsi="Times New Roman"/>
                <w:sz w:val="14"/>
                <w:szCs w:val="14"/>
                <w:color w:val="auto"/>
              </w:rPr>
              <w:t>Selling, general and administrative</w:t>
            </w:r>
          </w:p>
        </w:tc>
        <w:tc>
          <w:tcPr>
            <w:tcW w:w="120" w:type="dxa"/>
            <w:vAlign w:val="bottom"/>
          </w:tcPr>
          <w:p>
            <w:pPr>
              <w:spacing w:after="0"/>
              <w:rPr>
                <w:sz w:val="16"/>
                <w:szCs w:val="16"/>
                <w:color w:val="auto"/>
              </w:rPr>
            </w:pPr>
          </w:p>
        </w:tc>
        <w:tc>
          <w:tcPr>
            <w:tcW w:w="80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113,826</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212,664</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(20,774)</w:t>
            </w:r>
          </w:p>
        </w:tc>
        <w:tc>
          <w:tcPr>
            <w:tcW w:w="600" w:type="dxa"/>
            <w:vAlign w:val="bottom"/>
            <w:gridSpan w:val="2"/>
          </w:tcPr>
          <w:p>
            <w:pPr>
              <w:jc w:val="right"/>
              <w:ind w:right="108"/>
              <w:spacing w:after="0"/>
              <w:rPr>
                <w:sz w:val="20"/>
                <w:szCs w:val="20"/>
                <w:color w:val="auto"/>
              </w:rPr>
            </w:pPr>
            <w:r>
              <w:rPr>
                <w:rFonts w:ascii="Times New Roman" w:cs="Times New Roman" w:eastAsia="Times New Roman" w:hAnsi="Times New Roman"/>
                <w:sz w:val="14"/>
                <w:szCs w:val="14"/>
                <w:color w:val="auto"/>
              </w:rPr>
              <w:t>(m)</w:t>
            </w:r>
          </w:p>
        </w:tc>
        <w:tc>
          <w:tcPr>
            <w:tcW w:w="72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8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76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305,716</w:t>
            </w:r>
          </w:p>
        </w:tc>
        <w:tc>
          <w:tcPr>
            <w:tcW w:w="0" w:type="dxa"/>
            <w:vAlign w:val="bottom"/>
          </w:tcPr>
          <w:p>
            <w:pPr>
              <w:spacing w:after="0"/>
              <w:rPr>
                <w:sz w:val="1"/>
                <w:szCs w:val="1"/>
                <w:color w:val="auto"/>
              </w:rPr>
            </w:pPr>
          </w:p>
        </w:tc>
      </w:tr>
      <w:tr>
        <w:trPr>
          <w:trHeight w:val="73"/>
        </w:trPr>
        <w:tc>
          <w:tcPr>
            <w:tcW w:w="348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80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740" w:type="dxa"/>
            <w:vAlign w:val="bottom"/>
            <w:vMerge w:val="continue"/>
          </w:tcPr>
          <w:p>
            <w:pPr>
              <w:spacing w:after="0"/>
              <w:rPr>
                <w:sz w:val="6"/>
                <w:szCs w:val="6"/>
                <w:color w:val="auto"/>
              </w:rPr>
            </w:pPr>
          </w:p>
        </w:tc>
        <w:tc>
          <w:tcPr>
            <w:tcW w:w="460" w:type="dxa"/>
            <w:vAlign w:val="bottom"/>
          </w:tcPr>
          <w:p>
            <w:pPr>
              <w:spacing w:after="0"/>
              <w:rPr>
                <w:sz w:val="6"/>
                <w:szCs w:val="6"/>
                <w:color w:val="auto"/>
              </w:rPr>
            </w:pPr>
          </w:p>
        </w:tc>
        <w:tc>
          <w:tcPr>
            <w:tcW w:w="14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340" w:type="dxa"/>
            <w:vAlign w:val="bottom"/>
          </w:tcPr>
          <w:p>
            <w:pPr>
              <w:spacing w:after="0"/>
              <w:rPr>
                <w:sz w:val="6"/>
                <w:szCs w:val="6"/>
                <w:color w:val="auto"/>
              </w:rPr>
            </w:pPr>
          </w:p>
        </w:tc>
        <w:tc>
          <w:tcPr>
            <w:tcW w:w="100" w:type="dxa"/>
            <w:vAlign w:val="bottom"/>
          </w:tcPr>
          <w:p>
            <w:pPr>
              <w:spacing w:after="0"/>
              <w:rPr>
                <w:sz w:val="6"/>
                <w:szCs w:val="6"/>
                <w:color w:val="auto"/>
              </w:rPr>
            </w:pPr>
          </w:p>
        </w:tc>
        <w:tc>
          <w:tcPr>
            <w:tcW w:w="880" w:type="dxa"/>
            <w:vAlign w:val="bottom"/>
            <w:gridSpan w:val="2"/>
            <w:vMerge w:val="continue"/>
          </w:tcPr>
          <w:p>
            <w:pPr>
              <w:spacing w:after="0"/>
              <w:rPr>
                <w:sz w:val="6"/>
                <w:szCs w:val="6"/>
                <w:color w:val="auto"/>
              </w:rPr>
            </w:pPr>
          </w:p>
        </w:tc>
        <w:tc>
          <w:tcPr>
            <w:tcW w:w="120" w:type="dxa"/>
            <w:vAlign w:val="bottom"/>
          </w:tcPr>
          <w:p>
            <w:pPr>
              <w:spacing w:after="0"/>
              <w:rPr>
                <w:sz w:val="6"/>
                <w:szCs w:val="6"/>
                <w:color w:val="auto"/>
              </w:rPr>
            </w:pPr>
          </w:p>
        </w:tc>
        <w:tc>
          <w:tcPr>
            <w:tcW w:w="760" w:type="dxa"/>
            <w:vAlign w:val="bottom"/>
            <w:vMerge w:val="continue"/>
          </w:tcPr>
          <w:p>
            <w:pPr>
              <w:spacing w:after="0"/>
              <w:rPr>
                <w:sz w:val="6"/>
                <w:szCs w:val="6"/>
                <w:color w:val="auto"/>
              </w:rPr>
            </w:pPr>
          </w:p>
        </w:tc>
        <w:tc>
          <w:tcPr>
            <w:tcW w:w="320" w:type="dxa"/>
            <w:vAlign w:val="bottom"/>
          </w:tcPr>
          <w:p>
            <w:pPr>
              <w:spacing w:after="0"/>
              <w:rPr>
                <w:sz w:val="6"/>
                <w:szCs w:val="6"/>
                <w:color w:val="auto"/>
              </w:rPr>
            </w:pPr>
          </w:p>
        </w:tc>
        <w:tc>
          <w:tcPr>
            <w:tcW w:w="120" w:type="dxa"/>
            <w:vAlign w:val="bottom"/>
          </w:tcPr>
          <w:p>
            <w:pPr>
              <w:spacing w:after="0"/>
              <w:rPr>
                <w:sz w:val="6"/>
                <w:szCs w:val="6"/>
                <w:color w:val="auto"/>
              </w:rPr>
            </w:pPr>
          </w:p>
        </w:tc>
        <w:tc>
          <w:tcPr>
            <w:tcW w:w="7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75"/>
        </w:trPr>
        <w:tc>
          <w:tcPr>
            <w:tcW w:w="34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Research and development</w:t>
            </w: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157,550</w:t>
            </w: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77,663</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74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46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2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235,213</w:t>
            </w:r>
          </w:p>
        </w:tc>
        <w:tc>
          <w:tcPr>
            <w:tcW w:w="0" w:type="dxa"/>
            <w:vAlign w:val="bottom"/>
          </w:tcPr>
          <w:p>
            <w:pPr>
              <w:spacing w:after="0"/>
              <w:rPr>
                <w:sz w:val="1"/>
                <w:szCs w:val="1"/>
                <w:color w:val="auto"/>
              </w:rPr>
            </w:pPr>
          </w:p>
        </w:tc>
      </w:tr>
      <w:tr>
        <w:trPr>
          <w:trHeight w:val="265"/>
        </w:trPr>
        <w:tc>
          <w:tcPr>
            <w:tcW w:w="348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In-process research and development impairment charges</w:t>
            </w:r>
          </w:p>
        </w:tc>
        <w:tc>
          <w:tcPr>
            <w:tcW w:w="120" w:type="dxa"/>
            <w:vAlign w:val="bottom"/>
          </w:tcPr>
          <w:p>
            <w:pPr>
              <w:spacing w:after="0"/>
              <w:rPr>
                <w:sz w:val="23"/>
                <w:szCs w:val="23"/>
                <w:color w:val="auto"/>
              </w:rPr>
            </w:pPr>
          </w:p>
        </w:tc>
        <w:tc>
          <w:tcPr>
            <w:tcW w:w="92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23"/>
                <w:szCs w:val="23"/>
                <w:color w:val="auto"/>
              </w:rPr>
            </w:pPr>
          </w:p>
        </w:tc>
        <w:tc>
          <w:tcPr>
            <w:tcW w:w="8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192,809</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74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4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2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23"/>
                <w:szCs w:val="23"/>
                <w:color w:val="auto"/>
              </w:rPr>
            </w:pPr>
          </w:p>
        </w:tc>
        <w:tc>
          <w:tcPr>
            <w:tcW w:w="76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192,809</w:t>
            </w:r>
          </w:p>
        </w:tc>
        <w:tc>
          <w:tcPr>
            <w:tcW w:w="0" w:type="dxa"/>
            <w:vAlign w:val="bottom"/>
          </w:tcPr>
          <w:p>
            <w:pPr>
              <w:spacing w:after="0"/>
              <w:rPr>
                <w:sz w:val="1"/>
                <w:szCs w:val="1"/>
                <w:color w:val="auto"/>
              </w:rPr>
            </w:pPr>
          </w:p>
        </w:tc>
      </w:tr>
      <w:tr>
        <w:trPr>
          <w:trHeight w:val="275"/>
        </w:trPr>
        <w:tc>
          <w:tcPr>
            <w:tcW w:w="34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Legal settlement gain</w:t>
            </w: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(21,467)</w:t>
            </w: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74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46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2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(21,467)</w:t>
            </w:r>
          </w:p>
        </w:tc>
        <w:tc>
          <w:tcPr>
            <w:tcW w:w="0" w:type="dxa"/>
            <w:vAlign w:val="bottom"/>
          </w:tcPr>
          <w:p>
            <w:pPr>
              <w:spacing w:after="0"/>
              <w:rPr>
                <w:sz w:val="1"/>
                <w:szCs w:val="1"/>
                <w:color w:val="auto"/>
              </w:rPr>
            </w:pPr>
          </w:p>
        </w:tc>
      </w:tr>
      <w:tr>
        <w:trPr>
          <w:trHeight w:val="265"/>
        </w:trPr>
        <w:tc>
          <w:tcPr>
            <w:tcW w:w="348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Fixed asset impairment charge</w:t>
            </w:r>
          </w:p>
        </w:tc>
        <w:tc>
          <w:tcPr>
            <w:tcW w:w="120" w:type="dxa"/>
            <w:vAlign w:val="bottom"/>
          </w:tcPr>
          <w:p>
            <w:pPr>
              <w:spacing w:after="0"/>
              <w:rPr>
                <w:sz w:val="23"/>
                <w:szCs w:val="23"/>
                <w:color w:val="auto"/>
              </w:rPr>
            </w:pPr>
          </w:p>
        </w:tc>
        <w:tc>
          <w:tcPr>
            <w:tcW w:w="92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23"/>
                <w:szCs w:val="23"/>
                <w:color w:val="auto"/>
              </w:rPr>
            </w:pPr>
          </w:p>
        </w:tc>
        <w:tc>
          <w:tcPr>
            <w:tcW w:w="8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82,508</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74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4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2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23"/>
                <w:szCs w:val="23"/>
                <w:color w:val="auto"/>
              </w:rPr>
            </w:pPr>
          </w:p>
        </w:tc>
        <w:tc>
          <w:tcPr>
            <w:tcW w:w="76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82,508</w:t>
            </w:r>
          </w:p>
        </w:tc>
        <w:tc>
          <w:tcPr>
            <w:tcW w:w="0" w:type="dxa"/>
            <w:vAlign w:val="bottom"/>
          </w:tcPr>
          <w:p>
            <w:pPr>
              <w:spacing w:after="0"/>
              <w:rPr>
                <w:sz w:val="1"/>
                <w:szCs w:val="1"/>
                <w:color w:val="auto"/>
              </w:rPr>
            </w:pPr>
          </w:p>
        </w:tc>
      </w:tr>
      <w:tr>
        <w:trPr>
          <w:trHeight w:val="275"/>
        </w:trPr>
        <w:tc>
          <w:tcPr>
            <w:tcW w:w="34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Change in fair value of contingent consideration</w:t>
            </w:r>
          </w:p>
        </w:tc>
        <w:tc>
          <w:tcPr>
            <w:tcW w:w="120" w:type="dxa"/>
            <w:vAlign w:val="bottom"/>
            <w:shd w:val="clear" w:color="auto" w:fill="CCEEFF"/>
          </w:tcPr>
          <w:p>
            <w:pPr>
              <w:spacing w:after="0"/>
              <w:rPr>
                <w:sz w:val="23"/>
                <w:szCs w:val="23"/>
                <w:color w:val="auto"/>
              </w:rPr>
            </w:pPr>
          </w:p>
        </w:tc>
        <w:tc>
          <w:tcPr>
            <w:tcW w:w="9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(31,048)</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74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46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2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(31,048)</w:t>
            </w:r>
          </w:p>
        </w:tc>
        <w:tc>
          <w:tcPr>
            <w:tcW w:w="0" w:type="dxa"/>
            <w:vAlign w:val="bottom"/>
          </w:tcPr>
          <w:p>
            <w:pPr>
              <w:spacing w:after="0"/>
              <w:rPr>
                <w:sz w:val="1"/>
                <w:szCs w:val="1"/>
                <w:color w:val="auto"/>
              </w:rPr>
            </w:pPr>
          </w:p>
        </w:tc>
      </w:tr>
      <w:tr>
        <w:trPr>
          <w:trHeight w:val="265"/>
        </w:trPr>
        <w:tc>
          <w:tcPr>
            <w:tcW w:w="348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Development contract settlement</w:t>
            </w:r>
          </w:p>
        </w:tc>
        <w:tc>
          <w:tcPr>
            <w:tcW w:w="120" w:type="dxa"/>
            <w:vAlign w:val="bottom"/>
          </w:tcPr>
          <w:p>
            <w:pPr>
              <w:spacing w:after="0"/>
              <w:rPr>
                <w:sz w:val="23"/>
                <w:szCs w:val="23"/>
                <w:color w:val="auto"/>
              </w:rPr>
            </w:pPr>
          </w:p>
        </w:tc>
        <w:tc>
          <w:tcPr>
            <w:tcW w:w="8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(7,845)</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74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4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2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23"/>
                <w:szCs w:val="23"/>
                <w:color w:val="auto"/>
              </w:rPr>
            </w:pPr>
          </w:p>
        </w:tc>
        <w:tc>
          <w:tcPr>
            <w:tcW w:w="76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(7,845)</w:t>
            </w:r>
          </w:p>
        </w:tc>
        <w:tc>
          <w:tcPr>
            <w:tcW w:w="0" w:type="dxa"/>
            <w:vAlign w:val="bottom"/>
          </w:tcPr>
          <w:p>
            <w:pPr>
              <w:spacing w:after="0"/>
              <w:rPr>
                <w:sz w:val="1"/>
                <w:szCs w:val="1"/>
                <w:color w:val="auto"/>
              </w:rPr>
            </w:pPr>
          </w:p>
        </w:tc>
      </w:tr>
      <w:tr>
        <w:trPr>
          <w:trHeight w:val="270"/>
        </w:trPr>
        <w:tc>
          <w:tcPr>
            <w:tcW w:w="34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Other operating expenses</w:t>
            </w:r>
          </w:p>
        </w:tc>
        <w:tc>
          <w:tcPr>
            <w:tcW w:w="12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39,011</w:t>
            </w:r>
          </w:p>
        </w:tc>
        <w:tc>
          <w:tcPr>
            <w:tcW w:w="12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11,895</w:t>
            </w: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46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50,906</w:t>
            </w:r>
          </w:p>
        </w:tc>
        <w:tc>
          <w:tcPr>
            <w:tcW w:w="0" w:type="dxa"/>
            <w:vAlign w:val="bottom"/>
          </w:tcPr>
          <w:p>
            <w:pPr>
              <w:spacing w:after="0"/>
              <w:rPr>
                <w:sz w:val="1"/>
                <w:szCs w:val="1"/>
                <w:color w:val="auto"/>
              </w:rPr>
            </w:pPr>
          </w:p>
        </w:tc>
      </w:tr>
      <w:tr>
        <w:trPr>
          <w:trHeight w:val="250"/>
        </w:trPr>
        <w:tc>
          <w:tcPr>
            <w:tcW w:w="348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Operating profit (loss)</w:t>
            </w:r>
          </w:p>
        </w:tc>
        <w:tc>
          <w:tcPr>
            <w:tcW w:w="120" w:type="dxa"/>
            <w:vAlign w:val="bottom"/>
          </w:tcPr>
          <w:p>
            <w:pPr>
              <w:spacing w:after="0"/>
              <w:rPr>
                <w:sz w:val="21"/>
                <w:szCs w:val="21"/>
                <w:color w:val="auto"/>
              </w:rPr>
            </w:pPr>
          </w:p>
        </w:tc>
        <w:tc>
          <w:tcPr>
            <w:tcW w:w="8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245,103</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(402,692)</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39,888</w:t>
            </w:r>
          </w:p>
        </w:tc>
        <w:tc>
          <w:tcPr>
            <w:tcW w:w="4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2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8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21"/>
                <w:szCs w:val="21"/>
                <w:color w:val="auto"/>
              </w:rPr>
            </w:pPr>
          </w:p>
        </w:tc>
        <w:tc>
          <w:tcPr>
            <w:tcW w:w="76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(117,701)</w:t>
            </w:r>
          </w:p>
        </w:tc>
        <w:tc>
          <w:tcPr>
            <w:tcW w:w="0" w:type="dxa"/>
            <w:vAlign w:val="bottom"/>
          </w:tcPr>
          <w:p>
            <w:pPr>
              <w:spacing w:after="0"/>
              <w:rPr>
                <w:sz w:val="1"/>
                <w:szCs w:val="1"/>
                <w:color w:val="auto"/>
              </w:rPr>
            </w:pPr>
          </w:p>
        </w:tc>
      </w:tr>
      <w:tr>
        <w:trPr>
          <w:trHeight w:val="275"/>
        </w:trPr>
        <w:tc>
          <w:tcPr>
            <w:tcW w:w="34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Other expense:</w:t>
            </w: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740" w:type="dxa"/>
            <w:vAlign w:val="bottom"/>
            <w:shd w:val="clear" w:color="auto" w:fill="CCEEFF"/>
          </w:tcPr>
          <w:p>
            <w:pPr>
              <w:spacing w:after="0"/>
              <w:rPr>
                <w:sz w:val="23"/>
                <w:szCs w:val="23"/>
                <w:color w:val="auto"/>
              </w:rPr>
            </w:pPr>
          </w:p>
        </w:tc>
        <w:tc>
          <w:tcPr>
            <w:tcW w:w="46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193"/>
        </w:trPr>
        <w:tc>
          <w:tcPr>
            <w:tcW w:w="3480" w:type="dxa"/>
            <w:vAlign w:val="bottom"/>
            <w:vMerge w:val="restart"/>
          </w:tcPr>
          <w:p>
            <w:pPr>
              <w:ind w:left="40"/>
              <w:spacing w:after="0"/>
              <w:rPr>
                <w:sz w:val="20"/>
                <w:szCs w:val="20"/>
                <w:color w:val="auto"/>
              </w:rPr>
            </w:pPr>
            <w:r>
              <w:rPr>
                <w:rFonts w:ascii="Times New Roman" w:cs="Times New Roman" w:eastAsia="Times New Roman" w:hAnsi="Times New Roman"/>
                <w:sz w:val="14"/>
                <w:szCs w:val="14"/>
                <w:color w:val="auto"/>
              </w:rPr>
              <w:t>Interest expense, net</w:t>
            </w:r>
          </w:p>
        </w:tc>
        <w:tc>
          <w:tcPr>
            <w:tcW w:w="120" w:type="dxa"/>
            <w:vAlign w:val="bottom"/>
          </w:tcPr>
          <w:p>
            <w:pPr>
              <w:spacing w:after="0"/>
              <w:rPr>
                <w:sz w:val="16"/>
                <w:szCs w:val="16"/>
                <w:color w:val="auto"/>
              </w:rPr>
            </w:pPr>
          </w:p>
        </w:tc>
        <w:tc>
          <w:tcPr>
            <w:tcW w:w="80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(73,640)</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(54,627)</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42,412</w:t>
            </w:r>
          </w:p>
        </w:tc>
        <w:tc>
          <w:tcPr>
            <w:tcW w:w="600" w:type="dxa"/>
            <w:vAlign w:val="bottom"/>
            <w:gridSpan w:val="2"/>
          </w:tcPr>
          <w:p>
            <w:pPr>
              <w:jc w:val="right"/>
              <w:ind w:right="108"/>
              <w:spacing w:after="0"/>
              <w:rPr>
                <w:sz w:val="20"/>
                <w:szCs w:val="20"/>
                <w:color w:val="auto"/>
              </w:rPr>
            </w:pPr>
            <w:r>
              <w:rPr>
                <w:rFonts w:ascii="Times New Roman" w:cs="Times New Roman" w:eastAsia="Times New Roman" w:hAnsi="Times New Roman"/>
                <w:sz w:val="14"/>
                <w:szCs w:val="14"/>
                <w:color w:val="auto"/>
              </w:rPr>
              <w:t>(l)</w:t>
            </w:r>
          </w:p>
        </w:tc>
        <w:tc>
          <w:tcPr>
            <w:tcW w:w="72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(88,387)</w:t>
            </w:r>
          </w:p>
        </w:tc>
        <w:tc>
          <w:tcPr>
            <w:tcW w:w="440" w:type="dxa"/>
            <w:vAlign w:val="bottom"/>
            <w:gridSpan w:val="2"/>
          </w:tcPr>
          <w:p>
            <w:pPr>
              <w:jc w:val="right"/>
              <w:ind w:right="68"/>
              <w:spacing w:after="0"/>
              <w:rPr>
                <w:sz w:val="20"/>
                <w:szCs w:val="20"/>
                <w:color w:val="auto"/>
              </w:rPr>
            </w:pPr>
            <w:r>
              <w:rPr>
                <w:rFonts w:ascii="Times New Roman" w:cs="Times New Roman" w:eastAsia="Times New Roman" w:hAnsi="Times New Roman"/>
                <w:sz w:val="14"/>
                <w:szCs w:val="14"/>
                <w:color w:val="auto"/>
              </w:rPr>
              <w:t>(h)</w:t>
            </w:r>
          </w:p>
        </w:tc>
        <w:tc>
          <w:tcPr>
            <w:tcW w:w="88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76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(174,242)</w:t>
            </w:r>
          </w:p>
        </w:tc>
        <w:tc>
          <w:tcPr>
            <w:tcW w:w="0" w:type="dxa"/>
            <w:vAlign w:val="bottom"/>
          </w:tcPr>
          <w:p>
            <w:pPr>
              <w:spacing w:after="0"/>
              <w:rPr>
                <w:sz w:val="1"/>
                <w:szCs w:val="1"/>
                <w:color w:val="auto"/>
              </w:rPr>
            </w:pPr>
          </w:p>
        </w:tc>
      </w:tr>
      <w:tr>
        <w:trPr>
          <w:trHeight w:val="73"/>
        </w:trPr>
        <w:tc>
          <w:tcPr>
            <w:tcW w:w="348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80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740" w:type="dxa"/>
            <w:vAlign w:val="bottom"/>
            <w:vMerge w:val="continue"/>
          </w:tcPr>
          <w:p>
            <w:pPr>
              <w:spacing w:after="0"/>
              <w:rPr>
                <w:sz w:val="6"/>
                <w:szCs w:val="6"/>
                <w:color w:val="auto"/>
              </w:rPr>
            </w:pPr>
          </w:p>
        </w:tc>
        <w:tc>
          <w:tcPr>
            <w:tcW w:w="460" w:type="dxa"/>
            <w:vAlign w:val="bottom"/>
          </w:tcPr>
          <w:p>
            <w:pPr>
              <w:spacing w:after="0"/>
              <w:rPr>
                <w:sz w:val="6"/>
                <w:szCs w:val="6"/>
                <w:color w:val="auto"/>
              </w:rPr>
            </w:pPr>
          </w:p>
        </w:tc>
        <w:tc>
          <w:tcPr>
            <w:tcW w:w="14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340" w:type="dxa"/>
            <w:vAlign w:val="bottom"/>
          </w:tcPr>
          <w:p>
            <w:pPr>
              <w:spacing w:after="0"/>
              <w:rPr>
                <w:sz w:val="6"/>
                <w:szCs w:val="6"/>
                <w:color w:val="auto"/>
              </w:rPr>
            </w:pPr>
          </w:p>
        </w:tc>
        <w:tc>
          <w:tcPr>
            <w:tcW w:w="100" w:type="dxa"/>
            <w:vAlign w:val="bottom"/>
          </w:tcPr>
          <w:p>
            <w:pPr>
              <w:spacing w:after="0"/>
              <w:rPr>
                <w:sz w:val="6"/>
                <w:szCs w:val="6"/>
                <w:color w:val="auto"/>
              </w:rPr>
            </w:pPr>
          </w:p>
        </w:tc>
        <w:tc>
          <w:tcPr>
            <w:tcW w:w="880" w:type="dxa"/>
            <w:vAlign w:val="bottom"/>
            <w:gridSpan w:val="2"/>
            <w:vMerge w:val="continue"/>
          </w:tcPr>
          <w:p>
            <w:pPr>
              <w:spacing w:after="0"/>
              <w:rPr>
                <w:sz w:val="6"/>
                <w:szCs w:val="6"/>
                <w:color w:val="auto"/>
              </w:rPr>
            </w:pPr>
          </w:p>
        </w:tc>
        <w:tc>
          <w:tcPr>
            <w:tcW w:w="120" w:type="dxa"/>
            <w:vAlign w:val="bottom"/>
          </w:tcPr>
          <w:p>
            <w:pPr>
              <w:spacing w:after="0"/>
              <w:rPr>
                <w:sz w:val="6"/>
                <w:szCs w:val="6"/>
                <w:color w:val="auto"/>
              </w:rPr>
            </w:pPr>
          </w:p>
        </w:tc>
        <w:tc>
          <w:tcPr>
            <w:tcW w:w="760" w:type="dxa"/>
            <w:vAlign w:val="bottom"/>
            <w:vMerge w:val="continue"/>
          </w:tcPr>
          <w:p>
            <w:pPr>
              <w:spacing w:after="0"/>
              <w:rPr>
                <w:sz w:val="6"/>
                <w:szCs w:val="6"/>
                <w:color w:val="auto"/>
              </w:rPr>
            </w:pPr>
          </w:p>
        </w:tc>
        <w:tc>
          <w:tcPr>
            <w:tcW w:w="320" w:type="dxa"/>
            <w:vAlign w:val="bottom"/>
          </w:tcPr>
          <w:p>
            <w:pPr>
              <w:spacing w:after="0"/>
              <w:rPr>
                <w:sz w:val="6"/>
                <w:szCs w:val="6"/>
                <w:color w:val="auto"/>
              </w:rPr>
            </w:pPr>
          </w:p>
        </w:tc>
        <w:tc>
          <w:tcPr>
            <w:tcW w:w="120" w:type="dxa"/>
            <w:vAlign w:val="bottom"/>
          </w:tcPr>
          <w:p>
            <w:pPr>
              <w:spacing w:after="0"/>
              <w:rPr>
                <w:sz w:val="6"/>
                <w:szCs w:val="6"/>
                <w:color w:val="auto"/>
              </w:rPr>
            </w:pPr>
          </w:p>
        </w:tc>
        <w:tc>
          <w:tcPr>
            <w:tcW w:w="7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75"/>
        </w:trPr>
        <w:tc>
          <w:tcPr>
            <w:tcW w:w="34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Foreign exchange gain</w:t>
            </w: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29,092</w:t>
            </w: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74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46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2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29,092</w:t>
            </w:r>
          </w:p>
        </w:tc>
        <w:tc>
          <w:tcPr>
            <w:tcW w:w="0" w:type="dxa"/>
            <w:vAlign w:val="bottom"/>
          </w:tcPr>
          <w:p>
            <w:pPr>
              <w:spacing w:after="0"/>
              <w:rPr>
                <w:sz w:val="1"/>
                <w:szCs w:val="1"/>
                <w:color w:val="auto"/>
              </w:rPr>
            </w:pPr>
          </w:p>
        </w:tc>
      </w:tr>
      <w:tr>
        <w:trPr>
          <w:trHeight w:val="265"/>
        </w:trPr>
        <w:tc>
          <w:tcPr>
            <w:tcW w:w="348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Loss on sale of certain international businesses</w:t>
            </w:r>
          </w:p>
        </w:tc>
        <w:tc>
          <w:tcPr>
            <w:tcW w:w="120" w:type="dxa"/>
            <w:vAlign w:val="bottom"/>
          </w:tcPr>
          <w:p>
            <w:pPr>
              <w:spacing w:after="0"/>
              <w:rPr>
                <w:sz w:val="23"/>
                <w:szCs w:val="23"/>
                <w:color w:val="auto"/>
              </w:rPr>
            </w:pPr>
          </w:p>
        </w:tc>
        <w:tc>
          <w:tcPr>
            <w:tcW w:w="8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(29,232)</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74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4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2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23"/>
                <w:szCs w:val="23"/>
                <w:color w:val="auto"/>
              </w:rPr>
            </w:pPr>
          </w:p>
        </w:tc>
        <w:tc>
          <w:tcPr>
            <w:tcW w:w="76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(29,232)</w:t>
            </w:r>
          </w:p>
        </w:tc>
        <w:tc>
          <w:tcPr>
            <w:tcW w:w="0" w:type="dxa"/>
            <w:vAlign w:val="bottom"/>
          </w:tcPr>
          <w:p>
            <w:pPr>
              <w:spacing w:after="0"/>
              <w:rPr>
                <w:sz w:val="1"/>
                <w:szCs w:val="1"/>
                <w:color w:val="auto"/>
              </w:rPr>
            </w:pPr>
          </w:p>
        </w:tc>
      </w:tr>
      <w:tr>
        <w:trPr>
          <w:trHeight w:val="275"/>
        </w:trPr>
        <w:tc>
          <w:tcPr>
            <w:tcW w:w="34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Gain on sale of intangible assets</w:t>
            </w:r>
          </w:p>
        </w:tc>
        <w:tc>
          <w:tcPr>
            <w:tcW w:w="120" w:type="dxa"/>
            <w:vAlign w:val="bottom"/>
            <w:shd w:val="clear" w:color="auto" w:fill="CCEEFF"/>
          </w:tcPr>
          <w:p>
            <w:pPr>
              <w:spacing w:after="0"/>
              <w:rPr>
                <w:sz w:val="23"/>
                <w:szCs w:val="23"/>
                <w:color w:val="auto"/>
              </w:rPr>
            </w:pPr>
          </w:p>
        </w:tc>
        <w:tc>
          <w:tcPr>
            <w:tcW w:w="9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17,236</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74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46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2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17,236</w:t>
            </w:r>
          </w:p>
        </w:tc>
        <w:tc>
          <w:tcPr>
            <w:tcW w:w="0" w:type="dxa"/>
            <w:vAlign w:val="bottom"/>
          </w:tcPr>
          <w:p>
            <w:pPr>
              <w:spacing w:after="0"/>
              <w:rPr>
                <w:sz w:val="1"/>
                <w:szCs w:val="1"/>
                <w:color w:val="auto"/>
              </w:rPr>
            </w:pPr>
          </w:p>
        </w:tc>
      </w:tr>
      <w:tr>
        <w:trPr>
          <w:trHeight w:val="265"/>
        </w:trPr>
        <w:tc>
          <w:tcPr>
            <w:tcW w:w="3480" w:type="dxa"/>
            <w:vAlign w:val="bottom"/>
            <w:tcBorders>
              <w:bottom w:val="single" w:sz="8" w:color="CCEEFF"/>
            </w:tcBorders>
          </w:tcPr>
          <w:p>
            <w:pPr>
              <w:ind w:left="40"/>
              <w:spacing w:after="0"/>
              <w:rPr>
                <w:sz w:val="20"/>
                <w:szCs w:val="20"/>
                <w:color w:val="auto"/>
              </w:rPr>
            </w:pPr>
            <w:r>
              <w:rPr>
                <w:rFonts w:ascii="Times New Roman" w:cs="Times New Roman" w:eastAsia="Times New Roman" w:hAnsi="Times New Roman"/>
                <w:sz w:val="14"/>
                <w:szCs w:val="14"/>
                <w:color w:val="auto"/>
              </w:rPr>
              <w:t>Other expense, net</w:t>
            </w:r>
          </w:p>
        </w:tc>
        <w:tc>
          <w:tcPr>
            <w:tcW w:w="120" w:type="dxa"/>
            <w:vAlign w:val="bottom"/>
            <w:tcBorders>
              <w:bottom w:val="single" w:sz="8" w:color="auto"/>
            </w:tcBorders>
          </w:tcPr>
          <w:p>
            <w:pPr>
              <w:spacing w:after="0"/>
              <w:rPr>
                <w:sz w:val="23"/>
                <w:szCs w:val="23"/>
                <w:color w:val="auto"/>
              </w:rPr>
            </w:pPr>
          </w:p>
        </w:tc>
        <w:tc>
          <w:tcPr>
            <w:tcW w:w="80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Borders>
              <w:bottom w:val="single" w:sz="8" w:color="CCEEFF"/>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80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(10,878)</w:t>
            </w:r>
          </w:p>
        </w:tc>
        <w:tc>
          <w:tcPr>
            <w:tcW w:w="120" w:type="dxa"/>
            <w:vAlign w:val="bottom"/>
            <w:tcBorders>
              <w:bottom w:val="single" w:sz="8" w:color="CCEEFF"/>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74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460" w:type="dxa"/>
            <w:vAlign w:val="bottom"/>
            <w:tcBorders>
              <w:bottom w:val="single" w:sz="8" w:color="CCEEFF"/>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72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tcBorders>
              <w:bottom w:val="single" w:sz="8" w:color="CCEEFF"/>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78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76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tcBorders>
              <w:bottom w:val="single" w:sz="8" w:color="CCEEFF"/>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76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(10,878)</w:t>
            </w:r>
          </w:p>
        </w:tc>
        <w:tc>
          <w:tcPr>
            <w:tcW w:w="0" w:type="dxa"/>
            <w:vAlign w:val="bottom"/>
          </w:tcPr>
          <w:p>
            <w:pPr>
              <w:spacing w:after="0"/>
              <w:rPr>
                <w:sz w:val="1"/>
                <w:szCs w:val="1"/>
                <w:color w:val="auto"/>
              </w:rPr>
            </w:pPr>
          </w:p>
        </w:tc>
      </w:tr>
      <w:tr>
        <w:trPr>
          <w:trHeight w:val="250"/>
        </w:trPr>
        <w:tc>
          <w:tcPr>
            <w:tcW w:w="34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Total other expense, net</w:t>
            </w:r>
          </w:p>
        </w:tc>
        <w:tc>
          <w:tcPr>
            <w:tcW w:w="12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(73,780)</w:t>
            </w:r>
          </w:p>
        </w:tc>
        <w:tc>
          <w:tcPr>
            <w:tcW w:w="12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(48,269)</w:t>
            </w:r>
          </w:p>
        </w:tc>
        <w:tc>
          <w:tcPr>
            <w:tcW w:w="120" w:type="dxa"/>
            <w:vAlign w:val="bottom"/>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74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42,412</w:t>
            </w:r>
          </w:p>
        </w:tc>
        <w:tc>
          <w:tcPr>
            <w:tcW w:w="46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(88,387)</w:t>
            </w:r>
          </w:p>
        </w:tc>
        <w:tc>
          <w:tcPr>
            <w:tcW w:w="340" w:type="dxa"/>
            <w:vAlign w:val="bottom"/>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76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76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(168,024)</w:t>
            </w:r>
          </w:p>
        </w:tc>
        <w:tc>
          <w:tcPr>
            <w:tcW w:w="0" w:type="dxa"/>
            <w:vAlign w:val="bottom"/>
          </w:tcPr>
          <w:p>
            <w:pPr>
              <w:spacing w:after="0"/>
              <w:rPr>
                <w:sz w:val="1"/>
                <w:szCs w:val="1"/>
                <w:color w:val="auto"/>
              </w:rPr>
            </w:pPr>
          </w:p>
        </w:tc>
      </w:tr>
      <w:tr>
        <w:trPr>
          <w:trHeight w:val="250"/>
        </w:trPr>
        <w:tc>
          <w:tcPr>
            <w:tcW w:w="348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Income (loss) before income tax</w:t>
            </w:r>
          </w:p>
        </w:tc>
        <w:tc>
          <w:tcPr>
            <w:tcW w:w="120" w:type="dxa"/>
            <w:vAlign w:val="bottom"/>
          </w:tcPr>
          <w:p>
            <w:pPr>
              <w:spacing w:after="0"/>
              <w:rPr>
                <w:sz w:val="21"/>
                <w:szCs w:val="21"/>
                <w:color w:val="auto"/>
              </w:rPr>
            </w:pPr>
          </w:p>
        </w:tc>
        <w:tc>
          <w:tcPr>
            <w:tcW w:w="8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171,323</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(450,961)</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82,300</w:t>
            </w:r>
          </w:p>
        </w:tc>
        <w:tc>
          <w:tcPr>
            <w:tcW w:w="4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(88,387)</w:t>
            </w:r>
          </w:p>
        </w:tc>
        <w:tc>
          <w:tcPr>
            <w:tcW w:w="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8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21"/>
                <w:szCs w:val="21"/>
                <w:color w:val="auto"/>
              </w:rPr>
            </w:pPr>
          </w:p>
        </w:tc>
        <w:tc>
          <w:tcPr>
            <w:tcW w:w="76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(285,725)</w:t>
            </w:r>
          </w:p>
        </w:tc>
        <w:tc>
          <w:tcPr>
            <w:tcW w:w="0" w:type="dxa"/>
            <w:vAlign w:val="bottom"/>
          </w:tcPr>
          <w:p>
            <w:pPr>
              <w:spacing w:after="0"/>
              <w:rPr>
                <w:sz w:val="1"/>
                <w:szCs w:val="1"/>
                <w:color w:val="auto"/>
              </w:rPr>
            </w:pPr>
          </w:p>
        </w:tc>
      </w:tr>
      <w:tr>
        <w:trPr>
          <w:trHeight w:val="198"/>
        </w:trPr>
        <w:tc>
          <w:tcPr>
            <w:tcW w:w="3480" w:type="dxa"/>
            <w:vAlign w:val="bottom"/>
            <w:vMerge w:val="restart"/>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Income tax provision</w:t>
            </w:r>
          </w:p>
        </w:tc>
        <w:tc>
          <w:tcPr>
            <w:tcW w:w="120" w:type="dxa"/>
            <w:vAlign w:val="bottom"/>
            <w:shd w:val="clear" w:color="auto" w:fill="CCEEFF"/>
          </w:tcPr>
          <w:p>
            <w:pPr>
              <w:spacing w:after="0"/>
              <w:rPr>
                <w:sz w:val="17"/>
                <w:szCs w:val="17"/>
                <w:color w:val="auto"/>
              </w:rPr>
            </w:pPr>
          </w:p>
        </w:tc>
        <w:tc>
          <w:tcPr>
            <w:tcW w:w="80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1,998</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18,326</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4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(6,327)</w:t>
            </w:r>
          </w:p>
        </w:tc>
        <w:tc>
          <w:tcPr>
            <w:tcW w:w="600" w:type="dxa"/>
            <w:vAlign w:val="bottom"/>
            <w:gridSpan w:val="2"/>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(k)</w:t>
            </w:r>
          </w:p>
        </w:tc>
        <w:tc>
          <w:tcPr>
            <w:tcW w:w="72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5,556</w:t>
            </w:r>
          </w:p>
        </w:tc>
        <w:tc>
          <w:tcPr>
            <w:tcW w:w="440" w:type="dxa"/>
            <w:vAlign w:val="bottom"/>
            <w:gridSpan w:val="2"/>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(f)</w:t>
            </w:r>
          </w:p>
        </w:tc>
        <w:tc>
          <w:tcPr>
            <w:tcW w:w="78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vMerge w:val="restart"/>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14,336</w:t>
            </w:r>
          </w:p>
        </w:tc>
        <w:tc>
          <w:tcPr>
            <w:tcW w:w="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4"/>
                <w:szCs w:val="14"/>
                <w:color w:val="auto"/>
              </w:rPr>
              <w:t>(d)</w:t>
            </w:r>
          </w:p>
        </w:tc>
        <w:tc>
          <w:tcPr>
            <w:tcW w:w="76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33,889</w:t>
            </w:r>
          </w:p>
        </w:tc>
        <w:tc>
          <w:tcPr>
            <w:tcW w:w="0" w:type="dxa"/>
            <w:vAlign w:val="bottom"/>
          </w:tcPr>
          <w:p>
            <w:pPr>
              <w:spacing w:after="0"/>
              <w:rPr>
                <w:sz w:val="1"/>
                <w:szCs w:val="1"/>
                <w:color w:val="auto"/>
              </w:rPr>
            </w:pPr>
          </w:p>
        </w:tc>
      </w:tr>
      <w:tr>
        <w:trPr>
          <w:trHeight w:val="73"/>
        </w:trPr>
        <w:tc>
          <w:tcPr>
            <w:tcW w:w="3480" w:type="dxa"/>
            <w:vAlign w:val="bottom"/>
            <w:vMerge w:val="continue"/>
            <w:shd w:val="clear" w:color="auto" w:fill="CCEEFF"/>
          </w:tcPr>
          <w:p>
            <w:pPr>
              <w:spacing w:after="0"/>
              <w:rPr>
                <w:sz w:val="6"/>
                <w:szCs w:val="6"/>
                <w:color w:val="auto"/>
              </w:rPr>
            </w:pPr>
          </w:p>
        </w:tc>
        <w:tc>
          <w:tcPr>
            <w:tcW w:w="120" w:type="dxa"/>
            <w:vAlign w:val="bottom"/>
            <w:tcBorders>
              <w:bottom w:val="single" w:sz="8" w:color="auto"/>
            </w:tcBorders>
            <w:shd w:val="clear" w:color="auto" w:fill="CCEEFF"/>
          </w:tcPr>
          <w:p>
            <w:pPr>
              <w:spacing w:after="0"/>
              <w:rPr>
                <w:sz w:val="6"/>
                <w:szCs w:val="6"/>
                <w:color w:val="auto"/>
              </w:rPr>
            </w:pPr>
          </w:p>
        </w:tc>
        <w:tc>
          <w:tcPr>
            <w:tcW w:w="800" w:type="dxa"/>
            <w:vAlign w:val="bottom"/>
            <w:tcBorders>
              <w:bottom w:val="single" w:sz="8" w:color="auto"/>
            </w:tcBorders>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tcBorders>
              <w:bottom w:val="single" w:sz="8" w:color="auto"/>
            </w:tcBorders>
            <w:shd w:val="clear" w:color="auto" w:fill="CCEEFF"/>
          </w:tcPr>
          <w:p>
            <w:pPr>
              <w:spacing w:after="0"/>
              <w:rPr>
                <w:sz w:val="6"/>
                <w:szCs w:val="6"/>
                <w:color w:val="auto"/>
              </w:rPr>
            </w:pPr>
          </w:p>
        </w:tc>
        <w:tc>
          <w:tcPr>
            <w:tcW w:w="800" w:type="dxa"/>
            <w:vAlign w:val="bottom"/>
            <w:tcBorders>
              <w:bottom w:val="single" w:sz="8" w:color="auto"/>
            </w:tcBorders>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60" w:type="dxa"/>
            <w:vAlign w:val="bottom"/>
            <w:tcBorders>
              <w:bottom w:val="single" w:sz="8" w:color="auto"/>
            </w:tcBorders>
            <w:shd w:val="clear" w:color="auto" w:fill="CCEEFF"/>
          </w:tcPr>
          <w:p>
            <w:pPr>
              <w:spacing w:after="0"/>
              <w:rPr>
                <w:sz w:val="6"/>
                <w:szCs w:val="6"/>
                <w:color w:val="auto"/>
              </w:rPr>
            </w:pPr>
          </w:p>
        </w:tc>
        <w:tc>
          <w:tcPr>
            <w:tcW w:w="740" w:type="dxa"/>
            <w:vAlign w:val="bottom"/>
            <w:tcBorders>
              <w:bottom w:val="single" w:sz="8" w:color="auto"/>
            </w:tcBorders>
            <w:vMerge w:val="continue"/>
            <w:shd w:val="clear" w:color="auto" w:fill="CCEEFF"/>
          </w:tcPr>
          <w:p>
            <w:pPr>
              <w:spacing w:after="0"/>
              <w:rPr>
                <w:sz w:val="6"/>
                <w:szCs w:val="6"/>
                <w:color w:val="auto"/>
              </w:rPr>
            </w:pPr>
          </w:p>
        </w:tc>
        <w:tc>
          <w:tcPr>
            <w:tcW w:w="460" w:type="dxa"/>
            <w:vAlign w:val="bottom"/>
            <w:shd w:val="clear" w:color="auto" w:fill="CCEEFF"/>
          </w:tcPr>
          <w:p>
            <w:pPr>
              <w:spacing w:after="0"/>
              <w:rPr>
                <w:sz w:val="6"/>
                <w:szCs w:val="6"/>
                <w:color w:val="auto"/>
              </w:rPr>
            </w:pPr>
          </w:p>
        </w:tc>
        <w:tc>
          <w:tcPr>
            <w:tcW w:w="140" w:type="dxa"/>
            <w:vAlign w:val="bottom"/>
            <w:tcBorders>
              <w:bottom w:val="single" w:sz="8" w:color="auto"/>
            </w:tcBorders>
            <w:shd w:val="clear" w:color="auto" w:fill="CCEEFF"/>
          </w:tcPr>
          <w:p>
            <w:pPr>
              <w:spacing w:after="0"/>
              <w:rPr>
                <w:sz w:val="6"/>
                <w:szCs w:val="6"/>
                <w:color w:val="auto"/>
              </w:rPr>
            </w:pPr>
          </w:p>
        </w:tc>
        <w:tc>
          <w:tcPr>
            <w:tcW w:w="720" w:type="dxa"/>
            <w:vAlign w:val="bottom"/>
            <w:tcBorders>
              <w:bottom w:val="single" w:sz="8" w:color="auto"/>
            </w:tcBorders>
            <w:vMerge w:val="continue"/>
            <w:shd w:val="clear" w:color="auto" w:fill="CCEEFF"/>
          </w:tcPr>
          <w:p>
            <w:pPr>
              <w:spacing w:after="0"/>
              <w:rPr>
                <w:sz w:val="6"/>
                <w:szCs w:val="6"/>
                <w:color w:val="auto"/>
              </w:rPr>
            </w:pPr>
          </w:p>
        </w:tc>
        <w:tc>
          <w:tcPr>
            <w:tcW w:w="340" w:type="dxa"/>
            <w:vAlign w:val="bottom"/>
            <w:shd w:val="clear" w:color="auto" w:fill="CCEEFF"/>
          </w:tcPr>
          <w:p>
            <w:pPr>
              <w:spacing w:after="0"/>
              <w:rPr>
                <w:sz w:val="6"/>
                <w:szCs w:val="6"/>
                <w:color w:val="auto"/>
              </w:rPr>
            </w:pPr>
          </w:p>
        </w:tc>
        <w:tc>
          <w:tcPr>
            <w:tcW w:w="100" w:type="dxa"/>
            <w:vAlign w:val="bottom"/>
            <w:tcBorders>
              <w:bottom w:val="single" w:sz="8" w:color="auto"/>
            </w:tcBorders>
            <w:shd w:val="clear" w:color="auto" w:fill="CCEEFF"/>
          </w:tcPr>
          <w:p>
            <w:pPr>
              <w:spacing w:after="0"/>
              <w:rPr>
                <w:sz w:val="6"/>
                <w:szCs w:val="6"/>
                <w:color w:val="auto"/>
              </w:rPr>
            </w:pPr>
          </w:p>
        </w:tc>
        <w:tc>
          <w:tcPr>
            <w:tcW w:w="780" w:type="dxa"/>
            <w:vAlign w:val="bottom"/>
            <w:tcBorders>
              <w:bottom w:val="single" w:sz="8" w:color="auto"/>
            </w:tcBorders>
            <w:vMerge w:val="continue"/>
            <w:shd w:val="clear" w:color="auto" w:fill="CCEEFF"/>
          </w:tcPr>
          <w:p>
            <w:pPr>
              <w:spacing w:after="0"/>
              <w:rPr>
                <w:sz w:val="6"/>
                <w:szCs w:val="6"/>
                <w:color w:val="auto"/>
              </w:rPr>
            </w:pPr>
          </w:p>
        </w:tc>
        <w:tc>
          <w:tcPr>
            <w:tcW w:w="100" w:type="dxa"/>
            <w:vAlign w:val="bottom"/>
            <w:vMerge w:val="continue"/>
            <w:shd w:val="clear" w:color="auto" w:fill="CCEEFF"/>
          </w:tcPr>
          <w:p>
            <w:pPr>
              <w:spacing w:after="0"/>
              <w:rPr>
                <w:sz w:val="6"/>
                <w:szCs w:val="6"/>
                <w:color w:val="auto"/>
              </w:rPr>
            </w:pPr>
          </w:p>
        </w:tc>
        <w:tc>
          <w:tcPr>
            <w:tcW w:w="120" w:type="dxa"/>
            <w:vAlign w:val="bottom"/>
            <w:tcBorders>
              <w:bottom w:val="single" w:sz="8" w:color="auto"/>
            </w:tcBorders>
            <w:shd w:val="clear" w:color="auto" w:fill="CCEEFF"/>
          </w:tcPr>
          <w:p>
            <w:pPr>
              <w:spacing w:after="0"/>
              <w:rPr>
                <w:sz w:val="6"/>
                <w:szCs w:val="6"/>
                <w:color w:val="auto"/>
              </w:rPr>
            </w:pPr>
          </w:p>
        </w:tc>
        <w:tc>
          <w:tcPr>
            <w:tcW w:w="760" w:type="dxa"/>
            <w:vAlign w:val="bottom"/>
            <w:tcBorders>
              <w:bottom w:val="single" w:sz="8" w:color="auto"/>
            </w:tcBorders>
            <w:vMerge w:val="continue"/>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120" w:type="dxa"/>
            <w:vAlign w:val="bottom"/>
            <w:tcBorders>
              <w:bottom w:val="single" w:sz="8" w:color="auto"/>
            </w:tcBorders>
            <w:shd w:val="clear" w:color="auto" w:fill="CCEEFF"/>
          </w:tcPr>
          <w:p>
            <w:pPr>
              <w:spacing w:after="0"/>
              <w:rPr>
                <w:sz w:val="6"/>
                <w:szCs w:val="6"/>
                <w:color w:val="auto"/>
              </w:rPr>
            </w:pPr>
          </w:p>
        </w:tc>
        <w:tc>
          <w:tcPr>
            <w:tcW w:w="760" w:type="dxa"/>
            <w:vAlign w:val="bottom"/>
            <w:tcBorders>
              <w:bottom w:val="single" w:sz="8" w:color="auto"/>
            </w:tcBorders>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250"/>
        </w:trPr>
        <w:tc>
          <w:tcPr>
            <w:tcW w:w="348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Net income (loss)</w:t>
            </w:r>
          </w:p>
        </w:tc>
        <w:tc>
          <w:tcPr>
            <w:tcW w:w="120" w:type="dxa"/>
            <w:vAlign w:val="bottom"/>
          </w:tcPr>
          <w:p>
            <w:pPr>
              <w:spacing w:after="0"/>
              <w:rPr>
                <w:sz w:val="21"/>
                <w:szCs w:val="21"/>
                <w:color w:val="auto"/>
              </w:rPr>
            </w:pPr>
          </w:p>
        </w:tc>
        <w:tc>
          <w:tcPr>
            <w:tcW w:w="8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169,325</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(469,287)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88,627</w:t>
            </w:r>
          </w:p>
        </w:tc>
        <w:tc>
          <w:tcPr>
            <w:tcW w:w="4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2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(93,943)</w:t>
            </w:r>
          </w:p>
        </w:tc>
        <w:tc>
          <w:tcPr>
            <w:tcW w:w="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8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(14,336)</w:t>
            </w:r>
          </w:p>
        </w:tc>
        <w:tc>
          <w:tcPr>
            <w:tcW w:w="3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6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(319,614)</w:t>
            </w:r>
          </w:p>
        </w:tc>
        <w:tc>
          <w:tcPr>
            <w:tcW w:w="0" w:type="dxa"/>
            <w:vAlign w:val="bottom"/>
          </w:tcPr>
          <w:p>
            <w:pPr>
              <w:spacing w:after="0"/>
              <w:rPr>
                <w:sz w:val="1"/>
                <w:szCs w:val="1"/>
                <w:color w:val="auto"/>
              </w:rPr>
            </w:pPr>
          </w:p>
        </w:tc>
      </w:tr>
      <w:tr>
        <w:trPr>
          <w:trHeight w:val="198"/>
        </w:trPr>
        <w:tc>
          <w:tcPr>
            <w:tcW w:w="3480" w:type="dxa"/>
            <w:vAlign w:val="bottom"/>
            <w:vMerge w:val="restart"/>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Net income (loss) attributable to non-controlling interests</w:t>
            </w:r>
          </w:p>
        </w:tc>
        <w:tc>
          <w:tcPr>
            <w:tcW w:w="120" w:type="dxa"/>
            <w:vAlign w:val="bottom"/>
            <w:shd w:val="clear" w:color="auto" w:fill="CCEEFF"/>
          </w:tcPr>
          <w:p>
            <w:pPr>
              <w:spacing w:after="0"/>
              <w:rPr>
                <w:sz w:val="17"/>
                <w:szCs w:val="17"/>
                <w:color w:val="auto"/>
              </w:rPr>
            </w:pPr>
          </w:p>
        </w:tc>
        <w:tc>
          <w:tcPr>
            <w:tcW w:w="80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1,677</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4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4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2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(215,522)</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51,473</w:t>
            </w:r>
          </w:p>
        </w:tc>
        <w:tc>
          <w:tcPr>
            <w:tcW w:w="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4"/>
                <w:szCs w:val="14"/>
                <w:color w:val="auto"/>
              </w:rPr>
              <w:t>(c)</w:t>
            </w:r>
          </w:p>
        </w:tc>
        <w:tc>
          <w:tcPr>
            <w:tcW w:w="76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(162,372)</w:t>
            </w:r>
          </w:p>
        </w:tc>
        <w:tc>
          <w:tcPr>
            <w:tcW w:w="0" w:type="dxa"/>
            <w:vAlign w:val="bottom"/>
          </w:tcPr>
          <w:p>
            <w:pPr>
              <w:spacing w:after="0"/>
              <w:rPr>
                <w:sz w:val="1"/>
                <w:szCs w:val="1"/>
                <w:color w:val="auto"/>
              </w:rPr>
            </w:pPr>
          </w:p>
        </w:tc>
      </w:tr>
      <w:tr>
        <w:trPr>
          <w:trHeight w:val="73"/>
        </w:trPr>
        <w:tc>
          <w:tcPr>
            <w:tcW w:w="3480" w:type="dxa"/>
            <w:vAlign w:val="bottom"/>
            <w:vMerge w:val="continue"/>
            <w:shd w:val="clear" w:color="auto" w:fill="CCEEFF"/>
          </w:tcPr>
          <w:p>
            <w:pPr>
              <w:spacing w:after="0"/>
              <w:rPr>
                <w:sz w:val="6"/>
                <w:szCs w:val="6"/>
                <w:color w:val="auto"/>
              </w:rPr>
            </w:pPr>
          </w:p>
        </w:tc>
        <w:tc>
          <w:tcPr>
            <w:tcW w:w="120" w:type="dxa"/>
            <w:vAlign w:val="bottom"/>
            <w:tcBorders>
              <w:bottom w:val="single" w:sz="8" w:color="auto"/>
            </w:tcBorders>
            <w:shd w:val="clear" w:color="auto" w:fill="CCEEFF"/>
          </w:tcPr>
          <w:p>
            <w:pPr>
              <w:spacing w:after="0"/>
              <w:rPr>
                <w:sz w:val="6"/>
                <w:szCs w:val="6"/>
                <w:color w:val="auto"/>
              </w:rPr>
            </w:pPr>
          </w:p>
        </w:tc>
        <w:tc>
          <w:tcPr>
            <w:tcW w:w="800" w:type="dxa"/>
            <w:vAlign w:val="bottom"/>
            <w:tcBorders>
              <w:bottom w:val="single" w:sz="8" w:color="auto"/>
            </w:tcBorders>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tcBorders>
              <w:bottom w:val="single" w:sz="8" w:color="auto"/>
            </w:tcBorders>
            <w:shd w:val="clear" w:color="auto" w:fill="CCEEFF"/>
          </w:tcPr>
          <w:p>
            <w:pPr>
              <w:spacing w:after="0"/>
              <w:rPr>
                <w:sz w:val="6"/>
                <w:szCs w:val="6"/>
                <w:color w:val="auto"/>
              </w:rPr>
            </w:pPr>
          </w:p>
        </w:tc>
        <w:tc>
          <w:tcPr>
            <w:tcW w:w="800" w:type="dxa"/>
            <w:vAlign w:val="bottom"/>
            <w:tcBorders>
              <w:bottom w:val="single" w:sz="8" w:color="auto"/>
            </w:tcBorders>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60" w:type="dxa"/>
            <w:vAlign w:val="bottom"/>
            <w:tcBorders>
              <w:bottom w:val="single" w:sz="8" w:color="auto"/>
            </w:tcBorders>
            <w:shd w:val="clear" w:color="auto" w:fill="CCEEFF"/>
          </w:tcPr>
          <w:p>
            <w:pPr>
              <w:spacing w:after="0"/>
              <w:rPr>
                <w:sz w:val="6"/>
                <w:szCs w:val="6"/>
                <w:color w:val="auto"/>
              </w:rPr>
            </w:pPr>
          </w:p>
        </w:tc>
        <w:tc>
          <w:tcPr>
            <w:tcW w:w="740" w:type="dxa"/>
            <w:vAlign w:val="bottom"/>
            <w:tcBorders>
              <w:bottom w:val="single" w:sz="8" w:color="auto"/>
            </w:tcBorders>
            <w:vMerge w:val="continue"/>
            <w:shd w:val="clear" w:color="auto" w:fill="CCEEFF"/>
          </w:tcPr>
          <w:p>
            <w:pPr>
              <w:spacing w:after="0"/>
              <w:rPr>
                <w:sz w:val="6"/>
                <w:szCs w:val="6"/>
                <w:color w:val="auto"/>
              </w:rPr>
            </w:pPr>
          </w:p>
        </w:tc>
        <w:tc>
          <w:tcPr>
            <w:tcW w:w="460" w:type="dxa"/>
            <w:vAlign w:val="bottom"/>
            <w:shd w:val="clear" w:color="auto" w:fill="CCEEFF"/>
          </w:tcPr>
          <w:p>
            <w:pPr>
              <w:spacing w:after="0"/>
              <w:rPr>
                <w:sz w:val="6"/>
                <w:szCs w:val="6"/>
                <w:color w:val="auto"/>
              </w:rPr>
            </w:pPr>
          </w:p>
        </w:tc>
        <w:tc>
          <w:tcPr>
            <w:tcW w:w="140" w:type="dxa"/>
            <w:vAlign w:val="bottom"/>
            <w:tcBorders>
              <w:bottom w:val="single" w:sz="8" w:color="auto"/>
            </w:tcBorders>
            <w:shd w:val="clear" w:color="auto" w:fill="CCEEFF"/>
          </w:tcPr>
          <w:p>
            <w:pPr>
              <w:spacing w:after="0"/>
              <w:rPr>
                <w:sz w:val="6"/>
                <w:szCs w:val="6"/>
                <w:color w:val="auto"/>
              </w:rPr>
            </w:pPr>
          </w:p>
        </w:tc>
        <w:tc>
          <w:tcPr>
            <w:tcW w:w="720" w:type="dxa"/>
            <w:vAlign w:val="bottom"/>
            <w:tcBorders>
              <w:bottom w:val="single" w:sz="8" w:color="auto"/>
            </w:tcBorders>
            <w:vMerge w:val="continue"/>
            <w:shd w:val="clear" w:color="auto" w:fill="CCEEFF"/>
          </w:tcPr>
          <w:p>
            <w:pPr>
              <w:spacing w:after="0"/>
              <w:rPr>
                <w:sz w:val="6"/>
                <w:szCs w:val="6"/>
                <w:color w:val="auto"/>
              </w:rPr>
            </w:pPr>
          </w:p>
        </w:tc>
        <w:tc>
          <w:tcPr>
            <w:tcW w:w="340" w:type="dxa"/>
            <w:vAlign w:val="bottom"/>
            <w:shd w:val="clear" w:color="auto" w:fill="CCEEFF"/>
          </w:tcPr>
          <w:p>
            <w:pPr>
              <w:spacing w:after="0"/>
              <w:rPr>
                <w:sz w:val="6"/>
                <w:szCs w:val="6"/>
                <w:color w:val="auto"/>
              </w:rPr>
            </w:pPr>
          </w:p>
        </w:tc>
        <w:tc>
          <w:tcPr>
            <w:tcW w:w="100" w:type="dxa"/>
            <w:vAlign w:val="bottom"/>
            <w:tcBorders>
              <w:bottom w:val="single" w:sz="8" w:color="auto"/>
            </w:tcBorders>
            <w:shd w:val="clear" w:color="auto" w:fill="CCEEFF"/>
          </w:tcPr>
          <w:p>
            <w:pPr>
              <w:spacing w:after="0"/>
              <w:rPr>
                <w:sz w:val="6"/>
                <w:szCs w:val="6"/>
                <w:color w:val="auto"/>
              </w:rPr>
            </w:pPr>
          </w:p>
        </w:tc>
        <w:tc>
          <w:tcPr>
            <w:tcW w:w="780" w:type="dxa"/>
            <w:vAlign w:val="bottom"/>
            <w:tcBorders>
              <w:bottom w:val="single" w:sz="8" w:color="auto"/>
            </w:tcBorders>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tcBorders>
              <w:bottom w:val="single" w:sz="8" w:color="auto"/>
            </w:tcBorders>
            <w:shd w:val="clear" w:color="auto" w:fill="CCEEFF"/>
          </w:tcPr>
          <w:p>
            <w:pPr>
              <w:spacing w:after="0"/>
              <w:rPr>
                <w:sz w:val="6"/>
                <w:szCs w:val="6"/>
                <w:color w:val="auto"/>
              </w:rPr>
            </w:pPr>
          </w:p>
        </w:tc>
        <w:tc>
          <w:tcPr>
            <w:tcW w:w="760" w:type="dxa"/>
            <w:vAlign w:val="bottom"/>
            <w:tcBorders>
              <w:bottom w:val="single" w:sz="8" w:color="auto"/>
            </w:tcBorders>
            <w:vMerge w:val="continue"/>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120" w:type="dxa"/>
            <w:vAlign w:val="bottom"/>
            <w:tcBorders>
              <w:bottom w:val="single" w:sz="8" w:color="auto"/>
            </w:tcBorders>
            <w:shd w:val="clear" w:color="auto" w:fill="CCEEFF"/>
          </w:tcPr>
          <w:p>
            <w:pPr>
              <w:spacing w:after="0"/>
              <w:rPr>
                <w:sz w:val="6"/>
                <w:szCs w:val="6"/>
                <w:color w:val="auto"/>
              </w:rPr>
            </w:pPr>
          </w:p>
        </w:tc>
        <w:tc>
          <w:tcPr>
            <w:tcW w:w="760" w:type="dxa"/>
            <w:vAlign w:val="bottom"/>
            <w:tcBorders>
              <w:bottom w:val="single" w:sz="8" w:color="auto"/>
            </w:tcBorders>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282"/>
        </w:trPr>
        <w:tc>
          <w:tcPr>
            <w:tcW w:w="348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Net income (loss) attributable to New Amneal</w:t>
            </w:r>
          </w:p>
        </w:tc>
        <w:tc>
          <w:tcPr>
            <w:tcW w:w="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167,648</w:t>
            </w:r>
          </w:p>
        </w:tc>
        <w:tc>
          <w:tcPr>
            <w:tcW w:w="12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(469,287)</w:t>
            </w: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4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88,627</w:t>
            </w:r>
          </w:p>
        </w:tc>
        <w:tc>
          <w:tcPr>
            <w:tcW w:w="60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(93,943)</w:t>
            </w:r>
          </w:p>
        </w:tc>
        <w:tc>
          <w:tcPr>
            <w:tcW w:w="44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215,522</w:t>
            </w:r>
          </w:p>
        </w:tc>
        <w:tc>
          <w:tcPr>
            <w:tcW w:w="1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(65,809)</w:t>
            </w:r>
          </w:p>
        </w:tc>
        <w:tc>
          <w:tcPr>
            <w:tcW w:w="440" w:type="dxa"/>
            <w:vAlign w:val="bottom"/>
            <w:gridSpan w:val="2"/>
          </w:tcPr>
          <w:p>
            <w:pPr>
              <w:jc w:val="right"/>
              <w:ind w:right="20"/>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(157,242)</w:t>
            </w:r>
          </w:p>
        </w:tc>
        <w:tc>
          <w:tcPr>
            <w:tcW w:w="0" w:type="dxa"/>
            <w:vAlign w:val="bottom"/>
          </w:tcPr>
          <w:p>
            <w:pPr>
              <w:spacing w:after="0"/>
              <w:rPr>
                <w:sz w:val="1"/>
                <w:szCs w:val="1"/>
                <w:color w:val="auto"/>
              </w:rPr>
            </w:pPr>
          </w:p>
        </w:tc>
      </w:tr>
      <w:tr>
        <w:trPr>
          <w:trHeight w:val="160"/>
        </w:trPr>
        <w:tc>
          <w:tcPr>
            <w:tcW w:w="3480" w:type="dxa"/>
            <w:vAlign w:val="bottom"/>
            <w:tcBorders>
              <w:top w:val="single" w:sz="8" w:color="CCEEFF"/>
            </w:tcBorders>
            <w:shd w:val="clear" w:color="auto" w:fill="CCEEFF"/>
          </w:tcPr>
          <w:p>
            <w:pPr>
              <w:ind w:left="40"/>
              <w:spacing w:after="0" w:line="159" w:lineRule="exact"/>
              <w:rPr>
                <w:sz w:val="20"/>
                <w:szCs w:val="20"/>
                <w:color w:val="auto"/>
              </w:rPr>
            </w:pPr>
            <w:r>
              <w:rPr>
                <w:rFonts w:ascii="Times New Roman" w:cs="Times New Roman" w:eastAsia="Times New Roman" w:hAnsi="Times New Roman"/>
                <w:sz w:val="14"/>
                <w:szCs w:val="14"/>
                <w:color w:val="auto"/>
              </w:rPr>
              <w:t>Net loss per common share (Note 9):</w:t>
            </w:r>
          </w:p>
        </w:tc>
        <w:tc>
          <w:tcPr>
            <w:tcW w:w="120" w:type="dxa"/>
            <w:vAlign w:val="bottom"/>
            <w:tcBorders>
              <w:top w:val="single" w:sz="8" w:color="auto"/>
            </w:tcBorders>
            <w:shd w:val="clear" w:color="auto" w:fill="CCEEFF"/>
          </w:tcPr>
          <w:p>
            <w:pPr>
              <w:spacing w:after="0"/>
              <w:rPr>
                <w:sz w:val="13"/>
                <w:szCs w:val="13"/>
                <w:color w:val="auto"/>
              </w:rPr>
            </w:pPr>
          </w:p>
        </w:tc>
        <w:tc>
          <w:tcPr>
            <w:tcW w:w="800" w:type="dxa"/>
            <w:vAlign w:val="bottom"/>
            <w:tcBorders>
              <w:top w:val="single" w:sz="8" w:color="auto"/>
            </w:tcBorders>
            <w:shd w:val="clear" w:color="auto" w:fill="CCEEFF"/>
          </w:tcPr>
          <w:p>
            <w:pPr>
              <w:spacing w:after="0"/>
              <w:rPr>
                <w:sz w:val="13"/>
                <w:szCs w:val="13"/>
                <w:color w:val="auto"/>
              </w:rPr>
            </w:pPr>
          </w:p>
        </w:tc>
        <w:tc>
          <w:tcPr>
            <w:tcW w:w="120" w:type="dxa"/>
            <w:vAlign w:val="bottom"/>
            <w:tcBorders>
              <w:top w:val="single" w:sz="8" w:color="CCEEFF"/>
            </w:tcBorders>
            <w:shd w:val="clear" w:color="auto" w:fill="CCEEFF"/>
          </w:tcPr>
          <w:p>
            <w:pPr>
              <w:spacing w:after="0"/>
              <w:rPr>
                <w:sz w:val="13"/>
                <w:szCs w:val="13"/>
                <w:color w:val="auto"/>
              </w:rPr>
            </w:pPr>
          </w:p>
        </w:tc>
        <w:tc>
          <w:tcPr>
            <w:tcW w:w="120" w:type="dxa"/>
            <w:vAlign w:val="bottom"/>
            <w:tcBorders>
              <w:top w:val="single" w:sz="8" w:color="auto"/>
            </w:tcBorders>
            <w:shd w:val="clear" w:color="auto" w:fill="CCEEFF"/>
          </w:tcPr>
          <w:p>
            <w:pPr>
              <w:spacing w:after="0"/>
              <w:rPr>
                <w:sz w:val="13"/>
                <w:szCs w:val="13"/>
                <w:color w:val="auto"/>
              </w:rPr>
            </w:pPr>
          </w:p>
        </w:tc>
        <w:tc>
          <w:tcPr>
            <w:tcW w:w="800" w:type="dxa"/>
            <w:vAlign w:val="bottom"/>
            <w:tcBorders>
              <w:top w:val="single" w:sz="8" w:color="auto"/>
            </w:tcBorders>
            <w:shd w:val="clear" w:color="auto" w:fill="CCEEFF"/>
          </w:tcPr>
          <w:p>
            <w:pPr>
              <w:spacing w:after="0"/>
              <w:rPr>
                <w:sz w:val="13"/>
                <w:szCs w:val="13"/>
                <w:color w:val="auto"/>
              </w:rPr>
            </w:pPr>
          </w:p>
        </w:tc>
        <w:tc>
          <w:tcPr>
            <w:tcW w:w="120" w:type="dxa"/>
            <w:vAlign w:val="bottom"/>
            <w:tcBorders>
              <w:top w:val="single" w:sz="8" w:color="CCEEFF"/>
            </w:tcBorders>
            <w:shd w:val="clear" w:color="auto" w:fill="CCEEFF"/>
          </w:tcPr>
          <w:p>
            <w:pPr>
              <w:spacing w:after="0"/>
              <w:rPr>
                <w:sz w:val="13"/>
                <w:szCs w:val="13"/>
                <w:color w:val="auto"/>
              </w:rPr>
            </w:pPr>
          </w:p>
        </w:tc>
        <w:tc>
          <w:tcPr>
            <w:tcW w:w="160" w:type="dxa"/>
            <w:vAlign w:val="bottom"/>
            <w:tcBorders>
              <w:top w:val="single" w:sz="8" w:color="auto"/>
            </w:tcBorders>
            <w:shd w:val="clear" w:color="auto" w:fill="CCEEFF"/>
          </w:tcPr>
          <w:p>
            <w:pPr>
              <w:spacing w:after="0"/>
              <w:rPr>
                <w:sz w:val="13"/>
                <w:szCs w:val="13"/>
                <w:color w:val="auto"/>
              </w:rPr>
            </w:pPr>
          </w:p>
        </w:tc>
        <w:tc>
          <w:tcPr>
            <w:tcW w:w="740" w:type="dxa"/>
            <w:vAlign w:val="bottom"/>
            <w:tcBorders>
              <w:top w:val="single" w:sz="8" w:color="auto"/>
            </w:tcBorders>
            <w:shd w:val="clear" w:color="auto" w:fill="CCEEFF"/>
          </w:tcPr>
          <w:p>
            <w:pPr>
              <w:spacing w:after="0"/>
              <w:rPr>
                <w:sz w:val="13"/>
                <w:szCs w:val="13"/>
                <w:color w:val="auto"/>
              </w:rPr>
            </w:pPr>
          </w:p>
        </w:tc>
        <w:tc>
          <w:tcPr>
            <w:tcW w:w="460" w:type="dxa"/>
            <w:vAlign w:val="bottom"/>
            <w:tcBorders>
              <w:top w:val="single" w:sz="8" w:color="CCEEFF"/>
            </w:tcBorders>
            <w:shd w:val="clear" w:color="auto" w:fill="CCEEFF"/>
          </w:tcPr>
          <w:p>
            <w:pPr>
              <w:spacing w:after="0"/>
              <w:rPr>
                <w:sz w:val="13"/>
                <w:szCs w:val="13"/>
                <w:color w:val="auto"/>
              </w:rPr>
            </w:pPr>
          </w:p>
        </w:tc>
        <w:tc>
          <w:tcPr>
            <w:tcW w:w="140" w:type="dxa"/>
            <w:vAlign w:val="bottom"/>
            <w:tcBorders>
              <w:top w:val="single" w:sz="8" w:color="auto"/>
            </w:tcBorders>
            <w:shd w:val="clear" w:color="auto" w:fill="CCEEFF"/>
          </w:tcPr>
          <w:p>
            <w:pPr>
              <w:spacing w:after="0"/>
              <w:rPr>
                <w:sz w:val="13"/>
                <w:szCs w:val="13"/>
                <w:color w:val="auto"/>
              </w:rPr>
            </w:pPr>
          </w:p>
        </w:tc>
        <w:tc>
          <w:tcPr>
            <w:tcW w:w="720" w:type="dxa"/>
            <w:vAlign w:val="bottom"/>
            <w:tcBorders>
              <w:top w:val="single" w:sz="8" w:color="auto"/>
            </w:tcBorders>
            <w:shd w:val="clear" w:color="auto" w:fill="CCEEFF"/>
          </w:tcPr>
          <w:p>
            <w:pPr>
              <w:spacing w:after="0"/>
              <w:rPr>
                <w:sz w:val="13"/>
                <w:szCs w:val="13"/>
                <w:color w:val="auto"/>
              </w:rPr>
            </w:pPr>
          </w:p>
        </w:tc>
        <w:tc>
          <w:tcPr>
            <w:tcW w:w="340" w:type="dxa"/>
            <w:vAlign w:val="bottom"/>
            <w:tcBorders>
              <w:top w:val="single" w:sz="8" w:color="CCEEFF"/>
            </w:tcBorders>
            <w:shd w:val="clear" w:color="auto" w:fill="CCEEFF"/>
          </w:tcPr>
          <w:p>
            <w:pPr>
              <w:spacing w:after="0"/>
              <w:rPr>
                <w:sz w:val="13"/>
                <w:szCs w:val="13"/>
                <w:color w:val="auto"/>
              </w:rPr>
            </w:pPr>
          </w:p>
        </w:tc>
        <w:tc>
          <w:tcPr>
            <w:tcW w:w="100" w:type="dxa"/>
            <w:vAlign w:val="bottom"/>
            <w:tcBorders>
              <w:top w:val="single" w:sz="8" w:color="auto"/>
            </w:tcBorders>
            <w:shd w:val="clear" w:color="auto" w:fill="CCEEFF"/>
          </w:tcPr>
          <w:p>
            <w:pPr>
              <w:spacing w:after="0"/>
              <w:rPr>
                <w:sz w:val="13"/>
                <w:szCs w:val="13"/>
                <w:color w:val="auto"/>
              </w:rPr>
            </w:pPr>
          </w:p>
        </w:tc>
        <w:tc>
          <w:tcPr>
            <w:tcW w:w="780" w:type="dxa"/>
            <w:vAlign w:val="bottom"/>
            <w:tcBorders>
              <w:top w:val="single" w:sz="8" w:color="auto"/>
            </w:tcBorders>
            <w:shd w:val="clear" w:color="auto" w:fill="CCEEFF"/>
          </w:tcPr>
          <w:p>
            <w:pPr>
              <w:spacing w:after="0"/>
              <w:rPr>
                <w:sz w:val="13"/>
                <w:szCs w:val="13"/>
                <w:color w:val="auto"/>
              </w:rPr>
            </w:pPr>
          </w:p>
        </w:tc>
        <w:tc>
          <w:tcPr>
            <w:tcW w:w="100" w:type="dxa"/>
            <w:vAlign w:val="bottom"/>
            <w:tcBorders>
              <w:top w:val="single" w:sz="8" w:color="CCEEFF"/>
            </w:tcBorders>
            <w:shd w:val="clear" w:color="auto" w:fill="CCEEFF"/>
          </w:tcPr>
          <w:p>
            <w:pPr>
              <w:spacing w:after="0"/>
              <w:rPr>
                <w:sz w:val="13"/>
                <w:szCs w:val="13"/>
                <w:color w:val="auto"/>
              </w:rPr>
            </w:pPr>
          </w:p>
        </w:tc>
        <w:tc>
          <w:tcPr>
            <w:tcW w:w="120" w:type="dxa"/>
            <w:vAlign w:val="bottom"/>
            <w:tcBorders>
              <w:top w:val="single" w:sz="8" w:color="auto"/>
            </w:tcBorders>
            <w:shd w:val="clear" w:color="auto" w:fill="CCEEFF"/>
          </w:tcPr>
          <w:p>
            <w:pPr>
              <w:spacing w:after="0"/>
              <w:rPr>
                <w:sz w:val="13"/>
                <w:szCs w:val="13"/>
                <w:color w:val="auto"/>
              </w:rPr>
            </w:pPr>
          </w:p>
        </w:tc>
        <w:tc>
          <w:tcPr>
            <w:tcW w:w="760" w:type="dxa"/>
            <w:vAlign w:val="bottom"/>
            <w:tcBorders>
              <w:top w:val="single" w:sz="8" w:color="auto"/>
            </w:tcBorders>
            <w:shd w:val="clear" w:color="auto" w:fill="CCEEFF"/>
          </w:tcPr>
          <w:p>
            <w:pPr>
              <w:spacing w:after="0"/>
              <w:rPr>
                <w:sz w:val="13"/>
                <w:szCs w:val="13"/>
                <w:color w:val="auto"/>
              </w:rPr>
            </w:pPr>
          </w:p>
        </w:tc>
        <w:tc>
          <w:tcPr>
            <w:tcW w:w="320" w:type="dxa"/>
            <w:vAlign w:val="bottom"/>
            <w:tcBorders>
              <w:top w:val="single" w:sz="8" w:color="CCEEFF"/>
            </w:tcBorders>
            <w:shd w:val="clear" w:color="auto" w:fill="CCEEFF"/>
          </w:tcPr>
          <w:p>
            <w:pPr>
              <w:spacing w:after="0"/>
              <w:rPr>
                <w:sz w:val="13"/>
                <w:szCs w:val="13"/>
                <w:color w:val="auto"/>
              </w:rPr>
            </w:pPr>
          </w:p>
        </w:tc>
        <w:tc>
          <w:tcPr>
            <w:tcW w:w="120" w:type="dxa"/>
            <w:vAlign w:val="bottom"/>
            <w:tcBorders>
              <w:top w:val="single" w:sz="8" w:color="auto"/>
            </w:tcBorders>
            <w:shd w:val="clear" w:color="auto" w:fill="CCEEFF"/>
          </w:tcPr>
          <w:p>
            <w:pPr>
              <w:spacing w:after="0"/>
              <w:rPr>
                <w:sz w:val="13"/>
                <w:szCs w:val="13"/>
                <w:color w:val="auto"/>
              </w:rPr>
            </w:pPr>
          </w:p>
        </w:tc>
        <w:tc>
          <w:tcPr>
            <w:tcW w:w="760" w:type="dxa"/>
            <w:vAlign w:val="bottom"/>
            <w:tcBorders>
              <w:top w:val="single" w:sz="8" w:color="auto"/>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91"/>
        </w:trPr>
        <w:tc>
          <w:tcPr>
            <w:tcW w:w="348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80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80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160" w:type="dxa"/>
            <w:vAlign w:val="bottom"/>
            <w:shd w:val="clear" w:color="auto" w:fill="CCEEFF"/>
          </w:tcPr>
          <w:p>
            <w:pPr>
              <w:spacing w:after="0"/>
              <w:rPr>
                <w:sz w:val="7"/>
                <w:szCs w:val="7"/>
                <w:color w:val="auto"/>
              </w:rPr>
            </w:pPr>
          </w:p>
        </w:tc>
        <w:tc>
          <w:tcPr>
            <w:tcW w:w="740" w:type="dxa"/>
            <w:vAlign w:val="bottom"/>
            <w:shd w:val="clear" w:color="auto" w:fill="CCEEFF"/>
          </w:tcPr>
          <w:p>
            <w:pPr>
              <w:spacing w:after="0"/>
              <w:rPr>
                <w:sz w:val="7"/>
                <w:szCs w:val="7"/>
                <w:color w:val="auto"/>
              </w:rPr>
            </w:pPr>
          </w:p>
        </w:tc>
        <w:tc>
          <w:tcPr>
            <w:tcW w:w="460" w:type="dxa"/>
            <w:vAlign w:val="bottom"/>
            <w:shd w:val="clear" w:color="auto" w:fill="CCEEFF"/>
          </w:tcPr>
          <w:p>
            <w:pPr>
              <w:spacing w:after="0"/>
              <w:rPr>
                <w:sz w:val="7"/>
                <w:szCs w:val="7"/>
                <w:color w:val="auto"/>
              </w:rPr>
            </w:pPr>
          </w:p>
        </w:tc>
        <w:tc>
          <w:tcPr>
            <w:tcW w:w="140" w:type="dxa"/>
            <w:vAlign w:val="bottom"/>
            <w:shd w:val="clear" w:color="auto" w:fill="CCEEFF"/>
          </w:tcPr>
          <w:p>
            <w:pPr>
              <w:spacing w:after="0"/>
              <w:rPr>
                <w:sz w:val="7"/>
                <w:szCs w:val="7"/>
                <w:color w:val="auto"/>
              </w:rPr>
            </w:pPr>
          </w:p>
        </w:tc>
        <w:tc>
          <w:tcPr>
            <w:tcW w:w="720" w:type="dxa"/>
            <w:vAlign w:val="bottom"/>
            <w:shd w:val="clear" w:color="auto" w:fill="CCEEFF"/>
          </w:tcPr>
          <w:p>
            <w:pPr>
              <w:spacing w:after="0"/>
              <w:rPr>
                <w:sz w:val="7"/>
                <w:szCs w:val="7"/>
                <w:color w:val="auto"/>
              </w:rPr>
            </w:pPr>
          </w:p>
        </w:tc>
        <w:tc>
          <w:tcPr>
            <w:tcW w:w="34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78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760" w:type="dxa"/>
            <w:vAlign w:val="bottom"/>
            <w:shd w:val="clear" w:color="auto" w:fill="CCEEFF"/>
          </w:tcPr>
          <w:p>
            <w:pPr>
              <w:spacing w:after="0"/>
              <w:rPr>
                <w:sz w:val="7"/>
                <w:szCs w:val="7"/>
                <w:color w:val="auto"/>
              </w:rPr>
            </w:pPr>
          </w:p>
        </w:tc>
        <w:tc>
          <w:tcPr>
            <w:tcW w:w="32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760" w:type="dxa"/>
            <w:vAlign w:val="bottom"/>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93"/>
        </w:trPr>
        <w:tc>
          <w:tcPr>
            <w:tcW w:w="348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Basic</w:t>
            </w:r>
          </w:p>
        </w:tc>
        <w:tc>
          <w:tcPr>
            <w:tcW w:w="1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(6.53)</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440" w:type="dxa"/>
            <w:vAlign w:val="bottom"/>
            <w:gridSpan w:val="2"/>
          </w:tcPr>
          <w:p>
            <w:pPr>
              <w:jc w:val="right"/>
              <w:ind w:right="20"/>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(1.24)</w:t>
            </w:r>
          </w:p>
        </w:tc>
        <w:tc>
          <w:tcPr>
            <w:tcW w:w="0" w:type="dxa"/>
            <w:vAlign w:val="bottom"/>
          </w:tcPr>
          <w:p>
            <w:pPr>
              <w:spacing w:after="0"/>
              <w:rPr>
                <w:sz w:val="1"/>
                <w:szCs w:val="1"/>
                <w:color w:val="auto"/>
              </w:rPr>
            </w:pPr>
          </w:p>
        </w:tc>
      </w:tr>
      <w:tr>
        <w:trPr>
          <w:trHeight w:val="118"/>
        </w:trPr>
        <w:tc>
          <w:tcPr>
            <w:tcW w:w="3480" w:type="dxa"/>
            <w:vAlign w:val="bottom"/>
            <w:tcBorders>
              <w:bottom w:val="single" w:sz="8" w:color="CCEEFF"/>
            </w:tcBorders>
          </w:tcPr>
          <w:p>
            <w:pPr>
              <w:spacing w:after="0"/>
              <w:rPr>
                <w:sz w:val="10"/>
                <w:szCs w:val="10"/>
                <w:color w:val="auto"/>
              </w:rPr>
            </w:pPr>
          </w:p>
        </w:tc>
        <w:tc>
          <w:tcPr>
            <w:tcW w:w="120" w:type="dxa"/>
            <w:vAlign w:val="bottom"/>
            <w:tcBorders>
              <w:bottom w:val="single" w:sz="8" w:color="CCEEFF"/>
            </w:tcBorders>
          </w:tcPr>
          <w:p>
            <w:pPr>
              <w:spacing w:after="0"/>
              <w:rPr>
                <w:sz w:val="10"/>
                <w:szCs w:val="10"/>
                <w:color w:val="auto"/>
              </w:rPr>
            </w:pPr>
          </w:p>
        </w:tc>
        <w:tc>
          <w:tcPr>
            <w:tcW w:w="800" w:type="dxa"/>
            <w:vAlign w:val="bottom"/>
            <w:tcBorders>
              <w:bottom w:val="single" w:sz="8" w:color="CCEEFF"/>
            </w:tcBorders>
          </w:tcPr>
          <w:p>
            <w:pPr>
              <w:spacing w:after="0"/>
              <w:rPr>
                <w:sz w:val="10"/>
                <w:szCs w:val="10"/>
                <w:color w:val="auto"/>
              </w:rPr>
            </w:pPr>
          </w:p>
        </w:tc>
        <w:tc>
          <w:tcPr>
            <w:tcW w:w="120" w:type="dxa"/>
            <w:vAlign w:val="bottom"/>
            <w:tcBorders>
              <w:bottom w:val="single" w:sz="8" w:color="CCEEFF"/>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800" w:type="dxa"/>
            <w:vAlign w:val="bottom"/>
            <w:tcBorders>
              <w:bottom w:val="single" w:sz="8" w:color="auto"/>
            </w:tcBorders>
          </w:tcPr>
          <w:p>
            <w:pPr>
              <w:spacing w:after="0"/>
              <w:rPr>
                <w:sz w:val="10"/>
                <w:szCs w:val="10"/>
                <w:color w:val="auto"/>
              </w:rPr>
            </w:pPr>
          </w:p>
        </w:tc>
        <w:tc>
          <w:tcPr>
            <w:tcW w:w="120" w:type="dxa"/>
            <w:vAlign w:val="bottom"/>
            <w:tcBorders>
              <w:bottom w:val="single" w:sz="8" w:color="CCEEFF"/>
            </w:tcBorders>
          </w:tcPr>
          <w:p>
            <w:pPr>
              <w:spacing w:after="0"/>
              <w:rPr>
                <w:sz w:val="10"/>
                <w:szCs w:val="10"/>
                <w:color w:val="auto"/>
              </w:rPr>
            </w:pPr>
          </w:p>
        </w:tc>
        <w:tc>
          <w:tcPr>
            <w:tcW w:w="160" w:type="dxa"/>
            <w:vAlign w:val="bottom"/>
            <w:tcBorders>
              <w:bottom w:val="single" w:sz="8" w:color="CCEEFF"/>
            </w:tcBorders>
          </w:tcPr>
          <w:p>
            <w:pPr>
              <w:spacing w:after="0"/>
              <w:rPr>
                <w:sz w:val="10"/>
                <w:szCs w:val="10"/>
                <w:color w:val="auto"/>
              </w:rPr>
            </w:pPr>
          </w:p>
        </w:tc>
        <w:tc>
          <w:tcPr>
            <w:tcW w:w="740" w:type="dxa"/>
            <w:vAlign w:val="bottom"/>
            <w:tcBorders>
              <w:bottom w:val="single" w:sz="8" w:color="CCEEFF"/>
            </w:tcBorders>
          </w:tcPr>
          <w:p>
            <w:pPr>
              <w:spacing w:after="0"/>
              <w:rPr>
                <w:sz w:val="10"/>
                <w:szCs w:val="10"/>
                <w:color w:val="auto"/>
              </w:rPr>
            </w:pPr>
          </w:p>
        </w:tc>
        <w:tc>
          <w:tcPr>
            <w:tcW w:w="460" w:type="dxa"/>
            <w:vAlign w:val="bottom"/>
            <w:tcBorders>
              <w:bottom w:val="single" w:sz="8" w:color="CCEEFF"/>
            </w:tcBorders>
          </w:tcPr>
          <w:p>
            <w:pPr>
              <w:spacing w:after="0"/>
              <w:rPr>
                <w:sz w:val="10"/>
                <w:szCs w:val="10"/>
                <w:color w:val="auto"/>
              </w:rPr>
            </w:pPr>
          </w:p>
        </w:tc>
        <w:tc>
          <w:tcPr>
            <w:tcW w:w="140" w:type="dxa"/>
            <w:vAlign w:val="bottom"/>
            <w:tcBorders>
              <w:bottom w:val="single" w:sz="8" w:color="CCEEFF"/>
            </w:tcBorders>
          </w:tcPr>
          <w:p>
            <w:pPr>
              <w:spacing w:after="0"/>
              <w:rPr>
                <w:sz w:val="10"/>
                <w:szCs w:val="10"/>
                <w:color w:val="auto"/>
              </w:rPr>
            </w:pPr>
          </w:p>
        </w:tc>
        <w:tc>
          <w:tcPr>
            <w:tcW w:w="720" w:type="dxa"/>
            <w:vAlign w:val="bottom"/>
            <w:tcBorders>
              <w:bottom w:val="single" w:sz="8" w:color="CCEEFF"/>
            </w:tcBorders>
          </w:tcPr>
          <w:p>
            <w:pPr>
              <w:spacing w:after="0"/>
              <w:rPr>
                <w:sz w:val="10"/>
                <w:szCs w:val="10"/>
                <w:color w:val="auto"/>
              </w:rPr>
            </w:pPr>
          </w:p>
        </w:tc>
        <w:tc>
          <w:tcPr>
            <w:tcW w:w="340" w:type="dxa"/>
            <w:vAlign w:val="bottom"/>
            <w:tcBorders>
              <w:bottom w:val="single" w:sz="8" w:color="CCEEFF"/>
            </w:tcBorders>
          </w:tcPr>
          <w:p>
            <w:pPr>
              <w:spacing w:after="0"/>
              <w:rPr>
                <w:sz w:val="10"/>
                <w:szCs w:val="10"/>
                <w:color w:val="auto"/>
              </w:rPr>
            </w:pPr>
          </w:p>
        </w:tc>
        <w:tc>
          <w:tcPr>
            <w:tcW w:w="100" w:type="dxa"/>
            <w:vAlign w:val="bottom"/>
            <w:tcBorders>
              <w:bottom w:val="single" w:sz="8" w:color="CCEEFF"/>
            </w:tcBorders>
          </w:tcPr>
          <w:p>
            <w:pPr>
              <w:spacing w:after="0"/>
              <w:rPr>
                <w:sz w:val="10"/>
                <w:szCs w:val="10"/>
                <w:color w:val="auto"/>
              </w:rPr>
            </w:pPr>
          </w:p>
        </w:tc>
        <w:tc>
          <w:tcPr>
            <w:tcW w:w="780" w:type="dxa"/>
            <w:vAlign w:val="bottom"/>
            <w:tcBorders>
              <w:bottom w:val="single" w:sz="8" w:color="CCEEFF"/>
            </w:tcBorders>
          </w:tcPr>
          <w:p>
            <w:pPr>
              <w:spacing w:after="0"/>
              <w:rPr>
                <w:sz w:val="10"/>
                <w:szCs w:val="10"/>
                <w:color w:val="auto"/>
              </w:rPr>
            </w:pPr>
          </w:p>
        </w:tc>
        <w:tc>
          <w:tcPr>
            <w:tcW w:w="100" w:type="dxa"/>
            <w:vAlign w:val="bottom"/>
            <w:tcBorders>
              <w:bottom w:val="single" w:sz="8" w:color="CCEEFF"/>
            </w:tcBorders>
          </w:tcPr>
          <w:p>
            <w:pPr>
              <w:spacing w:after="0"/>
              <w:rPr>
                <w:sz w:val="10"/>
                <w:szCs w:val="10"/>
                <w:color w:val="auto"/>
              </w:rPr>
            </w:pPr>
          </w:p>
        </w:tc>
        <w:tc>
          <w:tcPr>
            <w:tcW w:w="120" w:type="dxa"/>
            <w:vAlign w:val="bottom"/>
            <w:tcBorders>
              <w:bottom w:val="single" w:sz="8" w:color="CCEEFF"/>
            </w:tcBorders>
          </w:tcPr>
          <w:p>
            <w:pPr>
              <w:spacing w:after="0"/>
              <w:rPr>
                <w:sz w:val="10"/>
                <w:szCs w:val="10"/>
                <w:color w:val="auto"/>
              </w:rPr>
            </w:pPr>
          </w:p>
        </w:tc>
        <w:tc>
          <w:tcPr>
            <w:tcW w:w="760" w:type="dxa"/>
            <w:vAlign w:val="bottom"/>
            <w:tcBorders>
              <w:bottom w:val="single" w:sz="8" w:color="CCEEFF"/>
            </w:tcBorders>
          </w:tcPr>
          <w:p>
            <w:pPr>
              <w:spacing w:after="0"/>
              <w:rPr>
                <w:sz w:val="10"/>
                <w:szCs w:val="10"/>
                <w:color w:val="auto"/>
              </w:rPr>
            </w:pPr>
          </w:p>
        </w:tc>
        <w:tc>
          <w:tcPr>
            <w:tcW w:w="320" w:type="dxa"/>
            <w:vAlign w:val="bottom"/>
            <w:tcBorders>
              <w:bottom w:val="single" w:sz="8" w:color="CCEEFF"/>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7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9"/>
        </w:trPr>
        <w:tc>
          <w:tcPr>
            <w:tcW w:w="3480" w:type="dxa"/>
            <w:vAlign w:val="bottom"/>
            <w:tcBorders>
              <w:bottom w:val="single" w:sz="8" w:color="CCEEFF"/>
            </w:tcBorders>
            <w:shd w:val="clear" w:color="auto" w:fill="CCEEFF"/>
          </w:tcPr>
          <w:p>
            <w:pPr>
              <w:ind w:left="40"/>
              <w:spacing w:after="0" w:line="149" w:lineRule="exact"/>
              <w:rPr>
                <w:sz w:val="20"/>
                <w:szCs w:val="20"/>
                <w:color w:val="auto"/>
              </w:rPr>
            </w:pPr>
            <w:r>
              <w:rPr>
                <w:rFonts w:ascii="Times New Roman" w:cs="Times New Roman" w:eastAsia="Times New Roman" w:hAnsi="Times New Roman"/>
                <w:sz w:val="14"/>
                <w:szCs w:val="14"/>
                <w:color w:val="auto"/>
              </w:rPr>
              <w:t>Diluted</w:t>
            </w:r>
          </w:p>
        </w:tc>
        <w:tc>
          <w:tcPr>
            <w:tcW w:w="120" w:type="dxa"/>
            <w:vAlign w:val="bottom"/>
            <w:tcBorders>
              <w:bottom w:val="single" w:sz="8" w:color="CCEEFF"/>
            </w:tcBorders>
            <w:shd w:val="clear" w:color="auto" w:fill="CCEEFF"/>
          </w:tcPr>
          <w:p>
            <w:pPr>
              <w:spacing w:after="0"/>
              <w:rPr>
                <w:sz w:val="19"/>
                <w:szCs w:val="19"/>
                <w:color w:val="auto"/>
              </w:rPr>
            </w:pPr>
          </w:p>
        </w:tc>
        <w:tc>
          <w:tcPr>
            <w:tcW w:w="8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Borders>
              <w:bottom w:val="single" w:sz="8" w:color="CCEEFF"/>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(6.53)</w:t>
            </w:r>
          </w:p>
        </w:tc>
        <w:tc>
          <w:tcPr>
            <w:tcW w:w="12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740" w:type="dxa"/>
            <w:vAlign w:val="bottom"/>
            <w:tcBorders>
              <w:bottom w:val="single" w:sz="8" w:color="CCEEFF"/>
            </w:tcBorders>
            <w:shd w:val="clear" w:color="auto" w:fill="CCEEFF"/>
          </w:tcPr>
          <w:p>
            <w:pPr>
              <w:spacing w:after="0"/>
              <w:rPr>
                <w:sz w:val="19"/>
                <w:szCs w:val="19"/>
                <w:color w:val="auto"/>
              </w:rPr>
            </w:pPr>
          </w:p>
        </w:tc>
        <w:tc>
          <w:tcPr>
            <w:tcW w:w="46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720" w:type="dxa"/>
            <w:vAlign w:val="bottom"/>
            <w:tcBorders>
              <w:bottom w:val="single" w:sz="8" w:color="CCEEFF"/>
            </w:tcBorders>
            <w:shd w:val="clear" w:color="auto" w:fill="CCEEFF"/>
          </w:tcPr>
          <w:p>
            <w:pPr>
              <w:spacing w:after="0"/>
              <w:rPr>
                <w:sz w:val="19"/>
                <w:szCs w:val="19"/>
                <w:color w:val="auto"/>
              </w:rPr>
            </w:pPr>
          </w:p>
        </w:tc>
        <w:tc>
          <w:tcPr>
            <w:tcW w:w="34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78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760" w:type="dxa"/>
            <w:vAlign w:val="bottom"/>
            <w:tcBorders>
              <w:bottom w:val="single" w:sz="8" w:color="CCEEFF"/>
            </w:tcBorders>
            <w:shd w:val="clear" w:color="auto" w:fill="CCEEFF"/>
          </w:tcPr>
          <w:p>
            <w:pPr>
              <w:spacing w:after="0"/>
              <w:rPr>
                <w:sz w:val="19"/>
                <w:szCs w:val="19"/>
                <w:color w:val="auto"/>
              </w:rPr>
            </w:pPr>
          </w:p>
        </w:tc>
        <w:tc>
          <w:tcPr>
            <w:tcW w:w="440" w:type="dxa"/>
            <w:vAlign w:val="bottom"/>
            <w:tcBorders>
              <w:bottom w:val="single" w:sz="8" w:color="CCEEFF"/>
            </w:tcBorders>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(1.24)</w:t>
            </w:r>
          </w:p>
        </w:tc>
        <w:tc>
          <w:tcPr>
            <w:tcW w:w="0" w:type="dxa"/>
            <w:vAlign w:val="bottom"/>
          </w:tcPr>
          <w:p>
            <w:pPr>
              <w:spacing w:after="0"/>
              <w:rPr>
                <w:sz w:val="1"/>
                <w:szCs w:val="1"/>
                <w:color w:val="auto"/>
              </w:rPr>
            </w:pPr>
          </w:p>
        </w:tc>
      </w:tr>
      <w:tr>
        <w:trPr>
          <w:trHeight w:val="20"/>
        </w:trPr>
        <w:tc>
          <w:tcPr>
            <w:tcW w:w="3480" w:type="dxa"/>
            <w:vAlign w:val="bottom"/>
            <w:tcBorders>
              <w:top w:val="single" w:sz="8" w:color="CCEEFF"/>
              <w:bottom w:val="single" w:sz="8" w:color="CCEEFF"/>
            </w:tcBorders>
            <w:vMerge w:val="restart"/>
          </w:tcPr>
          <w:p>
            <w:pPr>
              <w:ind w:left="40"/>
              <w:spacing w:after="0"/>
              <w:rPr>
                <w:sz w:val="20"/>
                <w:szCs w:val="20"/>
                <w:color w:val="auto"/>
              </w:rPr>
            </w:pPr>
            <w:r>
              <w:rPr>
                <w:rFonts w:ascii="Times New Roman" w:cs="Times New Roman" w:eastAsia="Times New Roman" w:hAnsi="Times New Roman"/>
                <w:sz w:val="14"/>
                <w:szCs w:val="14"/>
                <w:color w:val="auto"/>
              </w:rPr>
              <w:t>Weighted-average common shares outstanding (Note 9):</w:t>
            </w:r>
          </w:p>
        </w:tc>
        <w:tc>
          <w:tcPr>
            <w:tcW w:w="12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76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0"/>
        </w:trPr>
        <w:tc>
          <w:tcPr>
            <w:tcW w:w="348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91"/>
        </w:trPr>
        <w:tc>
          <w:tcPr>
            <w:tcW w:w="3480" w:type="dxa"/>
            <w:vAlign w:val="bottom"/>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740" w:type="dxa"/>
            <w:vAlign w:val="bottom"/>
          </w:tcPr>
          <w:p>
            <w:pPr>
              <w:spacing w:after="0"/>
              <w:rPr>
                <w:sz w:val="7"/>
                <w:szCs w:val="7"/>
                <w:color w:val="auto"/>
              </w:rPr>
            </w:pPr>
          </w:p>
        </w:tc>
        <w:tc>
          <w:tcPr>
            <w:tcW w:w="460" w:type="dxa"/>
            <w:vAlign w:val="bottom"/>
          </w:tcPr>
          <w:p>
            <w:pPr>
              <w:spacing w:after="0"/>
              <w:rPr>
                <w:sz w:val="7"/>
                <w:szCs w:val="7"/>
                <w:color w:val="auto"/>
              </w:rPr>
            </w:pPr>
          </w:p>
        </w:tc>
        <w:tc>
          <w:tcPr>
            <w:tcW w:w="140" w:type="dxa"/>
            <w:vAlign w:val="bottom"/>
          </w:tcPr>
          <w:p>
            <w:pPr>
              <w:spacing w:after="0"/>
              <w:rPr>
                <w:sz w:val="7"/>
                <w:szCs w:val="7"/>
                <w:color w:val="auto"/>
              </w:rPr>
            </w:pPr>
          </w:p>
        </w:tc>
        <w:tc>
          <w:tcPr>
            <w:tcW w:w="720" w:type="dxa"/>
            <w:vAlign w:val="bottom"/>
          </w:tcPr>
          <w:p>
            <w:pPr>
              <w:spacing w:after="0"/>
              <w:rPr>
                <w:sz w:val="7"/>
                <w:szCs w:val="7"/>
                <w:color w:val="auto"/>
              </w:rPr>
            </w:pPr>
          </w:p>
        </w:tc>
        <w:tc>
          <w:tcPr>
            <w:tcW w:w="340" w:type="dxa"/>
            <w:vAlign w:val="bottom"/>
          </w:tcPr>
          <w:p>
            <w:pPr>
              <w:spacing w:after="0"/>
              <w:rPr>
                <w:sz w:val="7"/>
                <w:szCs w:val="7"/>
                <w:color w:val="auto"/>
              </w:rPr>
            </w:pPr>
          </w:p>
        </w:tc>
        <w:tc>
          <w:tcPr>
            <w:tcW w:w="10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760" w:type="dxa"/>
            <w:vAlign w:val="bottom"/>
          </w:tcPr>
          <w:p>
            <w:pPr>
              <w:spacing w:after="0"/>
              <w:rPr>
                <w:sz w:val="7"/>
                <w:szCs w:val="7"/>
                <w:color w:val="auto"/>
              </w:rPr>
            </w:pPr>
          </w:p>
        </w:tc>
        <w:tc>
          <w:tcPr>
            <w:tcW w:w="320" w:type="dxa"/>
            <w:vAlign w:val="bottom"/>
          </w:tcPr>
          <w:p>
            <w:pPr>
              <w:spacing w:after="0"/>
              <w:rPr>
                <w:sz w:val="7"/>
                <w:szCs w:val="7"/>
                <w:color w:val="auto"/>
              </w:rPr>
            </w:pPr>
          </w:p>
        </w:tc>
        <w:tc>
          <w:tcPr>
            <w:tcW w:w="880" w:type="dxa"/>
            <w:vAlign w:val="bottom"/>
            <w:gridSpan w:val="2"/>
          </w:tcPr>
          <w:p>
            <w:pPr>
              <w:spacing w:after="0"/>
              <w:rPr>
                <w:sz w:val="7"/>
                <w:szCs w:val="7"/>
                <w:color w:val="auto"/>
              </w:rPr>
            </w:pPr>
          </w:p>
        </w:tc>
        <w:tc>
          <w:tcPr>
            <w:tcW w:w="0" w:type="dxa"/>
            <w:vAlign w:val="bottom"/>
          </w:tcPr>
          <w:p>
            <w:pPr>
              <w:spacing w:after="0"/>
              <w:rPr>
                <w:sz w:val="1"/>
                <w:szCs w:val="1"/>
                <w:color w:val="auto"/>
              </w:rPr>
            </w:pPr>
          </w:p>
        </w:tc>
      </w:tr>
      <w:tr>
        <w:trPr>
          <w:trHeight w:val="193"/>
        </w:trPr>
        <w:tc>
          <w:tcPr>
            <w:tcW w:w="34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Basic</w:t>
            </w:r>
          </w:p>
        </w:tc>
        <w:tc>
          <w:tcPr>
            <w:tcW w:w="12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71,856,950</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200" w:type="dxa"/>
            <w:vAlign w:val="bottom"/>
            <w:gridSpan w:val="3"/>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127,024,248</w:t>
            </w:r>
          </w:p>
        </w:tc>
        <w:tc>
          <w:tcPr>
            <w:tcW w:w="0" w:type="dxa"/>
            <w:vAlign w:val="bottom"/>
          </w:tcPr>
          <w:p>
            <w:pPr>
              <w:spacing w:after="0"/>
              <w:rPr>
                <w:sz w:val="1"/>
                <w:szCs w:val="1"/>
                <w:color w:val="auto"/>
              </w:rPr>
            </w:pPr>
          </w:p>
        </w:tc>
      </w:tr>
      <w:tr>
        <w:trPr>
          <w:trHeight w:val="78"/>
        </w:trPr>
        <w:tc>
          <w:tcPr>
            <w:tcW w:w="3480" w:type="dxa"/>
            <w:vAlign w:val="bottom"/>
            <w:tcBorders>
              <w:bottom w:val="single" w:sz="8" w:color="CCEEFF"/>
            </w:tcBorders>
            <w:shd w:val="clear" w:color="auto" w:fill="CCEEFF"/>
          </w:tcPr>
          <w:p>
            <w:pPr>
              <w:spacing w:after="0"/>
              <w:rPr>
                <w:sz w:val="6"/>
                <w:szCs w:val="6"/>
                <w:color w:val="auto"/>
              </w:rPr>
            </w:pPr>
          </w:p>
        </w:tc>
        <w:tc>
          <w:tcPr>
            <w:tcW w:w="120" w:type="dxa"/>
            <w:vAlign w:val="bottom"/>
            <w:tcBorders>
              <w:bottom w:val="single" w:sz="8" w:color="CCEEFF"/>
            </w:tcBorders>
            <w:shd w:val="clear" w:color="auto" w:fill="CCEEFF"/>
          </w:tcPr>
          <w:p>
            <w:pPr>
              <w:spacing w:after="0"/>
              <w:rPr>
                <w:sz w:val="6"/>
                <w:szCs w:val="6"/>
                <w:color w:val="auto"/>
              </w:rPr>
            </w:pPr>
          </w:p>
        </w:tc>
        <w:tc>
          <w:tcPr>
            <w:tcW w:w="800" w:type="dxa"/>
            <w:vAlign w:val="bottom"/>
            <w:tcBorders>
              <w:bottom w:val="single" w:sz="8" w:color="CCEEFF"/>
            </w:tcBorders>
            <w:shd w:val="clear" w:color="auto" w:fill="CCEEFF"/>
          </w:tcPr>
          <w:p>
            <w:pPr>
              <w:spacing w:after="0"/>
              <w:rPr>
                <w:sz w:val="6"/>
                <w:szCs w:val="6"/>
                <w:color w:val="auto"/>
              </w:rPr>
            </w:pPr>
          </w:p>
        </w:tc>
        <w:tc>
          <w:tcPr>
            <w:tcW w:w="120" w:type="dxa"/>
            <w:vAlign w:val="bottom"/>
            <w:tcBorders>
              <w:bottom w:val="single" w:sz="8" w:color="CCEEFF"/>
            </w:tcBorders>
            <w:shd w:val="clear" w:color="auto" w:fill="CCEEFF"/>
          </w:tcPr>
          <w:p>
            <w:pPr>
              <w:spacing w:after="0"/>
              <w:rPr>
                <w:sz w:val="6"/>
                <w:szCs w:val="6"/>
                <w:color w:val="auto"/>
              </w:rPr>
            </w:pPr>
          </w:p>
        </w:tc>
        <w:tc>
          <w:tcPr>
            <w:tcW w:w="120" w:type="dxa"/>
            <w:vAlign w:val="bottom"/>
            <w:tcBorders>
              <w:bottom w:val="single" w:sz="8" w:color="auto"/>
            </w:tcBorders>
            <w:shd w:val="clear" w:color="auto" w:fill="CCEEFF"/>
          </w:tcPr>
          <w:p>
            <w:pPr>
              <w:spacing w:after="0"/>
              <w:rPr>
                <w:sz w:val="6"/>
                <w:szCs w:val="6"/>
                <w:color w:val="auto"/>
              </w:rPr>
            </w:pPr>
          </w:p>
        </w:tc>
        <w:tc>
          <w:tcPr>
            <w:tcW w:w="800" w:type="dxa"/>
            <w:vAlign w:val="bottom"/>
            <w:tcBorders>
              <w:bottom w:val="single" w:sz="8" w:color="auto"/>
            </w:tcBorders>
            <w:shd w:val="clear" w:color="auto" w:fill="CCEEFF"/>
          </w:tcPr>
          <w:p>
            <w:pPr>
              <w:spacing w:after="0"/>
              <w:rPr>
                <w:sz w:val="6"/>
                <w:szCs w:val="6"/>
                <w:color w:val="auto"/>
              </w:rPr>
            </w:pPr>
          </w:p>
        </w:tc>
        <w:tc>
          <w:tcPr>
            <w:tcW w:w="120" w:type="dxa"/>
            <w:vAlign w:val="bottom"/>
            <w:tcBorders>
              <w:bottom w:val="single" w:sz="8" w:color="CCEEFF"/>
            </w:tcBorders>
            <w:shd w:val="clear" w:color="auto" w:fill="CCEEFF"/>
          </w:tcPr>
          <w:p>
            <w:pPr>
              <w:spacing w:after="0"/>
              <w:rPr>
                <w:sz w:val="6"/>
                <w:szCs w:val="6"/>
                <w:color w:val="auto"/>
              </w:rPr>
            </w:pPr>
          </w:p>
        </w:tc>
        <w:tc>
          <w:tcPr>
            <w:tcW w:w="160" w:type="dxa"/>
            <w:vAlign w:val="bottom"/>
            <w:tcBorders>
              <w:bottom w:val="single" w:sz="8" w:color="CCEEFF"/>
            </w:tcBorders>
            <w:shd w:val="clear" w:color="auto" w:fill="CCEEFF"/>
          </w:tcPr>
          <w:p>
            <w:pPr>
              <w:spacing w:after="0"/>
              <w:rPr>
                <w:sz w:val="6"/>
                <w:szCs w:val="6"/>
                <w:color w:val="auto"/>
              </w:rPr>
            </w:pPr>
          </w:p>
        </w:tc>
        <w:tc>
          <w:tcPr>
            <w:tcW w:w="740" w:type="dxa"/>
            <w:vAlign w:val="bottom"/>
            <w:tcBorders>
              <w:bottom w:val="single" w:sz="8" w:color="CCEEFF"/>
            </w:tcBorders>
            <w:shd w:val="clear" w:color="auto" w:fill="CCEEFF"/>
          </w:tcPr>
          <w:p>
            <w:pPr>
              <w:spacing w:after="0"/>
              <w:rPr>
                <w:sz w:val="6"/>
                <w:szCs w:val="6"/>
                <w:color w:val="auto"/>
              </w:rPr>
            </w:pPr>
          </w:p>
        </w:tc>
        <w:tc>
          <w:tcPr>
            <w:tcW w:w="460" w:type="dxa"/>
            <w:vAlign w:val="bottom"/>
            <w:tcBorders>
              <w:bottom w:val="single" w:sz="8" w:color="CCEEFF"/>
            </w:tcBorders>
            <w:shd w:val="clear" w:color="auto" w:fill="CCEEFF"/>
          </w:tcPr>
          <w:p>
            <w:pPr>
              <w:spacing w:after="0"/>
              <w:rPr>
                <w:sz w:val="6"/>
                <w:szCs w:val="6"/>
                <w:color w:val="auto"/>
              </w:rPr>
            </w:pPr>
          </w:p>
        </w:tc>
        <w:tc>
          <w:tcPr>
            <w:tcW w:w="140" w:type="dxa"/>
            <w:vAlign w:val="bottom"/>
            <w:tcBorders>
              <w:bottom w:val="single" w:sz="8" w:color="CCEEFF"/>
            </w:tcBorders>
            <w:shd w:val="clear" w:color="auto" w:fill="CCEEFF"/>
          </w:tcPr>
          <w:p>
            <w:pPr>
              <w:spacing w:after="0"/>
              <w:rPr>
                <w:sz w:val="6"/>
                <w:szCs w:val="6"/>
                <w:color w:val="auto"/>
              </w:rPr>
            </w:pPr>
          </w:p>
        </w:tc>
        <w:tc>
          <w:tcPr>
            <w:tcW w:w="720" w:type="dxa"/>
            <w:vAlign w:val="bottom"/>
            <w:tcBorders>
              <w:bottom w:val="single" w:sz="8" w:color="CCEEFF"/>
            </w:tcBorders>
            <w:shd w:val="clear" w:color="auto" w:fill="CCEEFF"/>
          </w:tcPr>
          <w:p>
            <w:pPr>
              <w:spacing w:after="0"/>
              <w:rPr>
                <w:sz w:val="6"/>
                <w:szCs w:val="6"/>
                <w:color w:val="auto"/>
              </w:rPr>
            </w:pPr>
          </w:p>
        </w:tc>
        <w:tc>
          <w:tcPr>
            <w:tcW w:w="340" w:type="dxa"/>
            <w:vAlign w:val="bottom"/>
            <w:tcBorders>
              <w:bottom w:val="single" w:sz="8" w:color="CCEEFF"/>
            </w:tcBorders>
            <w:shd w:val="clear" w:color="auto" w:fill="CCEEFF"/>
          </w:tcPr>
          <w:p>
            <w:pPr>
              <w:spacing w:after="0"/>
              <w:rPr>
                <w:sz w:val="6"/>
                <w:szCs w:val="6"/>
                <w:color w:val="auto"/>
              </w:rPr>
            </w:pPr>
          </w:p>
        </w:tc>
        <w:tc>
          <w:tcPr>
            <w:tcW w:w="100" w:type="dxa"/>
            <w:vAlign w:val="bottom"/>
            <w:tcBorders>
              <w:bottom w:val="single" w:sz="8" w:color="CCEEFF"/>
            </w:tcBorders>
            <w:shd w:val="clear" w:color="auto" w:fill="CCEEFF"/>
          </w:tcPr>
          <w:p>
            <w:pPr>
              <w:spacing w:after="0"/>
              <w:rPr>
                <w:sz w:val="6"/>
                <w:szCs w:val="6"/>
                <w:color w:val="auto"/>
              </w:rPr>
            </w:pPr>
          </w:p>
        </w:tc>
        <w:tc>
          <w:tcPr>
            <w:tcW w:w="780" w:type="dxa"/>
            <w:vAlign w:val="bottom"/>
            <w:tcBorders>
              <w:bottom w:val="single" w:sz="8" w:color="CCEEFF"/>
            </w:tcBorders>
            <w:shd w:val="clear" w:color="auto" w:fill="CCEEFF"/>
          </w:tcPr>
          <w:p>
            <w:pPr>
              <w:spacing w:after="0"/>
              <w:rPr>
                <w:sz w:val="6"/>
                <w:szCs w:val="6"/>
                <w:color w:val="auto"/>
              </w:rPr>
            </w:pPr>
          </w:p>
        </w:tc>
        <w:tc>
          <w:tcPr>
            <w:tcW w:w="100" w:type="dxa"/>
            <w:vAlign w:val="bottom"/>
            <w:tcBorders>
              <w:bottom w:val="single" w:sz="8" w:color="CCEEFF"/>
            </w:tcBorders>
            <w:shd w:val="clear" w:color="auto" w:fill="CCEEFF"/>
          </w:tcPr>
          <w:p>
            <w:pPr>
              <w:spacing w:after="0"/>
              <w:rPr>
                <w:sz w:val="6"/>
                <w:szCs w:val="6"/>
                <w:color w:val="auto"/>
              </w:rPr>
            </w:pPr>
          </w:p>
        </w:tc>
        <w:tc>
          <w:tcPr>
            <w:tcW w:w="120" w:type="dxa"/>
            <w:vAlign w:val="bottom"/>
            <w:tcBorders>
              <w:bottom w:val="single" w:sz="8" w:color="CCEEFF"/>
            </w:tcBorders>
            <w:shd w:val="clear" w:color="auto" w:fill="CCEEFF"/>
          </w:tcPr>
          <w:p>
            <w:pPr>
              <w:spacing w:after="0"/>
              <w:rPr>
                <w:sz w:val="6"/>
                <w:szCs w:val="6"/>
                <w:color w:val="auto"/>
              </w:rPr>
            </w:pPr>
          </w:p>
        </w:tc>
        <w:tc>
          <w:tcPr>
            <w:tcW w:w="760" w:type="dxa"/>
            <w:vAlign w:val="bottom"/>
            <w:tcBorders>
              <w:bottom w:val="single" w:sz="8" w:color="CCEEFF"/>
            </w:tcBorders>
            <w:shd w:val="clear" w:color="auto" w:fill="CCEEFF"/>
          </w:tcPr>
          <w:p>
            <w:pPr>
              <w:spacing w:after="0"/>
              <w:rPr>
                <w:sz w:val="6"/>
                <w:szCs w:val="6"/>
                <w:color w:val="auto"/>
              </w:rPr>
            </w:pPr>
          </w:p>
        </w:tc>
        <w:tc>
          <w:tcPr>
            <w:tcW w:w="320" w:type="dxa"/>
            <w:vAlign w:val="bottom"/>
            <w:tcBorders>
              <w:bottom w:val="single" w:sz="8" w:color="CCEEFF"/>
            </w:tcBorders>
            <w:shd w:val="clear" w:color="auto" w:fill="CCEEFF"/>
          </w:tcPr>
          <w:p>
            <w:pPr>
              <w:spacing w:after="0"/>
              <w:rPr>
                <w:sz w:val="6"/>
                <w:szCs w:val="6"/>
                <w:color w:val="auto"/>
              </w:rPr>
            </w:pPr>
          </w:p>
        </w:tc>
        <w:tc>
          <w:tcPr>
            <w:tcW w:w="880" w:type="dxa"/>
            <w:vAlign w:val="bottom"/>
            <w:tcBorders>
              <w:bottom w:val="single" w:sz="8" w:color="auto"/>
            </w:tcBorders>
            <w:gridSpan w:val="2"/>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3480" w:type="dxa"/>
            <w:vAlign w:val="bottom"/>
            <w:vMerge w:val="restart"/>
          </w:tcPr>
          <w:p>
            <w:pPr>
              <w:ind w:left="40"/>
              <w:spacing w:after="0"/>
              <w:rPr>
                <w:sz w:val="20"/>
                <w:szCs w:val="20"/>
                <w:color w:val="auto"/>
              </w:rPr>
            </w:pPr>
            <w:r>
              <w:rPr>
                <w:rFonts w:ascii="Times New Roman" w:cs="Times New Roman" w:eastAsia="Times New Roman" w:hAnsi="Times New Roman"/>
                <w:sz w:val="14"/>
                <w:szCs w:val="14"/>
                <w:color w:val="auto"/>
              </w:rPr>
              <w:t>Diluted</w:t>
            </w: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80" w:type="dxa"/>
            <w:vAlign w:val="bottom"/>
            <w:tcBorders>
              <w:bottom w:val="single" w:sz="8" w:color="auto"/>
            </w:tcBorders>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3"/>
        </w:trPr>
        <w:tc>
          <w:tcPr>
            <w:tcW w:w="348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71,856,950</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00" w:type="dxa"/>
            <w:vAlign w:val="bottom"/>
            <w:gridSpan w:val="3"/>
          </w:tcPr>
          <w:p>
            <w:pPr>
              <w:jc w:val="right"/>
              <w:ind w:right="28"/>
              <w:spacing w:after="0"/>
              <w:rPr>
                <w:sz w:val="20"/>
                <w:szCs w:val="20"/>
                <w:color w:val="auto"/>
              </w:rPr>
            </w:pPr>
            <w:r>
              <w:rPr>
                <w:rFonts w:ascii="Times New Roman" w:cs="Times New Roman" w:eastAsia="Times New Roman" w:hAnsi="Times New Roman"/>
                <w:sz w:val="14"/>
                <w:szCs w:val="14"/>
                <w:color w:val="auto"/>
              </w:rPr>
              <w:t>127,024,248</w:t>
            </w:r>
          </w:p>
        </w:tc>
        <w:tc>
          <w:tcPr>
            <w:tcW w:w="0" w:type="dxa"/>
            <w:vAlign w:val="bottom"/>
          </w:tcPr>
          <w:p>
            <w:pPr>
              <w:spacing w:after="0"/>
              <w:rPr>
                <w:sz w:val="1"/>
                <w:szCs w:val="1"/>
                <w:color w:val="auto"/>
              </w:rPr>
            </w:pPr>
          </w:p>
        </w:tc>
      </w:tr>
      <w:tr>
        <w:trPr>
          <w:trHeight w:val="51"/>
        </w:trPr>
        <w:tc>
          <w:tcPr>
            <w:tcW w:w="3480" w:type="dxa"/>
            <w:vAlign w:val="bottom"/>
          </w:tcPr>
          <w:p>
            <w:pPr>
              <w:spacing w:after="0"/>
              <w:rPr>
                <w:sz w:val="4"/>
                <w:szCs w:val="4"/>
                <w:color w:val="auto"/>
              </w:rPr>
            </w:pPr>
          </w:p>
        </w:tc>
        <w:tc>
          <w:tcPr>
            <w:tcW w:w="1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740" w:type="dxa"/>
            <w:vAlign w:val="bottom"/>
          </w:tcPr>
          <w:p>
            <w:pPr>
              <w:spacing w:after="0"/>
              <w:rPr>
                <w:sz w:val="4"/>
                <w:szCs w:val="4"/>
                <w:color w:val="auto"/>
              </w:rPr>
            </w:pPr>
          </w:p>
        </w:tc>
        <w:tc>
          <w:tcPr>
            <w:tcW w:w="460" w:type="dxa"/>
            <w:vAlign w:val="bottom"/>
          </w:tcPr>
          <w:p>
            <w:pPr>
              <w:spacing w:after="0"/>
              <w:rPr>
                <w:sz w:val="4"/>
                <w:szCs w:val="4"/>
                <w:color w:val="auto"/>
              </w:rPr>
            </w:pPr>
          </w:p>
        </w:tc>
        <w:tc>
          <w:tcPr>
            <w:tcW w:w="140" w:type="dxa"/>
            <w:vAlign w:val="bottom"/>
          </w:tcPr>
          <w:p>
            <w:pPr>
              <w:spacing w:after="0"/>
              <w:rPr>
                <w:sz w:val="4"/>
                <w:szCs w:val="4"/>
                <w:color w:val="auto"/>
              </w:rPr>
            </w:pPr>
          </w:p>
        </w:tc>
        <w:tc>
          <w:tcPr>
            <w:tcW w:w="720" w:type="dxa"/>
            <w:vAlign w:val="bottom"/>
          </w:tcPr>
          <w:p>
            <w:pPr>
              <w:spacing w:after="0"/>
              <w:rPr>
                <w:sz w:val="4"/>
                <w:szCs w:val="4"/>
                <w:color w:val="auto"/>
              </w:rPr>
            </w:pPr>
          </w:p>
        </w:tc>
        <w:tc>
          <w:tcPr>
            <w:tcW w:w="340" w:type="dxa"/>
            <w:vAlign w:val="bottom"/>
          </w:tcPr>
          <w:p>
            <w:pPr>
              <w:spacing w:after="0"/>
              <w:rPr>
                <w:sz w:val="4"/>
                <w:szCs w:val="4"/>
                <w:color w:val="auto"/>
              </w:rPr>
            </w:pPr>
          </w:p>
        </w:tc>
        <w:tc>
          <w:tcPr>
            <w:tcW w:w="1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760" w:type="dxa"/>
            <w:vAlign w:val="bottom"/>
          </w:tcPr>
          <w:p>
            <w:pPr>
              <w:spacing w:after="0"/>
              <w:rPr>
                <w:sz w:val="4"/>
                <w:szCs w:val="4"/>
                <w:color w:val="auto"/>
              </w:rPr>
            </w:pPr>
          </w:p>
        </w:tc>
        <w:tc>
          <w:tcPr>
            <w:tcW w:w="320" w:type="dxa"/>
            <w:vAlign w:val="bottom"/>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3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11180"/>
          </w:cols>
          <w:pgMar w:left="360" w:top="581" w:right="359" w:bottom="1440" w:gutter="0" w:footer="0" w:header="0"/>
        </w:sectPr>
      </w:pPr>
    </w:p>
    <w:bookmarkStart w:id="37" w:name="page38"/>
    <w:bookmarkEnd w:id="37"/>
    <w:p>
      <w:pPr>
        <w:jc w:val="center"/>
        <w:spacing w:after="0"/>
        <w:rPr>
          <w:sz w:val="20"/>
          <w:szCs w:val="20"/>
          <w:color w:val="auto"/>
        </w:rPr>
      </w:pPr>
      <w:r>
        <w:rPr>
          <w:rFonts w:ascii="Times New Roman" w:cs="Times New Roman" w:eastAsia="Times New Roman" w:hAnsi="Times New Roman"/>
          <w:sz w:val="22"/>
          <w:szCs w:val="22"/>
          <w:b w:val="1"/>
          <w:bCs w:val="1"/>
          <w:color w:val="auto"/>
        </w:rPr>
        <w:t>NOTES TO UNAUDITED PRO FORMA CONDENSED COMBINED FINANCIAL STATEMENTS</w:t>
      </w:r>
    </w:p>
    <w:p>
      <w:pPr>
        <w:spacing w:after="0" w:line="269" w:lineRule="exact"/>
        <w:rPr>
          <w:sz w:val="20"/>
          <w:szCs w:val="20"/>
          <w:color w:val="auto"/>
        </w:rPr>
      </w:pPr>
    </w:p>
    <w:p>
      <w:pPr>
        <w:ind w:left="540" w:hanging="532"/>
        <w:spacing w:after="0"/>
        <w:tabs>
          <w:tab w:leader="none" w:pos="540" w:val="left"/>
        </w:tabs>
        <w:numPr>
          <w:ilvl w:val="0"/>
          <w:numId w:val="1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DESCRIPTION OF THE TRANSACTIONS</w:t>
      </w:r>
    </w:p>
    <w:p>
      <w:pPr>
        <w:spacing w:after="0" w:line="243"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On May 4, 2018 (the “Closing Date”), pursuant to the Business Combination Agreement (the “BCA”), dated as of October 17, 2017, as amended on November 21, 2017 and December 16, 2017, by and among New Amneal, Impax, K2 Merger Sub Corporation (“Merger Sub”), and Amneal, Impax and Amneal combined the generics and specialty pharmaceutical business of Impax with the generic drug development and manufacturing business of Amneal in a transaction that represented an opportunity to create a new generics company, New Amneal through the following transactions (together the “Combination”): (i) Merger Sub merged with and into Impax, with Impax surviving as a direct wholly-owned subsidiary of the Company, (ii) each share of Impax’s common stock, par value $0.01 per share (“Impax Common Stock”), issued and outstanding immediately prior to the Impax merger, other than Impax Common Stock held by Impax in treasury, by Amneal or by any of their respective subsidiaries, was converted into the right to receive one fully paid and nonassessable share of Class A Common Stock, (iii) Impax converted to a Delaware limited liability company, (iv) the Company contributed to Amneal all of the Company’s equity interests in Impax, in exchange for Amneal Common Units, (v) the Company issued an aggregate number of shares of Class B common stock of the Company, par value $0.01 per share (“Class B Common Stock” and together with Class A Common Stock and Class B-1 Common Stock, “New Amneal Common Stock”) to Holdings, and (vi) the Company became the managing member of Amneal. As a result of the Combination, holders of Impax Common Stock immediately prior to closing (“Impax Stockholders”) collectively held approximately 25%, and Holdings held approximately 75%, of the voting and economic interests in the combined businesses of Impax and Amneal under New Amneal.</w:t>
      </w:r>
    </w:p>
    <w:p>
      <w:pPr>
        <w:spacing w:after="0" w:line="18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order to finance the Combination, Amneal consummated the following transactions (collectively, the “Financing”, and together with the Combination, the “Transactions”): (i) borrowed $2,700.0 million in aggregate principal amount of new senior secured term loans (the “New Term Facility,”), and (ii) entered into a new senior secured asset based revolving credit facility with borrowing capacity of up to $500.0 million (the “New ABL Facility”) under which no amounts were drawn and outstanding upon closing. The net proceeds from the New Term Facility were used to finance in part the Combination, to pay off certain existing indebtedness of Amneal and Impax and to pay fees and expenses related to the foregoing.</w:t>
      </w:r>
    </w:p>
    <w:p>
      <w:pPr>
        <w:spacing w:after="0" w:line="184"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Immediately upon the consummation of the Transactions, Holdings held a majority interest in New Amneal with an effective voting interest of approximately 75% on a fully diluted and as converted basis through their ownership of Class B Common Stock. Holdings also held a corresponding number of Amneal Common Units, which entitle it to approximately 75% of the economic interests in the combined businesses of Impax and Amneal. New Amneal owned an interest in Amneal of approximately 25% and is its managing member. As a result, New Amneal will consolidate the financial results of Amneal and will report a non-controlling interest related to the Amneal Common Units held by Holdings in the consolidated financial statements. Upon the consummation of the Transactions, the Amneal Common Units became redeemable at the option of the holder for shares of Class A Common Stock or Class B-1 Common Stock on a one-for-one basis or, at New Amneal’s election, their per-share cash equivalent.</w:t>
      </w:r>
    </w:p>
    <w:p>
      <w:pPr>
        <w:spacing w:after="0" w:line="18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In connection with the Transactions, Holdings entered into a definitive purchase agreements which provided for a private placement of certain shares of Class A Common Stock and Class B-1 Common Stock (the “PIPE Investment”) with select institutional investors (the “PIPE Investors”). Pursuant to the terms of the purchase agreements, upon the closing of the Combination, Holdings exercised its right to cause Amneal to redeem approximately 15% of their ownership interests in Amneal in exchange for a corresponding number of unregistered shares of Class A Common Stock or Class B-1 Common Stock (the “Redemption”). The shares of Class A Common Stock and Class B-1 Common Stock received in the Redemption were sold immediately following the closing by Holdings to the PIPE Investors at a per share purchase price of $18.25 for gross proceeds of $855.0 million. Following the PIPE Investment, the PIPE Investors owned collectively approximately 15% of the New Amneal Common Stock on a fully diluted and as converted basis. On May 4, 2018, Holdings caused Amneal to redeem (the “Closing Date Redemption”) 6.9 million of the Amneal Common Units held by Holdings for a like number of shares of Class A Common Stock, for future distribution to certain direct and indirect members of Holdings who were or are employees of Amneal and to whom were previously issued (prior to the Closing Date) profit participation units in Amneal. As a result of the PIPE Investment and Closing Date Redemption, the voting and economic interest of approximately 75% held by Holdings immediately upon closing, was reduced by approximately 18%. As such, the overall interest percentage held by non-controlling interest holders upon the consummation of the Combination, PIPE Investment and Closing Date Redemption (following the distribution of such shares) is approximately 57%.</w:t>
      </w:r>
    </w:p>
    <w:p>
      <w:pPr>
        <w:spacing w:after="0" w:line="185" w:lineRule="exact"/>
        <w:rPr>
          <w:sz w:val="20"/>
          <w:szCs w:val="20"/>
          <w:color w:val="auto"/>
        </w:rPr>
      </w:pPr>
    </w:p>
    <w:p>
      <w:pPr>
        <w:spacing w:after="0"/>
        <w:tabs>
          <w:tab w:leader="none" w:pos="300" w:val="left"/>
        </w:tabs>
        <w:rPr>
          <w:sz w:val="20"/>
          <w:szCs w:val="20"/>
          <w:color w:val="auto"/>
        </w:rPr>
      </w:pPr>
      <w:r>
        <w:rPr>
          <w:rFonts w:ascii="Times New Roman" w:cs="Times New Roman" w:eastAsia="Times New Roman" w:hAnsi="Times New Roman"/>
          <w:sz w:val="18"/>
          <w:szCs w:val="18"/>
          <w:b w:val="1"/>
          <w:bCs w:val="1"/>
          <w:color w:val="auto"/>
        </w:rPr>
        <w:t>2.</w:t>
      </w:r>
      <w:r>
        <w:rPr>
          <w:sz w:val="20"/>
          <w:szCs w:val="20"/>
          <w:color w:val="auto"/>
        </w:rPr>
        <w:tab/>
      </w:r>
      <w:r>
        <w:rPr>
          <w:rFonts w:ascii="Times New Roman" w:cs="Times New Roman" w:eastAsia="Times New Roman" w:hAnsi="Times New Roman"/>
          <w:sz w:val="17"/>
          <w:szCs w:val="17"/>
          <w:b w:val="1"/>
          <w:bCs w:val="1"/>
          <w:color w:val="auto"/>
        </w:rPr>
        <w:t>BASIS OF PRESENTATION</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unaudited pro forma condensed combined financial statements present the pro forma condensed combined financial position and results of operations of New Amneal based upon the historical financial statements of Amneal and Impax, after giving effect to the Transactions, PIPE Investment and Closing Date Redemption and are intended to reflect the impact of such on New Amneal’s consolidated financial statements.</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11420"/>
          </w:cols>
          <w:pgMar w:left="240" w:top="122" w:right="239" w:bottom="1440" w:gutter="0" w:footer="0" w:header="0"/>
        </w:sectPr>
      </w:pPr>
    </w:p>
    <w:bookmarkStart w:id="38" w:name="page39"/>
    <w:bookmarkEnd w:id="38"/>
    <w:p>
      <w:pPr>
        <w:jc w:val="center"/>
        <w:spacing w:after="0"/>
        <w:rPr>
          <w:sz w:val="20"/>
          <w:szCs w:val="20"/>
          <w:color w:val="auto"/>
        </w:rPr>
      </w:pPr>
      <w:r>
        <w:rPr>
          <w:rFonts w:ascii="Times New Roman" w:cs="Times New Roman" w:eastAsia="Times New Roman" w:hAnsi="Times New Roman"/>
          <w:sz w:val="22"/>
          <w:szCs w:val="22"/>
          <w:b w:val="1"/>
          <w:bCs w:val="1"/>
          <w:color w:val="auto"/>
        </w:rPr>
        <w:t>NOTES TO UNAUDITED PRO FORMA CONDENSED COMBINED FINANCIAL STATEMENTS</w:t>
      </w:r>
    </w:p>
    <w:p>
      <w:pPr>
        <w:spacing w:after="0" w:line="24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Combination will be accounted for as a business combination, with Amneal treated as the “acquirer” and Impax treated as the “acquired” company for financial reporting purposes. Under the acquisition method of accounting, the total purchase price of an acquisition is allocated to the net tangible and intangible assets based on their estimated fair values. Such valuations are based on available information and certain assumptions that management of Impax and Amneal believe are reasonable. The preliminary allocation of the purchase price to the tangible and intangible assets acquired and liabilities assumed is based on various preliminary estimates. Differences between these preliminary estimates and the final acquisition accounting may occur and these differences could be material. The differences, if any, could have a material impact on the accompanying unaudited pro forma condensed combined financial statements and New Amneal’s future results of operations and financial position.</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pro forma financial statements include certain reclassifications to align the historical financial statement presentation of Impax and Amneal. See “Note 4.</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Reclassifications” herein for additional information on the reclassifications.</w:t>
      </w:r>
    </w:p>
    <w:p>
      <w:pPr>
        <w:spacing w:after="0" w:line="207"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unaudited pro forma condensed combined statements of operations do not reflect the non-recurring expenses expected to be incurred in connection with the Transactions, including fees to attorneys, accountants and other professional advisors, the write-off of deferred financing costs, and other transaction-related costs that will not be capitalized. However, the impact of such expenses are reflected in the unaudited pro forma condensed combined balance sheet as an increase to accumulated deficit and a corresponding decrease to cash. Further, the unaudited pro forma condensed combined financial statements do not reflect the restructuring or integration activities that have yet to be determined or other costs that may be incurred to achieve cost or growth synergies of New Amneal. As no assurance can be made that the costs will be incurred or the cost or growth synergies will be achieved, no adjustment has been made. Lastly, the unaudited pro forma condensed combined financial statements do not reflect the divestitures required by the U.S. Federal Trade Commission in connection with obtaining approvals and clearances for the Combination or the acquisition by Amneal of Gemini Laboratories, LLC, which was completed on May 7, 2018 as the effects of the foregoing items do not individually, or in the aggregate, materially impact the unaudited pro forma condensed combined financial statements.</w:t>
      </w:r>
    </w:p>
    <w:p>
      <w:pPr>
        <w:spacing w:after="0" w:line="182" w:lineRule="exact"/>
        <w:rPr>
          <w:sz w:val="20"/>
          <w:szCs w:val="20"/>
          <w:color w:val="auto"/>
        </w:rPr>
      </w:pPr>
    </w:p>
    <w:p>
      <w:pPr>
        <w:spacing w:after="0"/>
        <w:tabs>
          <w:tab w:leader="none" w:pos="300" w:val="left"/>
        </w:tabs>
        <w:rPr>
          <w:sz w:val="20"/>
          <w:szCs w:val="20"/>
          <w:color w:val="auto"/>
        </w:rPr>
      </w:pPr>
      <w:r>
        <w:rPr>
          <w:rFonts w:ascii="Times New Roman" w:cs="Times New Roman" w:eastAsia="Times New Roman" w:hAnsi="Times New Roman"/>
          <w:sz w:val="18"/>
          <w:szCs w:val="18"/>
          <w:b w:val="1"/>
          <w:bCs w:val="1"/>
          <w:color w:val="auto"/>
        </w:rPr>
        <w:t>3.</w:t>
      </w:r>
      <w:r>
        <w:rPr>
          <w:sz w:val="20"/>
          <w:szCs w:val="20"/>
          <w:color w:val="auto"/>
        </w:rPr>
        <w:tab/>
      </w:r>
      <w:r>
        <w:rPr>
          <w:rFonts w:ascii="Times New Roman" w:cs="Times New Roman" w:eastAsia="Times New Roman" w:hAnsi="Times New Roman"/>
          <w:sz w:val="17"/>
          <w:szCs w:val="17"/>
          <w:b w:val="1"/>
          <w:bCs w:val="1"/>
          <w:color w:val="auto"/>
        </w:rPr>
        <w:t>PURCHASE PRICE AND PRELIMINARY PURCHASE PRICE ALLOCATION</w:t>
      </w:r>
    </w:p>
    <w:p>
      <w:pPr>
        <w:spacing w:after="0" w:line="22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pro forma adjustments include a preliminary allocation of the purchase price of Impax to the estimated fair values of assets acquired and liabilities assumed at the acquisition date.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Purchase Price</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measurement of the consideration transferred by Amneal for its interest in Impax is based on the fair value of the equity interest that Amneal would have had to issue to give the Impax shareholders the same percentage equity interest in New Amneal, which is equal to approximately 25%. However, the fair value of the equity of Impax was used to calculate the consideration for the Combination because it has a quoted market price, the Combination involves only the exchange of equity and Amneal is a private company whose value is difficult to measure. The purchase price, net of cash acquired, is calculated as follows:</w:t>
      </w:r>
    </w:p>
    <w:p>
      <w:pPr>
        <w:spacing w:after="0" w:line="352" w:lineRule="exact"/>
        <w:rPr>
          <w:sz w:val="20"/>
          <w:szCs w:val="20"/>
          <w:color w:val="auto"/>
        </w:rPr>
      </w:pPr>
    </w:p>
    <w:tbl>
      <w:tblPr>
        <w:tblLayout w:type="fixed"/>
        <w:tblInd w:w="0" w:type="dxa"/>
        <w:tblCellMar>
          <w:top w:w="0" w:type="dxa"/>
          <w:left w:w="0" w:type="dxa"/>
          <w:bottom w:w="0" w:type="dxa"/>
          <w:right w:w="0" w:type="dxa"/>
        </w:tblCellMar>
      </w:tblPr>
      <w:tr>
        <w:trPr>
          <w:trHeight w:val="226"/>
        </w:trPr>
        <w:tc>
          <w:tcPr>
            <w:tcW w:w="7560" w:type="dxa"/>
            <w:vAlign w:val="bottom"/>
          </w:tcPr>
          <w:p>
            <w:pPr>
              <w:ind w:left="40"/>
              <w:spacing w:after="0"/>
              <w:rPr>
                <w:sz w:val="20"/>
                <w:szCs w:val="20"/>
                <w:color w:val="auto"/>
              </w:rPr>
            </w:pPr>
            <w:r>
              <w:rPr>
                <w:rFonts w:ascii="Times New Roman" w:cs="Times New Roman" w:eastAsia="Times New Roman" w:hAnsi="Times New Roman"/>
                <w:sz w:val="17"/>
                <w:szCs w:val="17"/>
                <w:i w:val="1"/>
                <w:iCs w:val="1"/>
                <w:color w:val="auto"/>
              </w:rPr>
              <w:t>(in thousands except share amount and share price)</w:t>
            </w:r>
          </w:p>
        </w:tc>
        <w:tc>
          <w:tcPr>
            <w:tcW w:w="420" w:type="dxa"/>
            <w:vAlign w:val="bottom"/>
          </w:tcPr>
          <w:p>
            <w:pPr>
              <w:spacing w:after="0"/>
              <w:rPr>
                <w:sz w:val="19"/>
                <w:szCs w:val="19"/>
                <w:color w:val="auto"/>
              </w:rPr>
            </w:pPr>
          </w:p>
        </w:tc>
        <w:tc>
          <w:tcPr>
            <w:tcW w:w="1160" w:type="dxa"/>
            <w:vAlign w:val="bottom"/>
          </w:tcPr>
          <w:p>
            <w:pPr>
              <w:spacing w:after="0"/>
              <w:rPr>
                <w:sz w:val="19"/>
                <w:szCs w:val="19"/>
                <w:color w:val="auto"/>
              </w:rPr>
            </w:pPr>
          </w:p>
        </w:tc>
      </w:tr>
      <w:tr>
        <w:trPr>
          <w:trHeight w:val="286"/>
        </w:trPr>
        <w:tc>
          <w:tcPr>
            <w:tcW w:w="7560" w:type="dxa"/>
            <w:vAlign w:val="bottom"/>
          </w:tcPr>
          <w:p>
            <w:pPr>
              <w:ind w:left="40"/>
              <w:spacing w:after="0" w:line="285" w:lineRule="exact"/>
              <w:rPr>
                <w:sz w:val="20"/>
                <w:szCs w:val="20"/>
                <w:color w:val="auto"/>
              </w:rPr>
            </w:pPr>
            <w:r>
              <w:rPr>
                <w:rFonts w:ascii="Times New Roman" w:cs="Times New Roman" w:eastAsia="Times New Roman" w:hAnsi="Times New Roman"/>
                <w:sz w:val="17"/>
                <w:szCs w:val="17"/>
                <w:color w:val="auto"/>
              </w:rPr>
              <w:t>Fully diluted Impax share number</w:t>
            </w:r>
            <w:r>
              <w:rPr>
                <w:rFonts w:ascii="Times New Roman" w:cs="Times New Roman" w:eastAsia="Times New Roman" w:hAnsi="Times New Roman"/>
                <w:sz w:val="28"/>
                <w:szCs w:val="28"/>
                <w:color w:val="auto"/>
                <w:vertAlign w:val="superscript"/>
              </w:rPr>
              <w:t>(1)</w:t>
            </w:r>
          </w:p>
        </w:tc>
        <w:tc>
          <w:tcPr>
            <w:tcW w:w="420" w:type="dxa"/>
            <w:vAlign w:val="bottom"/>
          </w:tcPr>
          <w:p>
            <w:pPr>
              <w:spacing w:after="0"/>
              <w:rPr>
                <w:sz w:val="24"/>
                <w:szCs w:val="24"/>
                <w:color w:val="auto"/>
              </w:rPr>
            </w:pPr>
          </w:p>
        </w:tc>
        <w:tc>
          <w:tcPr>
            <w:tcW w:w="11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73,288,792</w:t>
            </w:r>
          </w:p>
        </w:tc>
      </w:tr>
      <w:tr>
        <w:trPr>
          <w:trHeight w:val="257"/>
        </w:trPr>
        <w:tc>
          <w:tcPr>
            <w:tcW w:w="75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Impax closing share price as of May 4, 2018</w:t>
            </w:r>
          </w:p>
        </w:tc>
        <w:tc>
          <w:tcPr>
            <w:tcW w:w="420" w:type="dxa"/>
            <w:vAlign w:val="bottom"/>
            <w:tcBorders>
              <w:bottom w:val="single" w:sz="8" w:color="CCEEFF"/>
            </w:tcBorders>
            <w:shd w:val="clear" w:color="auto" w:fill="CCEEFF"/>
          </w:tcPr>
          <w:p>
            <w:pPr>
              <w:jc w:val="right"/>
              <w:ind w:right="215"/>
              <w:spacing w:after="0"/>
              <w:rPr>
                <w:sz w:val="20"/>
                <w:szCs w:val="20"/>
                <w:color w:val="auto"/>
              </w:rPr>
            </w:pPr>
            <w:r>
              <w:rPr>
                <w:rFonts w:ascii="Times New Roman" w:cs="Times New Roman" w:eastAsia="Times New Roman" w:hAnsi="Times New Roman"/>
                <w:sz w:val="17"/>
                <w:szCs w:val="17"/>
                <w:color w:val="auto"/>
              </w:rPr>
              <w:t>$</w:t>
            </w:r>
          </w:p>
        </w:tc>
        <w:tc>
          <w:tcPr>
            <w:tcW w:w="11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18.30</w:t>
            </w:r>
          </w:p>
        </w:tc>
      </w:tr>
      <w:tr>
        <w:trPr>
          <w:trHeight w:val="221"/>
        </w:trPr>
        <w:tc>
          <w:tcPr>
            <w:tcW w:w="7560" w:type="dxa"/>
            <w:vAlign w:val="bottom"/>
          </w:tcPr>
          <w:p>
            <w:pPr>
              <w:ind w:left="240"/>
              <w:spacing w:after="0"/>
              <w:rPr>
                <w:sz w:val="20"/>
                <w:szCs w:val="20"/>
                <w:color w:val="auto"/>
              </w:rPr>
            </w:pPr>
            <w:r>
              <w:rPr>
                <w:rFonts w:ascii="Times New Roman" w:cs="Times New Roman" w:eastAsia="Times New Roman" w:hAnsi="Times New Roman"/>
                <w:sz w:val="17"/>
                <w:szCs w:val="17"/>
                <w:b w:val="1"/>
                <w:bCs w:val="1"/>
                <w:color w:val="auto"/>
              </w:rPr>
              <w:t>Equity consideration - subtotal</w:t>
            </w:r>
          </w:p>
        </w:tc>
        <w:tc>
          <w:tcPr>
            <w:tcW w:w="420" w:type="dxa"/>
            <w:vAlign w:val="bottom"/>
            <w:tcBorders>
              <w:top w:val="single" w:sz="8" w:color="auto"/>
            </w:tcBorders>
          </w:tcPr>
          <w:p>
            <w:pPr>
              <w:jc w:val="right"/>
              <w:ind w:right="215"/>
              <w:spacing w:after="0"/>
              <w:rPr>
                <w:sz w:val="20"/>
                <w:szCs w:val="20"/>
                <w:color w:val="auto"/>
              </w:rPr>
            </w:pPr>
            <w:r>
              <w:rPr>
                <w:rFonts w:ascii="Times New Roman" w:cs="Times New Roman" w:eastAsia="Times New Roman" w:hAnsi="Times New Roman"/>
                <w:sz w:val="17"/>
                <w:szCs w:val="17"/>
                <w:color w:val="auto"/>
              </w:rPr>
              <w:t>$</w:t>
            </w:r>
          </w:p>
        </w:tc>
        <w:tc>
          <w:tcPr>
            <w:tcW w:w="1160" w:type="dxa"/>
            <w:vAlign w:val="bottom"/>
            <w:tcBorders>
              <w:top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color w:val="auto"/>
              </w:rPr>
              <w:t>1,341,185</w:t>
            </w:r>
          </w:p>
        </w:tc>
      </w:tr>
      <w:tr>
        <w:trPr>
          <w:trHeight w:val="29"/>
        </w:trPr>
        <w:tc>
          <w:tcPr>
            <w:tcW w:w="75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7"/>
        </w:trPr>
        <w:tc>
          <w:tcPr>
            <w:tcW w:w="7560" w:type="dxa"/>
            <w:vAlign w:val="bottom"/>
            <w:shd w:val="clear" w:color="auto" w:fill="CCEEFF"/>
          </w:tcPr>
          <w:p>
            <w:pPr>
              <w:ind w:left="40"/>
              <w:spacing w:after="0" w:line="257" w:lineRule="exact"/>
              <w:rPr>
                <w:sz w:val="20"/>
                <w:szCs w:val="20"/>
                <w:color w:val="auto"/>
              </w:rPr>
            </w:pPr>
            <w:r>
              <w:rPr>
                <w:rFonts w:ascii="Times New Roman" w:cs="Times New Roman" w:eastAsia="Times New Roman" w:hAnsi="Times New Roman"/>
                <w:sz w:val="17"/>
                <w:szCs w:val="17"/>
                <w:color w:val="auto"/>
              </w:rPr>
              <w:t>Add: Fair value of Impax stock options as of May 4, 2018</w:t>
            </w:r>
            <w:r>
              <w:rPr>
                <w:rFonts w:ascii="Times New Roman" w:cs="Times New Roman" w:eastAsia="Times New Roman" w:hAnsi="Times New Roman"/>
                <w:sz w:val="28"/>
                <w:szCs w:val="28"/>
                <w:color w:val="auto"/>
                <w:vertAlign w:val="superscript"/>
              </w:rPr>
              <w:t>(2)</w:t>
            </w:r>
          </w:p>
        </w:tc>
        <w:tc>
          <w:tcPr>
            <w:tcW w:w="420" w:type="dxa"/>
            <w:vAlign w:val="bottom"/>
            <w:tcBorders>
              <w:bottom w:val="single" w:sz="8" w:color="auto"/>
            </w:tcBorders>
            <w:shd w:val="clear" w:color="auto" w:fill="CCEEFF"/>
          </w:tcPr>
          <w:p>
            <w:pPr>
              <w:spacing w:after="0"/>
              <w:rPr>
                <w:sz w:val="22"/>
                <w:szCs w:val="22"/>
                <w:color w:val="auto"/>
              </w:rPr>
            </w:pPr>
          </w:p>
        </w:tc>
        <w:tc>
          <w:tcPr>
            <w:tcW w:w="1160" w:type="dxa"/>
            <w:vAlign w:val="bottom"/>
            <w:tcBorders>
              <w:bottom w:val="single" w:sz="8" w:color="auto"/>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22,610</w:t>
            </w:r>
          </w:p>
        </w:tc>
      </w:tr>
      <w:tr>
        <w:trPr>
          <w:trHeight w:val="221"/>
        </w:trPr>
        <w:tc>
          <w:tcPr>
            <w:tcW w:w="7560" w:type="dxa"/>
            <w:vAlign w:val="bottom"/>
          </w:tcPr>
          <w:p>
            <w:pPr>
              <w:ind w:left="240"/>
              <w:spacing w:after="0"/>
              <w:rPr>
                <w:sz w:val="20"/>
                <w:szCs w:val="20"/>
                <w:color w:val="auto"/>
              </w:rPr>
            </w:pPr>
            <w:r>
              <w:rPr>
                <w:rFonts w:ascii="Times New Roman" w:cs="Times New Roman" w:eastAsia="Times New Roman" w:hAnsi="Times New Roman"/>
                <w:sz w:val="17"/>
                <w:szCs w:val="17"/>
                <w:b w:val="1"/>
                <w:bCs w:val="1"/>
                <w:color w:val="auto"/>
              </w:rPr>
              <w:t>Total equity consideration</w:t>
            </w:r>
          </w:p>
        </w:tc>
        <w:tc>
          <w:tcPr>
            <w:tcW w:w="420" w:type="dxa"/>
            <w:vAlign w:val="bottom"/>
          </w:tcPr>
          <w:p>
            <w:pPr>
              <w:spacing w:after="0"/>
              <w:rPr>
                <w:sz w:val="19"/>
                <w:szCs w:val="19"/>
                <w:color w:val="auto"/>
              </w:rPr>
            </w:pPr>
          </w:p>
        </w:tc>
        <w:tc>
          <w:tcPr>
            <w:tcW w:w="11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1,363,795</w:t>
            </w:r>
          </w:p>
        </w:tc>
      </w:tr>
      <w:tr>
        <w:trPr>
          <w:trHeight w:val="29"/>
        </w:trPr>
        <w:tc>
          <w:tcPr>
            <w:tcW w:w="75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37"/>
        </w:trPr>
        <w:tc>
          <w:tcPr>
            <w:tcW w:w="75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Extinguishment of certain Impax historical obligations including accrued and unpaid interest</w:t>
            </w:r>
          </w:p>
        </w:tc>
        <w:tc>
          <w:tcPr>
            <w:tcW w:w="42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320,093</w:t>
            </w:r>
          </w:p>
        </w:tc>
      </w:tr>
      <w:tr>
        <w:trPr>
          <w:trHeight w:val="228"/>
        </w:trPr>
        <w:tc>
          <w:tcPr>
            <w:tcW w:w="756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Less: cash acquired</w:t>
            </w:r>
          </w:p>
        </w:tc>
        <w:tc>
          <w:tcPr>
            <w:tcW w:w="4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(104,192)</w:t>
            </w:r>
          </w:p>
        </w:tc>
      </w:tr>
      <w:tr>
        <w:trPr>
          <w:trHeight w:val="29"/>
        </w:trPr>
        <w:tc>
          <w:tcPr>
            <w:tcW w:w="756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44"/>
        </w:trPr>
        <w:tc>
          <w:tcPr>
            <w:tcW w:w="7560" w:type="dxa"/>
            <w:vAlign w:val="bottom"/>
            <w:tcBorders>
              <w:bottom w:val="single" w:sz="8" w:color="CCEEFF"/>
            </w:tcBorders>
            <w:shd w:val="clear" w:color="auto" w:fill="CCEEFF"/>
          </w:tcPr>
          <w:p>
            <w:pPr>
              <w:ind w:left="240"/>
              <w:spacing w:after="0"/>
              <w:rPr>
                <w:sz w:val="20"/>
                <w:szCs w:val="20"/>
                <w:color w:val="auto"/>
              </w:rPr>
            </w:pPr>
            <w:r>
              <w:rPr>
                <w:rFonts w:ascii="Times New Roman" w:cs="Times New Roman" w:eastAsia="Times New Roman" w:hAnsi="Times New Roman"/>
                <w:sz w:val="17"/>
                <w:szCs w:val="17"/>
                <w:b w:val="1"/>
                <w:bCs w:val="1"/>
                <w:color w:val="auto"/>
              </w:rPr>
              <w:t>Purchase price, net of cash acquired</w:t>
            </w:r>
          </w:p>
        </w:tc>
        <w:tc>
          <w:tcPr>
            <w:tcW w:w="420" w:type="dxa"/>
            <w:vAlign w:val="bottom"/>
            <w:tcBorders>
              <w:bottom w:val="single" w:sz="8" w:color="auto"/>
            </w:tcBorders>
            <w:shd w:val="clear" w:color="auto" w:fill="CCEEFF"/>
          </w:tcPr>
          <w:p>
            <w:pPr>
              <w:jc w:val="right"/>
              <w:ind w:right="215"/>
              <w:spacing w:after="0"/>
              <w:rPr>
                <w:sz w:val="20"/>
                <w:szCs w:val="20"/>
                <w:color w:val="auto"/>
              </w:rPr>
            </w:pPr>
            <w:r>
              <w:rPr>
                <w:rFonts w:ascii="Times New Roman" w:cs="Times New Roman" w:eastAsia="Times New Roman" w:hAnsi="Times New Roman"/>
                <w:sz w:val="17"/>
                <w:szCs w:val="17"/>
                <w:color w:val="auto"/>
              </w:rPr>
              <w:t>$</w:t>
            </w:r>
          </w:p>
        </w:tc>
        <w:tc>
          <w:tcPr>
            <w:tcW w:w="1160" w:type="dxa"/>
            <w:vAlign w:val="bottom"/>
            <w:tcBorders>
              <w:bottom w:val="single" w:sz="8" w:color="auto"/>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1,579,696</w:t>
            </w:r>
          </w:p>
        </w:tc>
      </w:tr>
    </w:tbl>
    <w:p>
      <w:pPr>
        <w:spacing w:after="0" w:line="5" w:lineRule="exact"/>
        <w:rPr>
          <w:sz w:val="20"/>
          <w:szCs w:val="20"/>
          <w:color w:val="auto"/>
        </w:rPr>
      </w:pPr>
    </w:p>
    <w:p>
      <w:pPr>
        <w:ind w:left="440" w:hanging="378"/>
        <w:spacing w:after="0"/>
        <w:tabs>
          <w:tab w:leader="none" w:pos="440" w:val="left"/>
        </w:tabs>
        <w:numPr>
          <w:ilvl w:val="0"/>
          <w:numId w:val="1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Represents 73.3 million shares of Impax common stock issued and outstanding.</w:t>
      </w:r>
    </w:p>
    <w:p>
      <w:pPr>
        <w:spacing w:after="0" w:line="61" w:lineRule="exact"/>
        <w:rPr>
          <w:rFonts w:ascii="Times New Roman" w:cs="Times New Roman" w:eastAsia="Times New Roman" w:hAnsi="Times New Roman"/>
          <w:sz w:val="17"/>
          <w:szCs w:val="17"/>
          <w:color w:val="auto"/>
        </w:rPr>
      </w:pPr>
    </w:p>
    <w:p>
      <w:pPr>
        <w:ind w:left="440" w:hanging="378"/>
        <w:spacing w:after="0"/>
        <w:tabs>
          <w:tab w:leader="none" w:pos="440" w:val="left"/>
        </w:tabs>
        <w:numPr>
          <w:ilvl w:val="0"/>
          <w:numId w:val="1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Represents the fair value of 3.0 million fully vested Impax stock options valued using the Black-Scholes option pricing model.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-127000</wp:posOffset>
            </wp:positionV>
            <wp:extent cx="5797550" cy="16319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797550" cy="163195"/>
                    </a:xfrm>
                    <a:prstGeom prst="rect">
                      <a:avLst/>
                    </a:prstGeom>
                    <a:noFill/>
                  </pic:spPr>
                </pic:pic>
              </a:graphicData>
            </a:graphic>
          </wp:anchor>
        </w:drawing>
        <w:drawing>
          <wp:anchor simplePos="0" relativeHeight="251657728" behindDoc="1" locked="0" layoutInCell="0" allowOverlap="1">
            <wp:simplePos x="0" y="0"/>
            <wp:positionH relativeFrom="column">
              <wp:posOffset>4798695</wp:posOffset>
            </wp:positionH>
            <wp:positionV relativeFrom="paragraph">
              <wp:posOffset>-281305</wp:posOffset>
            </wp:positionV>
            <wp:extent cx="100330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003300" cy="8890"/>
                    </a:xfrm>
                    <a:prstGeom prst="rect">
                      <a:avLst/>
                    </a:prstGeom>
                    <a:noFill/>
                  </pic:spPr>
                </pic:pic>
              </a:graphicData>
            </a:graphic>
          </wp:anchor>
        </w:drawing>
      </w: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11420"/>
          </w:cols>
          <w:pgMar w:left="240" w:top="122" w:right="239" w:bottom="1440" w:gutter="0" w:footer="0" w:header="0"/>
        </w:sectPr>
      </w:pPr>
    </w:p>
    <w:bookmarkStart w:id="39" w:name="page40"/>
    <w:bookmarkEnd w:id="39"/>
    <w:p>
      <w:pPr>
        <w:ind w:left="1060"/>
        <w:spacing w:after="0"/>
        <w:rPr>
          <w:sz w:val="20"/>
          <w:szCs w:val="20"/>
          <w:color w:val="auto"/>
        </w:rPr>
      </w:pPr>
      <w:r>
        <w:rPr>
          <w:rFonts w:ascii="Times New Roman" w:cs="Times New Roman" w:eastAsia="Times New Roman" w:hAnsi="Times New Roman"/>
          <w:sz w:val="22"/>
          <w:szCs w:val="22"/>
          <w:b w:val="1"/>
          <w:bCs w:val="1"/>
          <w:color w:val="auto"/>
        </w:rPr>
        <w:t>NOTES TO UNAUDITED PRO FORMA CONDENSED COMBINED FINANCIAL STATEMENTS</w:t>
      </w:r>
    </w:p>
    <w:p>
      <w:pPr>
        <w:spacing w:after="0" w:line="24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Preliminary purchase price allocation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is a summary of the preliminary purchase price allocation giving effect to the Combination as if it had been consummated on March 31, 2018:</w:t>
      </w:r>
    </w:p>
    <w:p>
      <w:pPr>
        <w:spacing w:after="0" w:line="393" w:lineRule="exact"/>
        <w:rPr>
          <w:sz w:val="20"/>
          <w:szCs w:val="20"/>
          <w:color w:val="auto"/>
        </w:rPr>
      </w:pPr>
    </w:p>
    <w:tbl>
      <w:tblPr>
        <w:tblLayout w:type="fixed"/>
        <w:tblInd w:w="0" w:type="dxa"/>
        <w:tblCellMar>
          <w:top w:w="0" w:type="dxa"/>
          <w:left w:w="0" w:type="dxa"/>
          <w:bottom w:w="0" w:type="dxa"/>
          <w:right w:w="0" w:type="dxa"/>
        </w:tblCellMar>
      </w:tblPr>
      <w:tr>
        <w:trPr>
          <w:trHeight w:val="226"/>
        </w:trPr>
        <w:tc>
          <w:tcPr>
            <w:tcW w:w="7520" w:type="dxa"/>
            <w:vAlign w:val="bottom"/>
          </w:tcPr>
          <w:p>
            <w:pPr>
              <w:ind w:left="40"/>
              <w:spacing w:after="0"/>
              <w:rPr>
                <w:sz w:val="20"/>
                <w:szCs w:val="20"/>
                <w:color w:val="auto"/>
              </w:rPr>
            </w:pPr>
            <w:r>
              <w:rPr>
                <w:rFonts w:ascii="Times New Roman" w:cs="Times New Roman" w:eastAsia="Times New Roman" w:hAnsi="Times New Roman"/>
                <w:sz w:val="17"/>
                <w:szCs w:val="17"/>
                <w:i w:val="1"/>
                <w:iCs w:val="1"/>
                <w:color w:val="auto"/>
              </w:rPr>
              <w:t>(in thousands)</w:t>
            </w:r>
          </w:p>
        </w:tc>
        <w:tc>
          <w:tcPr>
            <w:tcW w:w="48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257"/>
        </w:trPr>
        <w:tc>
          <w:tcPr>
            <w:tcW w:w="75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 xml:space="preserve">Trade accounts receivable </w:t>
            </w:r>
            <w:r>
              <w:rPr>
                <w:rFonts w:ascii="Times New Roman" w:cs="Times New Roman" w:eastAsia="Times New Roman" w:hAnsi="Times New Roman"/>
                <w:sz w:val="16"/>
                <w:szCs w:val="16"/>
                <w:color w:val="auto"/>
              </w:rPr>
              <w:t>-</w:t>
            </w:r>
            <w:r>
              <w:rPr>
                <w:rFonts w:ascii="Times New Roman" w:cs="Times New Roman" w:eastAsia="Times New Roman" w:hAnsi="Times New Roman"/>
                <w:sz w:val="17"/>
                <w:szCs w:val="17"/>
                <w:color w:val="auto"/>
              </w:rPr>
              <w:t xml:space="preserve"> net</w:t>
            </w:r>
          </w:p>
        </w:tc>
        <w:tc>
          <w:tcPr>
            <w:tcW w:w="480" w:type="dxa"/>
            <w:vAlign w:val="bottom"/>
          </w:tcPr>
          <w:p>
            <w:pPr>
              <w:jc w:val="right"/>
              <w:ind w:right="255"/>
              <w:spacing w:after="0"/>
              <w:rPr>
                <w:sz w:val="20"/>
                <w:szCs w:val="20"/>
                <w:color w:val="auto"/>
              </w:rPr>
            </w:pPr>
            <w:r>
              <w:rPr>
                <w:rFonts w:ascii="Times New Roman" w:cs="Times New Roman" w:eastAsia="Times New Roman" w:hAnsi="Times New Roman"/>
                <w:sz w:val="17"/>
                <w:szCs w:val="17"/>
                <w:color w:val="auto"/>
              </w:rPr>
              <w:t>$</w:t>
            </w:r>
          </w:p>
        </w:tc>
        <w:tc>
          <w:tcPr>
            <w:tcW w:w="11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213,208</w:t>
            </w:r>
          </w:p>
        </w:tc>
      </w:tr>
      <w:tr>
        <w:trPr>
          <w:trHeight w:val="29"/>
        </w:trPr>
        <w:tc>
          <w:tcPr>
            <w:tcW w:w="75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37"/>
        </w:trPr>
        <w:tc>
          <w:tcPr>
            <w:tcW w:w="75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Inventories</w:t>
            </w:r>
          </w:p>
        </w:tc>
        <w:tc>
          <w:tcPr>
            <w:tcW w:w="48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167,100</w:t>
            </w:r>
          </w:p>
        </w:tc>
      </w:tr>
      <w:tr>
        <w:trPr>
          <w:trHeight w:val="228"/>
        </w:trPr>
        <w:tc>
          <w:tcPr>
            <w:tcW w:w="75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Prepaid expenses and other current assets</w:t>
            </w:r>
          </w:p>
        </w:tc>
        <w:tc>
          <w:tcPr>
            <w:tcW w:w="480" w:type="dxa"/>
            <w:vAlign w:val="bottom"/>
          </w:tcPr>
          <w:p>
            <w:pPr>
              <w:spacing w:after="0"/>
              <w:rPr>
                <w:sz w:val="19"/>
                <w:szCs w:val="19"/>
                <w:color w:val="auto"/>
              </w:rPr>
            </w:pPr>
          </w:p>
        </w:tc>
        <w:tc>
          <w:tcPr>
            <w:tcW w:w="11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90,026</w:t>
            </w:r>
          </w:p>
        </w:tc>
      </w:tr>
      <w:tr>
        <w:trPr>
          <w:trHeight w:val="29"/>
        </w:trPr>
        <w:tc>
          <w:tcPr>
            <w:tcW w:w="75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37"/>
        </w:trPr>
        <w:tc>
          <w:tcPr>
            <w:tcW w:w="75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Property, plant and equipment</w:t>
            </w:r>
          </w:p>
        </w:tc>
        <w:tc>
          <w:tcPr>
            <w:tcW w:w="48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80,965</w:t>
            </w:r>
          </w:p>
        </w:tc>
      </w:tr>
      <w:tr>
        <w:trPr>
          <w:trHeight w:val="228"/>
        </w:trPr>
        <w:tc>
          <w:tcPr>
            <w:tcW w:w="75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Goodwill</w:t>
            </w:r>
          </w:p>
        </w:tc>
        <w:tc>
          <w:tcPr>
            <w:tcW w:w="480" w:type="dxa"/>
            <w:vAlign w:val="bottom"/>
          </w:tcPr>
          <w:p>
            <w:pPr>
              <w:spacing w:after="0"/>
              <w:rPr>
                <w:sz w:val="19"/>
                <w:szCs w:val="19"/>
                <w:color w:val="auto"/>
              </w:rPr>
            </w:pPr>
          </w:p>
        </w:tc>
        <w:tc>
          <w:tcPr>
            <w:tcW w:w="11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341,769</w:t>
            </w:r>
          </w:p>
        </w:tc>
      </w:tr>
      <w:tr>
        <w:trPr>
          <w:trHeight w:val="29"/>
        </w:trPr>
        <w:tc>
          <w:tcPr>
            <w:tcW w:w="75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37"/>
        </w:trPr>
        <w:tc>
          <w:tcPr>
            <w:tcW w:w="75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Intangible assets</w:t>
            </w:r>
          </w:p>
        </w:tc>
        <w:tc>
          <w:tcPr>
            <w:tcW w:w="48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1,582,100</w:t>
            </w:r>
          </w:p>
        </w:tc>
      </w:tr>
      <w:tr>
        <w:trPr>
          <w:trHeight w:val="228"/>
        </w:trPr>
        <w:tc>
          <w:tcPr>
            <w:tcW w:w="75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Other</w:t>
            </w:r>
          </w:p>
        </w:tc>
        <w:tc>
          <w:tcPr>
            <w:tcW w:w="480" w:type="dxa"/>
            <w:vAlign w:val="bottom"/>
          </w:tcPr>
          <w:p>
            <w:pPr>
              <w:spacing w:after="0"/>
              <w:rPr>
                <w:sz w:val="19"/>
                <w:szCs w:val="19"/>
                <w:color w:val="auto"/>
              </w:rPr>
            </w:pPr>
          </w:p>
        </w:tc>
        <w:tc>
          <w:tcPr>
            <w:tcW w:w="11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62,830</w:t>
            </w:r>
          </w:p>
        </w:tc>
      </w:tr>
      <w:tr>
        <w:trPr>
          <w:trHeight w:val="29"/>
        </w:trPr>
        <w:tc>
          <w:tcPr>
            <w:tcW w:w="752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0"/>
        </w:trPr>
        <w:tc>
          <w:tcPr>
            <w:tcW w:w="7520" w:type="dxa"/>
            <w:vAlign w:val="bottom"/>
            <w:tcBorders>
              <w:bottom w:val="single" w:sz="8" w:color="CCEEFF"/>
            </w:tcBorders>
            <w:shd w:val="clear" w:color="auto" w:fill="CCEEFF"/>
          </w:tcPr>
          <w:p>
            <w:pPr>
              <w:ind w:left="460"/>
              <w:spacing w:after="0"/>
              <w:rPr>
                <w:sz w:val="20"/>
                <w:szCs w:val="20"/>
                <w:color w:val="auto"/>
              </w:rPr>
            </w:pPr>
            <w:r>
              <w:rPr>
                <w:rFonts w:ascii="Times New Roman" w:cs="Times New Roman" w:eastAsia="Times New Roman" w:hAnsi="Times New Roman"/>
                <w:sz w:val="17"/>
                <w:szCs w:val="17"/>
                <w:color w:val="auto"/>
              </w:rPr>
              <w:t>Total assets acquired</w:t>
            </w:r>
          </w:p>
        </w:tc>
        <w:tc>
          <w:tcPr>
            <w:tcW w:w="48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2,537,998</w:t>
            </w:r>
          </w:p>
        </w:tc>
      </w:tr>
      <w:tr>
        <w:trPr>
          <w:trHeight w:val="228"/>
        </w:trPr>
        <w:tc>
          <w:tcPr>
            <w:tcW w:w="75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Accounts payable</w:t>
            </w:r>
          </w:p>
        </w:tc>
        <w:tc>
          <w:tcPr>
            <w:tcW w:w="480" w:type="dxa"/>
            <w:vAlign w:val="bottom"/>
          </w:tcPr>
          <w:p>
            <w:pPr>
              <w:spacing w:after="0"/>
              <w:rPr>
                <w:sz w:val="19"/>
                <w:szCs w:val="19"/>
                <w:color w:val="auto"/>
              </w:rPr>
            </w:pPr>
          </w:p>
        </w:tc>
        <w:tc>
          <w:tcPr>
            <w:tcW w:w="11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65,261</w:t>
            </w:r>
          </w:p>
        </w:tc>
      </w:tr>
      <w:tr>
        <w:trPr>
          <w:trHeight w:val="29"/>
        </w:trPr>
        <w:tc>
          <w:tcPr>
            <w:tcW w:w="75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37"/>
        </w:trPr>
        <w:tc>
          <w:tcPr>
            <w:tcW w:w="75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Accrued expenses and other current liabilities</w:t>
            </w:r>
          </w:p>
        </w:tc>
        <w:tc>
          <w:tcPr>
            <w:tcW w:w="48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255,418</w:t>
            </w:r>
          </w:p>
        </w:tc>
      </w:tr>
      <w:tr>
        <w:trPr>
          <w:trHeight w:val="228"/>
        </w:trPr>
        <w:tc>
          <w:tcPr>
            <w:tcW w:w="75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Long-term debt and capital lease obligations</w:t>
            </w:r>
          </w:p>
        </w:tc>
        <w:tc>
          <w:tcPr>
            <w:tcW w:w="480" w:type="dxa"/>
            <w:vAlign w:val="bottom"/>
          </w:tcPr>
          <w:p>
            <w:pPr>
              <w:spacing w:after="0"/>
              <w:rPr>
                <w:sz w:val="19"/>
                <w:szCs w:val="19"/>
                <w:color w:val="auto"/>
              </w:rPr>
            </w:pPr>
          </w:p>
        </w:tc>
        <w:tc>
          <w:tcPr>
            <w:tcW w:w="11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600,000</w:t>
            </w:r>
          </w:p>
        </w:tc>
      </w:tr>
      <w:tr>
        <w:trPr>
          <w:trHeight w:val="29"/>
        </w:trPr>
        <w:tc>
          <w:tcPr>
            <w:tcW w:w="75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7"/>
        </w:trPr>
        <w:tc>
          <w:tcPr>
            <w:tcW w:w="75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Other long-term liabilities</w:t>
            </w:r>
          </w:p>
        </w:tc>
        <w:tc>
          <w:tcPr>
            <w:tcW w:w="48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37,623</w:t>
            </w:r>
          </w:p>
        </w:tc>
      </w:tr>
      <w:tr>
        <w:trPr>
          <w:trHeight w:val="221"/>
        </w:trPr>
        <w:tc>
          <w:tcPr>
            <w:tcW w:w="7520" w:type="dxa"/>
            <w:vAlign w:val="bottom"/>
          </w:tcPr>
          <w:p>
            <w:pPr>
              <w:ind w:left="460"/>
              <w:spacing w:after="0"/>
              <w:rPr>
                <w:sz w:val="20"/>
                <w:szCs w:val="20"/>
                <w:color w:val="auto"/>
              </w:rPr>
            </w:pPr>
            <w:r>
              <w:rPr>
                <w:rFonts w:ascii="Times New Roman" w:cs="Times New Roman" w:eastAsia="Times New Roman" w:hAnsi="Times New Roman"/>
                <w:sz w:val="17"/>
                <w:szCs w:val="17"/>
                <w:color w:val="auto"/>
              </w:rPr>
              <w:t>Total liabilities assumed</w:t>
            </w:r>
          </w:p>
        </w:tc>
        <w:tc>
          <w:tcPr>
            <w:tcW w:w="48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color w:val="auto"/>
              </w:rPr>
              <w:t>958,302</w:t>
            </w:r>
          </w:p>
        </w:tc>
      </w:tr>
      <w:tr>
        <w:trPr>
          <w:trHeight w:val="29"/>
        </w:trPr>
        <w:tc>
          <w:tcPr>
            <w:tcW w:w="752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75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b w:val="1"/>
                <w:bCs w:val="1"/>
                <w:color w:val="auto"/>
              </w:rPr>
              <w:t>Net assets acquired</w:t>
            </w:r>
          </w:p>
        </w:tc>
        <w:tc>
          <w:tcPr>
            <w:tcW w:w="480" w:type="dxa"/>
            <w:vAlign w:val="bottom"/>
            <w:tcBorders>
              <w:bottom w:val="single" w:sz="8" w:color="auto"/>
            </w:tcBorders>
            <w:shd w:val="clear" w:color="auto" w:fill="CCEEFF"/>
          </w:tcPr>
          <w:p>
            <w:pPr>
              <w:jc w:val="right"/>
              <w:ind w:right="255"/>
              <w:spacing w:after="0"/>
              <w:rPr>
                <w:sz w:val="20"/>
                <w:szCs w:val="20"/>
                <w:color w:val="auto"/>
              </w:rPr>
            </w:pPr>
            <w:r>
              <w:rPr>
                <w:rFonts w:ascii="Times New Roman" w:cs="Times New Roman" w:eastAsia="Times New Roman" w:hAnsi="Times New Roman"/>
                <w:sz w:val="17"/>
                <w:szCs w:val="17"/>
                <w:color w:val="auto"/>
              </w:rPr>
              <w:t>$</w:t>
            </w:r>
          </w:p>
        </w:tc>
        <w:tc>
          <w:tcPr>
            <w:tcW w:w="1120" w:type="dxa"/>
            <w:vAlign w:val="bottom"/>
            <w:tcBorders>
              <w:bottom w:val="single" w:sz="8" w:color="auto"/>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1,579,696</w:t>
            </w:r>
          </w:p>
        </w:tc>
      </w:tr>
      <w:tr>
        <w:trPr>
          <w:trHeight w:val="20"/>
        </w:trPr>
        <w:tc>
          <w:tcPr>
            <w:tcW w:w="752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94" w:lineRule="exact"/>
        <w:rPr>
          <w:sz w:val="20"/>
          <w:szCs w:val="20"/>
          <w:color w:val="auto"/>
        </w:rPr>
      </w:pPr>
    </w:p>
    <w:p>
      <w:pPr>
        <w:spacing w:after="0"/>
        <w:tabs>
          <w:tab w:leader="none" w:pos="300" w:val="left"/>
        </w:tabs>
        <w:rPr>
          <w:sz w:val="20"/>
          <w:szCs w:val="20"/>
          <w:color w:val="auto"/>
        </w:rPr>
      </w:pPr>
      <w:r>
        <w:rPr>
          <w:rFonts w:ascii="Times New Roman" w:cs="Times New Roman" w:eastAsia="Times New Roman" w:hAnsi="Times New Roman"/>
          <w:sz w:val="18"/>
          <w:szCs w:val="18"/>
          <w:b w:val="1"/>
          <w:bCs w:val="1"/>
          <w:color w:val="auto"/>
        </w:rPr>
        <w:t>4.</w:t>
      </w:r>
      <w:r>
        <w:rPr>
          <w:sz w:val="20"/>
          <w:szCs w:val="20"/>
          <w:color w:val="auto"/>
        </w:rPr>
        <w:tab/>
      </w:r>
      <w:r>
        <w:rPr>
          <w:rFonts w:ascii="Times New Roman" w:cs="Times New Roman" w:eastAsia="Times New Roman" w:hAnsi="Times New Roman"/>
          <w:sz w:val="17"/>
          <w:szCs w:val="17"/>
          <w:b w:val="1"/>
          <w:bCs w:val="1"/>
          <w:color w:val="auto"/>
        </w:rPr>
        <w:t>RECLASSIFICATIONS</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Certain reclassifications have been made to amounts in the historical consolidated financial information o</w:t>
      </w:r>
      <w:r>
        <w:rPr>
          <w:rFonts w:ascii="Times New Roman" w:cs="Times New Roman" w:eastAsia="Times New Roman" w:hAnsi="Times New Roman"/>
          <w:sz w:val="16"/>
          <w:szCs w:val="16"/>
          <w:color w:val="auto"/>
        </w:rPr>
        <w:t>f</w:t>
      </w:r>
      <w:r>
        <w:rPr>
          <w:rFonts w:ascii="Times New Roman" w:cs="Times New Roman" w:eastAsia="Times New Roman" w:hAnsi="Times New Roman"/>
          <w:sz w:val="18"/>
          <w:szCs w:val="18"/>
          <w:color w:val="auto"/>
        </w:rPr>
        <w:t xml:space="preserve"> Impax and Amneal to conform the financial statement presentation, including reclassifying the following:</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Impax reclassifications in the unaudited pro forma condensed combined statements of operations</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Three months ended March 31, 2018:</w:t>
      </w: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240"/>
        </w:trPr>
        <w:tc>
          <w:tcPr>
            <w:tcW w:w="54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580" w:type="dxa"/>
            <w:vAlign w:val="bottom"/>
            <w:gridSpan w:val="2"/>
          </w:tcPr>
          <w:p>
            <w:pPr>
              <w:jc w:val="center"/>
              <w:ind w:right="380"/>
              <w:spacing w:after="0"/>
              <w:rPr>
                <w:sz w:val="20"/>
                <w:szCs w:val="20"/>
                <w:color w:val="auto"/>
              </w:rPr>
            </w:pPr>
            <w:r>
              <w:rPr>
                <w:rFonts w:ascii="Times New Roman" w:cs="Times New Roman" w:eastAsia="Times New Roman" w:hAnsi="Times New Roman"/>
                <w:sz w:val="17"/>
                <w:szCs w:val="17"/>
                <w:b w:val="1"/>
                <w:bCs w:val="1"/>
                <w:color w:val="auto"/>
                <w:w w:val="99"/>
              </w:rPr>
              <w:t>Before</w:t>
            </w:r>
          </w:p>
        </w:tc>
        <w:tc>
          <w:tcPr>
            <w:tcW w:w="18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60" w:type="dxa"/>
            <w:vAlign w:val="bottom"/>
          </w:tcPr>
          <w:p>
            <w:pPr>
              <w:jc w:val="right"/>
              <w:ind w:right="435"/>
              <w:spacing w:after="0"/>
              <w:rPr>
                <w:sz w:val="20"/>
                <w:szCs w:val="20"/>
                <w:color w:val="auto"/>
              </w:rPr>
            </w:pPr>
            <w:r>
              <w:rPr>
                <w:rFonts w:ascii="Times New Roman" w:cs="Times New Roman" w:eastAsia="Times New Roman" w:hAnsi="Times New Roman"/>
                <w:sz w:val="17"/>
                <w:szCs w:val="17"/>
                <w:b w:val="1"/>
                <w:bCs w:val="1"/>
                <w:color w:val="auto"/>
              </w:rPr>
              <w:t>After</w:t>
            </w:r>
          </w:p>
        </w:tc>
        <w:tc>
          <w:tcPr>
            <w:tcW w:w="0" w:type="dxa"/>
            <w:vAlign w:val="bottom"/>
          </w:tcPr>
          <w:p>
            <w:pPr>
              <w:spacing w:after="0"/>
              <w:rPr>
                <w:sz w:val="1"/>
                <w:szCs w:val="1"/>
                <w:color w:val="auto"/>
              </w:rPr>
            </w:pPr>
          </w:p>
        </w:tc>
      </w:tr>
      <w:tr>
        <w:trPr>
          <w:trHeight w:val="270"/>
        </w:trPr>
        <w:tc>
          <w:tcPr>
            <w:tcW w:w="5480" w:type="dxa"/>
            <w:vAlign w:val="bottom"/>
          </w:tcPr>
          <w:p>
            <w:pPr>
              <w:ind w:left="40"/>
              <w:spacing w:after="0"/>
              <w:rPr>
                <w:sz w:val="20"/>
                <w:szCs w:val="20"/>
                <w:color w:val="auto"/>
              </w:rPr>
            </w:pPr>
            <w:r>
              <w:rPr>
                <w:rFonts w:ascii="Times New Roman" w:cs="Times New Roman" w:eastAsia="Times New Roman" w:hAnsi="Times New Roman"/>
                <w:sz w:val="17"/>
                <w:szCs w:val="17"/>
                <w:i w:val="1"/>
                <w:iCs w:val="1"/>
                <w:color w:val="auto"/>
              </w:rPr>
              <w:t>(in thousands)</w:t>
            </w:r>
          </w:p>
        </w:tc>
        <w:tc>
          <w:tcPr>
            <w:tcW w:w="180" w:type="dxa"/>
            <w:vAlign w:val="bottom"/>
          </w:tcPr>
          <w:p>
            <w:pPr>
              <w:spacing w:after="0"/>
              <w:rPr>
                <w:sz w:val="23"/>
                <w:szCs w:val="23"/>
                <w:color w:val="auto"/>
              </w:rPr>
            </w:pPr>
          </w:p>
        </w:tc>
        <w:tc>
          <w:tcPr>
            <w:tcW w:w="1580" w:type="dxa"/>
            <w:vAlign w:val="bottom"/>
            <w:gridSpan w:val="2"/>
          </w:tcPr>
          <w:p>
            <w:pPr>
              <w:jc w:val="center"/>
              <w:ind w:right="360"/>
              <w:spacing w:after="0"/>
              <w:rPr>
                <w:sz w:val="20"/>
                <w:szCs w:val="20"/>
                <w:color w:val="auto"/>
              </w:rPr>
            </w:pPr>
            <w:r>
              <w:rPr>
                <w:rFonts w:ascii="Times New Roman" w:cs="Times New Roman" w:eastAsia="Times New Roman" w:hAnsi="Times New Roman"/>
                <w:sz w:val="17"/>
                <w:szCs w:val="17"/>
                <w:b w:val="1"/>
                <w:bCs w:val="1"/>
                <w:color w:val="auto"/>
              </w:rPr>
              <w:t>Reclassification</w:t>
            </w:r>
          </w:p>
        </w:tc>
        <w:tc>
          <w:tcPr>
            <w:tcW w:w="180" w:type="dxa"/>
            <w:vAlign w:val="bottom"/>
          </w:tcPr>
          <w:p>
            <w:pPr>
              <w:spacing w:after="0"/>
              <w:rPr>
                <w:sz w:val="23"/>
                <w:szCs w:val="23"/>
                <w:color w:val="auto"/>
              </w:rPr>
            </w:pPr>
          </w:p>
        </w:tc>
        <w:tc>
          <w:tcPr>
            <w:tcW w:w="1360" w:type="dxa"/>
            <w:vAlign w:val="bottom"/>
          </w:tcPr>
          <w:p>
            <w:pPr>
              <w:jc w:val="right"/>
              <w:ind w:right="75"/>
              <w:spacing w:after="0"/>
              <w:rPr>
                <w:sz w:val="20"/>
                <w:szCs w:val="20"/>
                <w:color w:val="auto"/>
              </w:rPr>
            </w:pPr>
            <w:r>
              <w:rPr>
                <w:rFonts w:ascii="Times New Roman" w:cs="Times New Roman" w:eastAsia="Times New Roman" w:hAnsi="Times New Roman"/>
                <w:sz w:val="17"/>
                <w:szCs w:val="17"/>
                <w:b w:val="1"/>
                <w:bCs w:val="1"/>
                <w:color w:val="auto"/>
              </w:rPr>
              <w:t>Reclassification</w:t>
            </w:r>
          </w:p>
        </w:tc>
        <w:tc>
          <w:tcPr>
            <w:tcW w:w="5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360" w:type="dxa"/>
            <w:vAlign w:val="bottom"/>
          </w:tcPr>
          <w:p>
            <w:pPr>
              <w:jc w:val="right"/>
              <w:ind w:right="75"/>
              <w:spacing w:after="0"/>
              <w:rPr>
                <w:sz w:val="20"/>
                <w:szCs w:val="20"/>
                <w:color w:val="auto"/>
              </w:rPr>
            </w:pPr>
            <w:r>
              <w:rPr>
                <w:rFonts w:ascii="Times New Roman" w:cs="Times New Roman" w:eastAsia="Times New Roman" w:hAnsi="Times New Roman"/>
                <w:sz w:val="17"/>
                <w:szCs w:val="17"/>
                <w:b w:val="1"/>
                <w:bCs w:val="1"/>
                <w:color w:val="auto"/>
              </w:rPr>
              <w:t>Reclassification</w:t>
            </w:r>
          </w:p>
        </w:tc>
        <w:tc>
          <w:tcPr>
            <w:tcW w:w="0" w:type="dxa"/>
            <w:vAlign w:val="bottom"/>
          </w:tcPr>
          <w:p>
            <w:pPr>
              <w:spacing w:after="0"/>
              <w:rPr>
                <w:sz w:val="1"/>
                <w:szCs w:val="1"/>
                <w:color w:val="auto"/>
              </w:rPr>
            </w:pPr>
          </w:p>
        </w:tc>
      </w:tr>
      <w:tr>
        <w:trPr>
          <w:trHeight w:val="29"/>
        </w:trPr>
        <w:tc>
          <w:tcPr>
            <w:tcW w:w="54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Impax Generics revenues - net</w:t>
            </w:r>
          </w:p>
        </w:tc>
        <w:tc>
          <w:tcPr>
            <w:tcW w:w="1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1"/>
        </w:trPr>
        <w:tc>
          <w:tcPr>
            <w:tcW w:w="5480" w:type="dxa"/>
            <w:vAlign w:val="bottom"/>
            <w:vMerge w:val="continue"/>
          </w:tcPr>
          <w:p>
            <w:pPr>
              <w:spacing w:after="0"/>
              <w:rPr>
                <w:sz w:val="19"/>
                <w:szCs w:val="19"/>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38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83,141</w:t>
            </w:r>
          </w:p>
        </w:tc>
        <w:tc>
          <w:tcPr>
            <w:tcW w:w="20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(83,141)</w:t>
            </w:r>
          </w:p>
        </w:tc>
        <w:tc>
          <w:tcPr>
            <w:tcW w:w="700" w:type="dxa"/>
            <w:vAlign w:val="bottom"/>
            <w:gridSpan w:val="2"/>
          </w:tcPr>
          <w:p>
            <w:pPr>
              <w:ind w:left="320"/>
              <w:spacing w:after="0"/>
              <w:rPr>
                <w:sz w:val="20"/>
                <w:szCs w:val="20"/>
                <w:color w:val="auto"/>
              </w:rPr>
            </w:pPr>
            <w:r>
              <w:rPr>
                <w:rFonts w:ascii="Times New Roman" w:cs="Times New Roman" w:eastAsia="Times New Roman" w:hAnsi="Times New Roman"/>
                <w:sz w:val="17"/>
                <w:szCs w:val="17"/>
                <w:color w:val="auto"/>
              </w:rPr>
              <w:t>(a) $</w:t>
            </w:r>
          </w:p>
        </w:tc>
        <w:tc>
          <w:tcPr>
            <w:tcW w:w="13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9"/>
        </w:trPr>
        <w:tc>
          <w:tcPr>
            <w:tcW w:w="54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Impax Specialty Pharma revenues - net</w:t>
            </w:r>
          </w:p>
        </w:tc>
        <w:tc>
          <w:tcPr>
            <w:tcW w:w="18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59,214</w:t>
            </w:r>
          </w:p>
        </w:tc>
        <w:tc>
          <w:tcPr>
            <w:tcW w:w="2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(59,214)</w:t>
            </w:r>
          </w:p>
        </w:tc>
        <w:tc>
          <w:tcPr>
            <w:tcW w:w="7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(a)</w:t>
            </w:r>
          </w:p>
        </w:tc>
        <w:tc>
          <w:tcPr>
            <w:tcW w:w="13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41"/>
        </w:trPr>
        <w:tc>
          <w:tcPr>
            <w:tcW w:w="54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Net revenues</w:t>
            </w:r>
          </w:p>
        </w:tc>
        <w:tc>
          <w:tcPr>
            <w:tcW w:w="180" w:type="dxa"/>
            <w:vAlign w:val="bottom"/>
          </w:tcPr>
          <w:p>
            <w:pPr>
              <w:spacing w:after="0"/>
              <w:rPr>
                <w:sz w:val="20"/>
                <w:szCs w:val="20"/>
                <w:color w:val="auto"/>
              </w:rPr>
            </w:pP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17"/>
                <w:szCs w:val="17"/>
                <w:color w:val="auto"/>
              </w:rPr>
              <w:t>—</w:t>
            </w:r>
          </w:p>
        </w:tc>
        <w:tc>
          <w:tcPr>
            <w:tcW w:w="180" w:type="dxa"/>
            <w:vAlign w:val="bottom"/>
          </w:tcPr>
          <w:p>
            <w:pPr>
              <w:spacing w:after="0"/>
              <w:rPr>
                <w:sz w:val="20"/>
                <w:szCs w:val="20"/>
                <w:color w:val="auto"/>
              </w:rPr>
            </w:pPr>
          </w:p>
        </w:tc>
        <w:tc>
          <w:tcPr>
            <w:tcW w:w="136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142,355</w:t>
            </w:r>
          </w:p>
        </w:tc>
        <w:tc>
          <w:tcPr>
            <w:tcW w:w="700" w:type="dxa"/>
            <w:vAlign w:val="bottom"/>
            <w:gridSpan w:val="2"/>
          </w:tcPr>
          <w:p>
            <w:pPr>
              <w:jc w:val="right"/>
              <w:ind w:right="200"/>
              <w:spacing w:after="0"/>
              <w:rPr>
                <w:sz w:val="20"/>
                <w:szCs w:val="20"/>
                <w:color w:val="auto"/>
              </w:rPr>
            </w:pPr>
            <w:r>
              <w:rPr>
                <w:rFonts w:ascii="Times New Roman" w:cs="Times New Roman" w:eastAsia="Times New Roman" w:hAnsi="Times New Roman"/>
                <w:sz w:val="17"/>
                <w:szCs w:val="17"/>
                <w:color w:val="auto"/>
              </w:rPr>
              <w:t>(a)</w:t>
            </w:r>
          </w:p>
        </w:tc>
        <w:tc>
          <w:tcPr>
            <w:tcW w:w="13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142,355</w:t>
            </w:r>
          </w:p>
        </w:tc>
        <w:tc>
          <w:tcPr>
            <w:tcW w:w="0" w:type="dxa"/>
            <w:vAlign w:val="bottom"/>
          </w:tcPr>
          <w:p>
            <w:pPr>
              <w:spacing w:after="0"/>
              <w:rPr>
                <w:sz w:val="1"/>
                <w:szCs w:val="1"/>
                <w:color w:val="auto"/>
              </w:rPr>
            </w:pPr>
          </w:p>
        </w:tc>
      </w:tr>
      <w:tr>
        <w:trPr>
          <w:trHeight w:val="29"/>
        </w:trPr>
        <w:tc>
          <w:tcPr>
            <w:tcW w:w="54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Cost of revenues</w:t>
            </w:r>
          </w:p>
        </w:tc>
        <w:tc>
          <w:tcPr>
            <w:tcW w:w="18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112,075</w:t>
            </w:r>
          </w:p>
        </w:tc>
        <w:tc>
          <w:tcPr>
            <w:tcW w:w="2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(112,075)</w:t>
            </w:r>
          </w:p>
        </w:tc>
        <w:tc>
          <w:tcPr>
            <w:tcW w:w="7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(b)</w:t>
            </w:r>
          </w:p>
        </w:tc>
        <w:tc>
          <w:tcPr>
            <w:tcW w:w="13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41"/>
        </w:trPr>
        <w:tc>
          <w:tcPr>
            <w:tcW w:w="54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Cost of goods sold</w:t>
            </w:r>
          </w:p>
        </w:tc>
        <w:tc>
          <w:tcPr>
            <w:tcW w:w="180" w:type="dxa"/>
            <w:vAlign w:val="bottom"/>
          </w:tcPr>
          <w:p>
            <w:pPr>
              <w:spacing w:after="0"/>
              <w:rPr>
                <w:sz w:val="20"/>
                <w:szCs w:val="20"/>
                <w:color w:val="auto"/>
              </w:rPr>
            </w:pP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17"/>
                <w:szCs w:val="17"/>
                <w:color w:val="auto"/>
              </w:rPr>
              <w:t>—</w:t>
            </w:r>
          </w:p>
        </w:tc>
        <w:tc>
          <w:tcPr>
            <w:tcW w:w="180" w:type="dxa"/>
            <w:vAlign w:val="bottom"/>
          </w:tcPr>
          <w:p>
            <w:pPr>
              <w:spacing w:after="0"/>
              <w:rPr>
                <w:sz w:val="20"/>
                <w:szCs w:val="20"/>
                <w:color w:val="auto"/>
              </w:rPr>
            </w:pPr>
          </w:p>
        </w:tc>
        <w:tc>
          <w:tcPr>
            <w:tcW w:w="136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96,467</w:t>
            </w:r>
          </w:p>
        </w:tc>
        <w:tc>
          <w:tcPr>
            <w:tcW w:w="700" w:type="dxa"/>
            <w:vAlign w:val="bottom"/>
            <w:gridSpan w:val="2"/>
          </w:tcPr>
          <w:p>
            <w:pPr>
              <w:jc w:val="right"/>
              <w:ind w:right="200"/>
              <w:spacing w:after="0"/>
              <w:rPr>
                <w:sz w:val="20"/>
                <w:szCs w:val="20"/>
                <w:color w:val="auto"/>
              </w:rPr>
            </w:pPr>
            <w:r>
              <w:rPr>
                <w:rFonts w:ascii="Times New Roman" w:cs="Times New Roman" w:eastAsia="Times New Roman" w:hAnsi="Times New Roman"/>
                <w:sz w:val="17"/>
                <w:szCs w:val="17"/>
                <w:color w:val="auto"/>
              </w:rPr>
              <w:t>(b,d)</w:t>
            </w:r>
          </w:p>
        </w:tc>
        <w:tc>
          <w:tcPr>
            <w:tcW w:w="13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96,467</w:t>
            </w:r>
          </w:p>
        </w:tc>
        <w:tc>
          <w:tcPr>
            <w:tcW w:w="0" w:type="dxa"/>
            <w:vAlign w:val="bottom"/>
          </w:tcPr>
          <w:p>
            <w:pPr>
              <w:spacing w:after="0"/>
              <w:rPr>
                <w:sz w:val="1"/>
                <w:szCs w:val="1"/>
                <w:color w:val="auto"/>
              </w:rPr>
            </w:pPr>
          </w:p>
        </w:tc>
      </w:tr>
      <w:tr>
        <w:trPr>
          <w:trHeight w:val="29"/>
        </w:trPr>
        <w:tc>
          <w:tcPr>
            <w:tcW w:w="54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Depreciation and amortization</w:t>
            </w:r>
          </w:p>
        </w:tc>
        <w:tc>
          <w:tcPr>
            <w:tcW w:w="18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7"/>
                <w:szCs w:val="17"/>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15,608</w:t>
            </w:r>
          </w:p>
        </w:tc>
        <w:tc>
          <w:tcPr>
            <w:tcW w:w="7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(d)</w:t>
            </w:r>
          </w:p>
        </w:tc>
        <w:tc>
          <w:tcPr>
            <w:tcW w:w="13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15,608</w:t>
            </w:r>
          </w:p>
        </w:tc>
        <w:tc>
          <w:tcPr>
            <w:tcW w:w="0" w:type="dxa"/>
            <w:vAlign w:val="bottom"/>
          </w:tcPr>
          <w:p>
            <w:pPr>
              <w:spacing w:after="0"/>
              <w:rPr>
                <w:sz w:val="1"/>
                <w:szCs w:val="1"/>
                <w:color w:val="auto"/>
              </w:rPr>
            </w:pPr>
          </w:p>
        </w:tc>
      </w:tr>
      <w:tr>
        <w:trPr>
          <w:trHeight w:val="241"/>
        </w:trPr>
        <w:tc>
          <w:tcPr>
            <w:tcW w:w="54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Selling, general and administrative</w:t>
            </w:r>
          </w:p>
        </w:tc>
        <w:tc>
          <w:tcPr>
            <w:tcW w:w="180" w:type="dxa"/>
            <w:vAlign w:val="bottom"/>
          </w:tcPr>
          <w:p>
            <w:pPr>
              <w:spacing w:after="0"/>
              <w:rPr>
                <w:sz w:val="20"/>
                <w:szCs w:val="20"/>
                <w:color w:val="auto"/>
              </w:rPr>
            </w:pPr>
          </w:p>
        </w:tc>
        <w:tc>
          <w:tcPr>
            <w:tcW w:w="138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57,323</w:t>
            </w: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6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(1,599)</w:t>
            </w:r>
          </w:p>
        </w:tc>
        <w:tc>
          <w:tcPr>
            <w:tcW w:w="700" w:type="dxa"/>
            <w:vAlign w:val="bottom"/>
            <w:gridSpan w:val="2"/>
          </w:tcPr>
          <w:p>
            <w:pPr>
              <w:jc w:val="right"/>
              <w:ind w:right="200"/>
              <w:spacing w:after="0"/>
              <w:rPr>
                <w:sz w:val="20"/>
                <w:szCs w:val="20"/>
                <w:color w:val="auto"/>
              </w:rPr>
            </w:pPr>
            <w:r>
              <w:rPr>
                <w:rFonts w:ascii="Times New Roman" w:cs="Times New Roman" w:eastAsia="Times New Roman" w:hAnsi="Times New Roman"/>
                <w:sz w:val="17"/>
                <w:szCs w:val="17"/>
                <w:color w:val="auto"/>
              </w:rPr>
              <w:t>(e)</w:t>
            </w:r>
          </w:p>
        </w:tc>
        <w:tc>
          <w:tcPr>
            <w:tcW w:w="13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55,724</w:t>
            </w:r>
          </w:p>
        </w:tc>
        <w:tc>
          <w:tcPr>
            <w:tcW w:w="0" w:type="dxa"/>
            <w:vAlign w:val="bottom"/>
          </w:tcPr>
          <w:p>
            <w:pPr>
              <w:spacing w:after="0"/>
              <w:rPr>
                <w:sz w:val="1"/>
                <w:szCs w:val="1"/>
                <w:color w:val="auto"/>
              </w:rPr>
            </w:pPr>
          </w:p>
        </w:tc>
      </w:tr>
      <w:tr>
        <w:trPr>
          <w:trHeight w:val="29"/>
        </w:trPr>
        <w:tc>
          <w:tcPr>
            <w:tcW w:w="54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Research and development</w:t>
            </w:r>
          </w:p>
        </w:tc>
        <w:tc>
          <w:tcPr>
            <w:tcW w:w="18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12,296</w:t>
            </w:r>
          </w:p>
        </w:tc>
        <w:tc>
          <w:tcPr>
            <w:tcW w:w="2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(769)</w:t>
            </w:r>
          </w:p>
        </w:tc>
        <w:tc>
          <w:tcPr>
            <w:tcW w:w="7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(e)</w:t>
            </w:r>
          </w:p>
        </w:tc>
        <w:tc>
          <w:tcPr>
            <w:tcW w:w="13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11,527</w:t>
            </w:r>
          </w:p>
        </w:tc>
        <w:tc>
          <w:tcPr>
            <w:tcW w:w="0" w:type="dxa"/>
            <w:vAlign w:val="bottom"/>
          </w:tcPr>
          <w:p>
            <w:pPr>
              <w:spacing w:after="0"/>
              <w:rPr>
                <w:sz w:val="1"/>
                <w:szCs w:val="1"/>
                <w:color w:val="auto"/>
              </w:rPr>
            </w:pPr>
          </w:p>
        </w:tc>
      </w:tr>
      <w:tr>
        <w:trPr>
          <w:trHeight w:val="241"/>
        </w:trPr>
        <w:tc>
          <w:tcPr>
            <w:tcW w:w="54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Litigation, settlements and related charges</w:t>
            </w:r>
          </w:p>
        </w:tc>
        <w:tc>
          <w:tcPr>
            <w:tcW w:w="180" w:type="dxa"/>
            <w:vAlign w:val="bottom"/>
          </w:tcPr>
          <w:p>
            <w:pPr>
              <w:spacing w:after="0"/>
              <w:rPr>
                <w:sz w:val="20"/>
                <w:szCs w:val="20"/>
                <w:color w:val="auto"/>
              </w:rPr>
            </w:pPr>
          </w:p>
        </w:tc>
        <w:tc>
          <w:tcPr>
            <w:tcW w:w="138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85,537</w:t>
            </w: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6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(85,537)</w:t>
            </w:r>
          </w:p>
        </w:tc>
        <w:tc>
          <w:tcPr>
            <w:tcW w:w="700" w:type="dxa"/>
            <w:vAlign w:val="bottom"/>
            <w:gridSpan w:val="2"/>
          </w:tcPr>
          <w:p>
            <w:pPr>
              <w:jc w:val="right"/>
              <w:ind w:right="200"/>
              <w:spacing w:after="0"/>
              <w:rPr>
                <w:sz w:val="20"/>
                <w:szCs w:val="20"/>
                <w:color w:val="auto"/>
              </w:rPr>
            </w:pPr>
            <w:r>
              <w:rPr>
                <w:rFonts w:ascii="Times New Roman" w:cs="Times New Roman" w:eastAsia="Times New Roman" w:hAnsi="Times New Roman"/>
                <w:sz w:val="17"/>
                <w:szCs w:val="17"/>
                <w:color w:val="auto"/>
              </w:rPr>
              <w:t>(f)</w:t>
            </w:r>
          </w:p>
        </w:tc>
        <w:tc>
          <w:tcPr>
            <w:tcW w:w="13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9"/>
        </w:trPr>
        <w:tc>
          <w:tcPr>
            <w:tcW w:w="54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Legal settlement loss</w:t>
            </w:r>
          </w:p>
        </w:tc>
        <w:tc>
          <w:tcPr>
            <w:tcW w:w="18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7"/>
                <w:szCs w:val="17"/>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85,537</w:t>
            </w:r>
          </w:p>
        </w:tc>
        <w:tc>
          <w:tcPr>
            <w:tcW w:w="7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(f)</w:t>
            </w:r>
          </w:p>
        </w:tc>
        <w:tc>
          <w:tcPr>
            <w:tcW w:w="13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85,537</w:t>
            </w:r>
          </w:p>
        </w:tc>
        <w:tc>
          <w:tcPr>
            <w:tcW w:w="0" w:type="dxa"/>
            <w:vAlign w:val="bottom"/>
          </w:tcPr>
          <w:p>
            <w:pPr>
              <w:spacing w:after="0"/>
              <w:rPr>
                <w:sz w:val="1"/>
                <w:szCs w:val="1"/>
                <w:color w:val="auto"/>
              </w:rPr>
            </w:pPr>
          </w:p>
        </w:tc>
      </w:tr>
      <w:tr>
        <w:trPr>
          <w:trHeight w:val="241"/>
        </w:trPr>
        <w:tc>
          <w:tcPr>
            <w:tcW w:w="54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Other operating expenses</w:t>
            </w:r>
          </w:p>
        </w:tc>
        <w:tc>
          <w:tcPr>
            <w:tcW w:w="180" w:type="dxa"/>
            <w:vAlign w:val="bottom"/>
          </w:tcPr>
          <w:p>
            <w:pPr>
              <w:spacing w:after="0"/>
              <w:rPr>
                <w:sz w:val="20"/>
                <w:szCs w:val="20"/>
                <w:color w:val="auto"/>
              </w:rPr>
            </w:pP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17"/>
                <w:szCs w:val="17"/>
                <w:color w:val="auto"/>
              </w:rPr>
              <w:t>—</w:t>
            </w:r>
          </w:p>
        </w:tc>
        <w:tc>
          <w:tcPr>
            <w:tcW w:w="180" w:type="dxa"/>
            <w:vAlign w:val="bottom"/>
          </w:tcPr>
          <w:p>
            <w:pPr>
              <w:spacing w:after="0"/>
              <w:rPr>
                <w:sz w:val="20"/>
                <w:szCs w:val="20"/>
                <w:color w:val="auto"/>
              </w:rPr>
            </w:pPr>
          </w:p>
        </w:tc>
        <w:tc>
          <w:tcPr>
            <w:tcW w:w="136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2,368</w:t>
            </w:r>
          </w:p>
        </w:tc>
        <w:tc>
          <w:tcPr>
            <w:tcW w:w="700" w:type="dxa"/>
            <w:vAlign w:val="bottom"/>
            <w:gridSpan w:val="2"/>
          </w:tcPr>
          <w:p>
            <w:pPr>
              <w:jc w:val="right"/>
              <w:ind w:right="200"/>
              <w:spacing w:after="0"/>
              <w:rPr>
                <w:sz w:val="20"/>
                <w:szCs w:val="20"/>
                <w:color w:val="auto"/>
              </w:rPr>
            </w:pPr>
            <w:r>
              <w:rPr>
                <w:rFonts w:ascii="Times New Roman" w:cs="Times New Roman" w:eastAsia="Times New Roman" w:hAnsi="Times New Roman"/>
                <w:sz w:val="17"/>
                <w:szCs w:val="17"/>
                <w:color w:val="auto"/>
              </w:rPr>
              <w:t>(e)</w:t>
            </w:r>
          </w:p>
        </w:tc>
        <w:tc>
          <w:tcPr>
            <w:tcW w:w="13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2,368</w:t>
            </w:r>
          </w:p>
        </w:tc>
        <w:tc>
          <w:tcPr>
            <w:tcW w:w="0" w:type="dxa"/>
            <w:vAlign w:val="bottom"/>
          </w:tcPr>
          <w:p>
            <w:pPr>
              <w:spacing w:after="0"/>
              <w:rPr>
                <w:sz w:val="1"/>
                <w:szCs w:val="1"/>
                <w:color w:val="auto"/>
              </w:rPr>
            </w:pPr>
          </w:p>
        </w:tc>
      </w:tr>
      <w:tr>
        <w:trPr>
          <w:trHeight w:val="29"/>
        </w:trPr>
        <w:tc>
          <w:tcPr>
            <w:tcW w:w="54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Other, net</w:t>
            </w:r>
          </w:p>
        </w:tc>
        <w:tc>
          <w:tcPr>
            <w:tcW w:w="18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346</w:t>
            </w:r>
          </w:p>
        </w:tc>
        <w:tc>
          <w:tcPr>
            <w:tcW w:w="2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(346)</w:t>
            </w:r>
          </w:p>
        </w:tc>
        <w:tc>
          <w:tcPr>
            <w:tcW w:w="7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(g)</w:t>
            </w:r>
          </w:p>
        </w:tc>
        <w:tc>
          <w:tcPr>
            <w:tcW w:w="13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41"/>
        </w:trPr>
        <w:tc>
          <w:tcPr>
            <w:tcW w:w="54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Other income (expense), net</w:t>
            </w:r>
          </w:p>
        </w:tc>
        <w:tc>
          <w:tcPr>
            <w:tcW w:w="180" w:type="dxa"/>
            <w:vAlign w:val="bottom"/>
          </w:tcPr>
          <w:p>
            <w:pPr>
              <w:spacing w:after="0"/>
              <w:rPr>
                <w:sz w:val="20"/>
                <w:szCs w:val="20"/>
                <w:color w:val="auto"/>
              </w:rPr>
            </w:pP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17"/>
                <w:szCs w:val="17"/>
                <w:color w:val="auto"/>
              </w:rPr>
              <w:t>—</w:t>
            </w:r>
          </w:p>
        </w:tc>
        <w:tc>
          <w:tcPr>
            <w:tcW w:w="180" w:type="dxa"/>
            <w:vAlign w:val="bottom"/>
          </w:tcPr>
          <w:p>
            <w:pPr>
              <w:spacing w:after="0"/>
              <w:rPr>
                <w:sz w:val="20"/>
                <w:szCs w:val="20"/>
                <w:color w:val="auto"/>
              </w:rPr>
            </w:pPr>
          </w:p>
        </w:tc>
        <w:tc>
          <w:tcPr>
            <w:tcW w:w="136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346</w:t>
            </w:r>
          </w:p>
        </w:tc>
        <w:tc>
          <w:tcPr>
            <w:tcW w:w="700" w:type="dxa"/>
            <w:vAlign w:val="bottom"/>
            <w:gridSpan w:val="2"/>
          </w:tcPr>
          <w:p>
            <w:pPr>
              <w:jc w:val="right"/>
              <w:ind w:right="200"/>
              <w:spacing w:after="0"/>
              <w:rPr>
                <w:sz w:val="20"/>
                <w:szCs w:val="20"/>
                <w:color w:val="auto"/>
              </w:rPr>
            </w:pPr>
            <w:r>
              <w:rPr>
                <w:rFonts w:ascii="Times New Roman" w:cs="Times New Roman" w:eastAsia="Times New Roman" w:hAnsi="Times New Roman"/>
                <w:sz w:val="17"/>
                <w:szCs w:val="17"/>
                <w:color w:val="auto"/>
              </w:rPr>
              <w:t>(g)</w:t>
            </w:r>
          </w:p>
        </w:tc>
        <w:tc>
          <w:tcPr>
            <w:tcW w:w="13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346</w:t>
            </w:r>
          </w:p>
        </w:tc>
        <w:tc>
          <w:tcPr>
            <w:tcW w:w="0" w:type="dxa"/>
            <w:vAlign w:val="bottom"/>
          </w:tcPr>
          <w:p>
            <w:pPr>
              <w:spacing w:after="0"/>
              <w:rPr>
                <w:sz w:val="1"/>
                <w:szCs w:val="1"/>
                <w:color w:val="auto"/>
              </w:rPr>
            </w:pPr>
          </w:p>
        </w:tc>
      </w:tr>
      <w:tr>
        <w:trPr>
          <w:trHeight w:val="29"/>
        </w:trPr>
        <w:tc>
          <w:tcPr>
            <w:tcW w:w="54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Benefit from income taxes</w:t>
            </w:r>
          </w:p>
        </w:tc>
        <w:tc>
          <w:tcPr>
            <w:tcW w:w="18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(7,290)</w:t>
            </w:r>
          </w:p>
        </w:tc>
        <w:tc>
          <w:tcPr>
            <w:tcW w:w="2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7,290</w:t>
            </w:r>
          </w:p>
        </w:tc>
        <w:tc>
          <w:tcPr>
            <w:tcW w:w="7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(h)</w:t>
            </w:r>
          </w:p>
        </w:tc>
        <w:tc>
          <w:tcPr>
            <w:tcW w:w="13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41"/>
        </w:trPr>
        <w:tc>
          <w:tcPr>
            <w:tcW w:w="54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Income tax provision (benefit)</w:t>
            </w:r>
          </w:p>
        </w:tc>
        <w:tc>
          <w:tcPr>
            <w:tcW w:w="180" w:type="dxa"/>
            <w:vAlign w:val="bottom"/>
          </w:tcPr>
          <w:p>
            <w:pPr>
              <w:spacing w:after="0"/>
              <w:rPr>
                <w:sz w:val="20"/>
                <w:szCs w:val="20"/>
                <w:color w:val="auto"/>
              </w:rPr>
            </w:pP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17"/>
                <w:szCs w:val="17"/>
                <w:color w:val="auto"/>
              </w:rPr>
              <w:t>—</w:t>
            </w:r>
          </w:p>
        </w:tc>
        <w:tc>
          <w:tcPr>
            <w:tcW w:w="180" w:type="dxa"/>
            <w:vAlign w:val="bottom"/>
          </w:tcPr>
          <w:p>
            <w:pPr>
              <w:spacing w:after="0"/>
              <w:rPr>
                <w:sz w:val="20"/>
                <w:szCs w:val="20"/>
                <w:color w:val="auto"/>
              </w:rPr>
            </w:pPr>
          </w:p>
        </w:tc>
        <w:tc>
          <w:tcPr>
            <w:tcW w:w="136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(7,290)</w:t>
            </w:r>
          </w:p>
        </w:tc>
        <w:tc>
          <w:tcPr>
            <w:tcW w:w="700" w:type="dxa"/>
            <w:vAlign w:val="bottom"/>
            <w:gridSpan w:val="2"/>
          </w:tcPr>
          <w:p>
            <w:pPr>
              <w:jc w:val="right"/>
              <w:ind w:right="200"/>
              <w:spacing w:after="0"/>
              <w:rPr>
                <w:sz w:val="20"/>
                <w:szCs w:val="20"/>
                <w:color w:val="auto"/>
              </w:rPr>
            </w:pPr>
            <w:r>
              <w:rPr>
                <w:rFonts w:ascii="Times New Roman" w:cs="Times New Roman" w:eastAsia="Times New Roman" w:hAnsi="Times New Roman"/>
                <w:sz w:val="17"/>
                <w:szCs w:val="17"/>
                <w:color w:val="auto"/>
              </w:rPr>
              <w:t>(h)</w:t>
            </w:r>
          </w:p>
        </w:tc>
        <w:tc>
          <w:tcPr>
            <w:tcW w:w="13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(7,290)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7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1400"/>
          </w:cols>
          <w:pgMar w:left="240" w:top="122" w:right="259" w:bottom="1440" w:gutter="0" w:footer="0" w:header="0"/>
        </w:sectPr>
      </w:pPr>
    </w:p>
    <w:bookmarkStart w:id="40" w:name="page41"/>
    <w:bookmarkEnd w:id="40"/>
    <w:p>
      <w:pPr>
        <w:ind w:left="1060"/>
        <w:spacing w:after="0"/>
        <w:rPr>
          <w:sz w:val="20"/>
          <w:szCs w:val="20"/>
          <w:color w:val="auto"/>
        </w:rPr>
      </w:pPr>
      <w:r>
        <w:rPr>
          <w:rFonts w:ascii="Times New Roman" w:cs="Times New Roman" w:eastAsia="Times New Roman" w:hAnsi="Times New Roman"/>
          <w:sz w:val="22"/>
          <w:szCs w:val="22"/>
          <w:b w:val="1"/>
          <w:bCs w:val="1"/>
          <w:color w:val="auto"/>
        </w:rPr>
        <w:t>NOTES TO UNAUDITED PRO FORMA CONDENSED COMBINED FINANCIAL STATEMENTS</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Year ended December 31, 2017:</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40"/>
        </w:trPr>
        <w:tc>
          <w:tcPr>
            <w:tcW w:w="56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540" w:type="dxa"/>
            <w:vAlign w:val="bottom"/>
            <w:gridSpan w:val="2"/>
          </w:tcPr>
          <w:p>
            <w:pPr>
              <w:jc w:val="center"/>
              <w:ind w:right="340"/>
              <w:spacing w:after="0"/>
              <w:rPr>
                <w:sz w:val="20"/>
                <w:szCs w:val="20"/>
                <w:color w:val="auto"/>
              </w:rPr>
            </w:pPr>
            <w:r>
              <w:rPr>
                <w:rFonts w:ascii="Times New Roman" w:cs="Times New Roman" w:eastAsia="Times New Roman" w:hAnsi="Times New Roman"/>
                <w:sz w:val="17"/>
                <w:szCs w:val="17"/>
                <w:b w:val="1"/>
                <w:bCs w:val="1"/>
                <w:color w:val="auto"/>
                <w:w w:val="99"/>
              </w:rPr>
              <w:t>Before</w:t>
            </w:r>
          </w:p>
        </w:tc>
        <w:tc>
          <w:tcPr>
            <w:tcW w:w="14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435"/>
              <w:spacing w:after="0"/>
              <w:rPr>
                <w:sz w:val="20"/>
                <w:szCs w:val="20"/>
                <w:color w:val="auto"/>
              </w:rPr>
            </w:pPr>
            <w:r>
              <w:rPr>
                <w:rFonts w:ascii="Times New Roman" w:cs="Times New Roman" w:eastAsia="Times New Roman" w:hAnsi="Times New Roman"/>
                <w:sz w:val="17"/>
                <w:szCs w:val="17"/>
                <w:b w:val="1"/>
                <w:bCs w:val="1"/>
                <w:color w:val="auto"/>
              </w:rPr>
              <w:t>After</w:t>
            </w:r>
          </w:p>
        </w:tc>
        <w:tc>
          <w:tcPr>
            <w:tcW w:w="0" w:type="dxa"/>
            <w:vAlign w:val="bottom"/>
          </w:tcPr>
          <w:p>
            <w:pPr>
              <w:spacing w:after="0"/>
              <w:rPr>
                <w:sz w:val="1"/>
                <w:szCs w:val="1"/>
                <w:color w:val="auto"/>
              </w:rPr>
            </w:pPr>
          </w:p>
        </w:tc>
      </w:tr>
      <w:tr>
        <w:trPr>
          <w:trHeight w:val="270"/>
        </w:trPr>
        <w:tc>
          <w:tcPr>
            <w:tcW w:w="5620" w:type="dxa"/>
            <w:vAlign w:val="bottom"/>
          </w:tcPr>
          <w:p>
            <w:pPr>
              <w:ind w:left="40"/>
              <w:spacing w:after="0"/>
              <w:rPr>
                <w:sz w:val="20"/>
                <w:szCs w:val="20"/>
                <w:color w:val="auto"/>
              </w:rPr>
            </w:pPr>
            <w:r>
              <w:rPr>
                <w:rFonts w:ascii="Times New Roman" w:cs="Times New Roman" w:eastAsia="Times New Roman" w:hAnsi="Times New Roman"/>
                <w:sz w:val="17"/>
                <w:szCs w:val="17"/>
                <w:i w:val="1"/>
                <w:iCs w:val="1"/>
                <w:color w:val="auto"/>
              </w:rPr>
              <w:t>(in thousands)</w:t>
            </w:r>
          </w:p>
        </w:tc>
        <w:tc>
          <w:tcPr>
            <w:tcW w:w="180" w:type="dxa"/>
            <w:vAlign w:val="bottom"/>
          </w:tcPr>
          <w:p>
            <w:pPr>
              <w:spacing w:after="0"/>
              <w:rPr>
                <w:sz w:val="23"/>
                <w:szCs w:val="23"/>
                <w:color w:val="auto"/>
              </w:rPr>
            </w:pPr>
          </w:p>
        </w:tc>
        <w:tc>
          <w:tcPr>
            <w:tcW w:w="1540" w:type="dxa"/>
            <w:vAlign w:val="bottom"/>
            <w:gridSpan w:val="2"/>
          </w:tcPr>
          <w:p>
            <w:pPr>
              <w:jc w:val="center"/>
              <w:ind w:right="360"/>
              <w:spacing w:after="0"/>
              <w:rPr>
                <w:sz w:val="20"/>
                <w:szCs w:val="20"/>
                <w:color w:val="auto"/>
              </w:rPr>
            </w:pPr>
            <w:r>
              <w:rPr>
                <w:rFonts w:ascii="Times New Roman" w:cs="Times New Roman" w:eastAsia="Times New Roman" w:hAnsi="Times New Roman"/>
                <w:sz w:val="17"/>
                <w:szCs w:val="17"/>
                <w:b w:val="1"/>
                <w:bCs w:val="1"/>
                <w:color w:val="auto"/>
              </w:rPr>
              <w:t>Reclassification</w:t>
            </w:r>
          </w:p>
        </w:tc>
        <w:tc>
          <w:tcPr>
            <w:tcW w:w="140" w:type="dxa"/>
            <w:vAlign w:val="bottom"/>
          </w:tcPr>
          <w:p>
            <w:pPr>
              <w:spacing w:after="0"/>
              <w:rPr>
                <w:sz w:val="23"/>
                <w:szCs w:val="23"/>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Reclassification</w:t>
            </w:r>
          </w:p>
        </w:tc>
        <w:tc>
          <w:tcPr>
            <w:tcW w:w="4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320" w:type="dxa"/>
            <w:vAlign w:val="bottom"/>
          </w:tcPr>
          <w:p>
            <w:pPr>
              <w:jc w:val="right"/>
              <w:ind w:right="55"/>
              <w:spacing w:after="0"/>
              <w:rPr>
                <w:sz w:val="20"/>
                <w:szCs w:val="20"/>
                <w:color w:val="auto"/>
              </w:rPr>
            </w:pPr>
            <w:r>
              <w:rPr>
                <w:rFonts w:ascii="Times New Roman" w:cs="Times New Roman" w:eastAsia="Times New Roman" w:hAnsi="Times New Roman"/>
                <w:sz w:val="17"/>
                <w:szCs w:val="17"/>
                <w:b w:val="1"/>
                <w:bCs w:val="1"/>
                <w:color w:val="auto"/>
              </w:rPr>
              <w:t>Reclassification</w:t>
            </w:r>
          </w:p>
        </w:tc>
        <w:tc>
          <w:tcPr>
            <w:tcW w:w="0" w:type="dxa"/>
            <w:vAlign w:val="bottom"/>
          </w:tcPr>
          <w:p>
            <w:pPr>
              <w:spacing w:after="0"/>
              <w:rPr>
                <w:sz w:val="1"/>
                <w:szCs w:val="1"/>
                <w:color w:val="auto"/>
              </w:rPr>
            </w:pPr>
          </w:p>
        </w:tc>
      </w:tr>
      <w:tr>
        <w:trPr>
          <w:trHeight w:val="29"/>
        </w:trPr>
        <w:tc>
          <w:tcPr>
            <w:tcW w:w="56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Impax Generics revenues - net</w:t>
            </w:r>
          </w:p>
        </w:tc>
        <w:tc>
          <w:tcPr>
            <w:tcW w:w="1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48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1"/>
        </w:trPr>
        <w:tc>
          <w:tcPr>
            <w:tcW w:w="5620" w:type="dxa"/>
            <w:vAlign w:val="bottom"/>
            <w:vMerge w:val="continue"/>
          </w:tcPr>
          <w:p>
            <w:pPr>
              <w:spacing w:after="0"/>
              <w:rPr>
                <w:sz w:val="19"/>
                <w:szCs w:val="19"/>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34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549,077</w:t>
            </w:r>
          </w:p>
        </w:tc>
        <w:tc>
          <w:tcPr>
            <w:tcW w:w="20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2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(549,077)</w:t>
            </w:r>
          </w:p>
        </w:tc>
        <w:tc>
          <w:tcPr>
            <w:tcW w:w="640" w:type="dxa"/>
            <w:vAlign w:val="bottom"/>
            <w:gridSpan w:val="2"/>
          </w:tcPr>
          <w:p>
            <w:pPr>
              <w:ind w:left="260"/>
              <w:spacing w:after="0"/>
              <w:rPr>
                <w:sz w:val="20"/>
                <w:szCs w:val="20"/>
                <w:color w:val="auto"/>
              </w:rPr>
            </w:pPr>
            <w:r>
              <w:rPr>
                <w:rFonts w:ascii="Times New Roman" w:cs="Times New Roman" w:eastAsia="Times New Roman" w:hAnsi="Times New Roman"/>
                <w:sz w:val="17"/>
                <w:szCs w:val="17"/>
                <w:color w:val="auto"/>
              </w:rPr>
              <w:t>(a) $</w:t>
            </w:r>
          </w:p>
        </w:tc>
        <w:tc>
          <w:tcPr>
            <w:tcW w:w="13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9"/>
        </w:trPr>
        <w:tc>
          <w:tcPr>
            <w:tcW w:w="5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Impax Specialty Pharma revenues - net</w:t>
            </w:r>
          </w:p>
        </w:tc>
        <w:tc>
          <w:tcPr>
            <w:tcW w:w="18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226,710</w:t>
            </w:r>
          </w:p>
        </w:tc>
        <w:tc>
          <w:tcPr>
            <w:tcW w:w="2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(226,710)</w:t>
            </w:r>
          </w:p>
        </w:tc>
        <w:tc>
          <w:tcPr>
            <w:tcW w:w="6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(a)</w:t>
            </w:r>
          </w:p>
        </w:tc>
        <w:tc>
          <w:tcPr>
            <w:tcW w:w="132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41"/>
        </w:trPr>
        <w:tc>
          <w:tcPr>
            <w:tcW w:w="56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Net revenues</w:t>
            </w:r>
          </w:p>
        </w:tc>
        <w:tc>
          <w:tcPr>
            <w:tcW w:w="180" w:type="dxa"/>
            <w:vAlign w:val="bottom"/>
          </w:tcPr>
          <w:p>
            <w:pPr>
              <w:spacing w:after="0"/>
              <w:rPr>
                <w:sz w:val="20"/>
                <w:szCs w:val="20"/>
                <w:color w:val="auto"/>
              </w:rPr>
            </w:pPr>
          </w:p>
        </w:tc>
        <w:tc>
          <w:tcPr>
            <w:tcW w:w="1540" w:type="dxa"/>
            <w:vAlign w:val="bottom"/>
            <w:gridSpan w:val="2"/>
          </w:tcPr>
          <w:p>
            <w:pPr>
              <w:jc w:val="right"/>
              <w:ind w:right="300"/>
              <w:spacing w:after="0"/>
              <w:rPr>
                <w:sz w:val="20"/>
                <w:szCs w:val="20"/>
                <w:color w:val="auto"/>
              </w:rPr>
            </w:pPr>
            <w:r>
              <w:rPr>
                <w:rFonts w:ascii="Times New Roman" w:cs="Times New Roman" w:eastAsia="Times New Roman" w:hAnsi="Times New Roman"/>
                <w:sz w:val="17"/>
                <w:szCs w:val="17"/>
                <w:color w:val="auto"/>
              </w:rPr>
              <w:t>—</w:t>
            </w:r>
          </w:p>
        </w:tc>
        <w:tc>
          <w:tcPr>
            <w:tcW w:w="140" w:type="dxa"/>
            <w:vAlign w:val="bottom"/>
          </w:tcPr>
          <w:p>
            <w:pPr>
              <w:spacing w:after="0"/>
              <w:rPr>
                <w:sz w:val="20"/>
                <w:szCs w:val="20"/>
                <w:color w:val="auto"/>
              </w:rPr>
            </w:pPr>
          </w:p>
        </w:tc>
        <w:tc>
          <w:tcPr>
            <w:tcW w:w="124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775,787</w:t>
            </w:r>
          </w:p>
        </w:tc>
        <w:tc>
          <w:tcPr>
            <w:tcW w:w="640" w:type="dxa"/>
            <w:vAlign w:val="bottom"/>
            <w:gridSpan w:val="2"/>
          </w:tcPr>
          <w:p>
            <w:pPr>
              <w:jc w:val="right"/>
              <w:ind w:right="200"/>
              <w:spacing w:after="0"/>
              <w:rPr>
                <w:sz w:val="20"/>
                <w:szCs w:val="20"/>
                <w:color w:val="auto"/>
              </w:rPr>
            </w:pPr>
            <w:r>
              <w:rPr>
                <w:rFonts w:ascii="Times New Roman" w:cs="Times New Roman" w:eastAsia="Times New Roman" w:hAnsi="Times New Roman"/>
                <w:sz w:val="17"/>
                <w:szCs w:val="17"/>
                <w:color w:val="auto"/>
              </w:rPr>
              <w:t>(a)</w:t>
            </w:r>
          </w:p>
        </w:tc>
        <w:tc>
          <w:tcPr>
            <w:tcW w:w="13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775,787</w:t>
            </w:r>
          </w:p>
        </w:tc>
        <w:tc>
          <w:tcPr>
            <w:tcW w:w="0" w:type="dxa"/>
            <w:vAlign w:val="bottom"/>
          </w:tcPr>
          <w:p>
            <w:pPr>
              <w:spacing w:after="0"/>
              <w:rPr>
                <w:sz w:val="1"/>
                <w:szCs w:val="1"/>
                <w:color w:val="auto"/>
              </w:rPr>
            </w:pPr>
          </w:p>
        </w:tc>
      </w:tr>
      <w:tr>
        <w:trPr>
          <w:trHeight w:val="29"/>
        </w:trPr>
        <w:tc>
          <w:tcPr>
            <w:tcW w:w="5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Cost of revenues</w:t>
            </w:r>
          </w:p>
        </w:tc>
        <w:tc>
          <w:tcPr>
            <w:tcW w:w="18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535,123</w:t>
            </w:r>
          </w:p>
        </w:tc>
        <w:tc>
          <w:tcPr>
            <w:tcW w:w="2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(535,123)</w:t>
            </w:r>
          </w:p>
        </w:tc>
        <w:tc>
          <w:tcPr>
            <w:tcW w:w="6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(b)</w:t>
            </w:r>
          </w:p>
        </w:tc>
        <w:tc>
          <w:tcPr>
            <w:tcW w:w="132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41"/>
        </w:trPr>
        <w:tc>
          <w:tcPr>
            <w:tcW w:w="56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Cost of revenues impairment charges</w:t>
            </w:r>
          </w:p>
        </w:tc>
        <w:tc>
          <w:tcPr>
            <w:tcW w:w="180" w:type="dxa"/>
            <w:vAlign w:val="bottom"/>
          </w:tcPr>
          <w:p>
            <w:pPr>
              <w:spacing w:after="0"/>
              <w:rPr>
                <w:sz w:val="20"/>
                <w:szCs w:val="20"/>
                <w:color w:val="auto"/>
              </w:rPr>
            </w:pPr>
          </w:p>
        </w:tc>
        <w:tc>
          <w:tcPr>
            <w:tcW w:w="134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96,865</w:t>
            </w: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4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(96,865)</w:t>
            </w:r>
          </w:p>
        </w:tc>
        <w:tc>
          <w:tcPr>
            <w:tcW w:w="640" w:type="dxa"/>
            <w:vAlign w:val="bottom"/>
            <w:gridSpan w:val="2"/>
          </w:tcPr>
          <w:p>
            <w:pPr>
              <w:jc w:val="right"/>
              <w:ind w:right="200"/>
              <w:spacing w:after="0"/>
              <w:rPr>
                <w:sz w:val="20"/>
                <w:szCs w:val="20"/>
                <w:color w:val="auto"/>
              </w:rPr>
            </w:pPr>
            <w:r>
              <w:rPr>
                <w:rFonts w:ascii="Times New Roman" w:cs="Times New Roman" w:eastAsia="Times New Roman" w:hAnsi="Times New Roman"/>
                <w:sz w:val="17"/>
                <w:szCs w:val="17"/>
                <w:color w:val="auto"/>
              </w:rPr>
              <w:t>(c)</w:t>
            </w:r>
          </w:p>
        </w:tc>
        <w:tc>
          <w:tcPr>
            <w:tcW w:w="13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9"/>
        </w:trPr>
        <w:tc>
          <w:tcPr>
            <w:tcW w:w="5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Cost of goods sold</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7"/>
                <w:szCs w:val="17"/>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432,464</w:t>
            </w:r>
          </w:p>
        </w:tc>
        <w:tc>
          <w:tcPr>
            <w:tcW w:w="6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(b,d)</w:t>
            </w:r>
          </w:p>
        </w:tc>
        <w:tc>
          <w:tcPr>
            <w:tcW w:w="132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432,464</w:t>
            </w:r>
          </w:p>
        </w:tc>
        <w:tc>
          <w:tcPr>
            <w:tcW w:w="0" w:type="dxa"/>
            <w:vAlign w:val="bottom"/>
          </w:tcPr>
          <w:p>
            <w:pPr>
              <w:spacing w:after="0"/>
              <w:rPr>
                <w:sz w:val="1"/>
                <w:szCs w:val="1"/>
                <w:color w:val="auto"/>
              </w:rPr>
            </w:pPr>
          </w:p>
        </w:tc>
      </w:tr>
      <w:tr>
        <w:trPr>
          <w:trHeight w:val="241"/>
        </w:trPr>
        <w:tc>
          <w:tcPr>
            <w:tcW w:w="56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Cost of goods sold impairment charges</w:t>
            </w:r>
          </w:p>
        </w:tc>
        <w:tc>
          <w:tcPr>
            <w:tcW w:w="180" w:type="dxa"/>
            <w:vAlign w:val="bottom"/>
          </w:tcPr>
          <w:p>
            <w:pPr>
              <w:spacing w:after="0"/>
              <w:rPr>
                <w:sz w:val="20"/>
                <w:szCs w:val="20"/>
                <w:color w:val="auto"/>
              </w:rPr>
            </w:pPr>
          </w:p>
        </w:tc>
        <w:tc>
          <w:tcPr>
            <w:tcW w:w="1540" w:type="dxa"/>
            <w:vAlign w:val="bottom"/>
            <w:gridSpan w:val="2"/>
          </w:tcPr>
          <w:p>
            <w:pPr>
              <w:jc w:val="right"/>
              <w:ind w:right="300"/>
              <w:spacing w:after="0"/>
              <w:rPr>
                <w:sz w:val="20"/>
                <w:szCs w:val="20"/>
                <w:color w:val="auto"/>
              </w:rPr>
            </w:pPr>
            <w:r>
              <w:rPr>
                <w:rFonts w:ascii="Times New Roman" w:cs="Times New Roman" w:eastAsia="Times New Roman" w:hAnsi="Times New Roman"/>
                <w:sz w:val="17"/>
                <w:szCs w:val="17"/>
                <w:color w:val="auto"/>
              </w:rPr>
              <w:t>—</w:t>
            </w:r>
          </w:p>
        </w:tc>
        <w:tc>
          <w:tcPr>
            <w:tcW w:w="140" w:type="dxa"/>
            <w:vAlign w:val="bottom"/>
          </w:tcPr>
          <w:p>
            <w:pPr>
              <w:spacing w:after="0"/>
              <w:rPr>
                <w:sz w:val="20"/>
                <w:szCs w:val="20"/>
                <w:color w:val="auto"/>
              </w:rPr>
            </w:pPr>
          </w:p>
        </w:tc>
        <w:tc>
          <w:tcPr>
            <w:tcW w:w="124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96,865</w:t>
            </w:r>
          </w:p>
        </w:tc>
        <w:tc>
          <w:tcPr>
            <w:tcW w:w="640" w:type="dxa"/>
            <w:vAlign w:val="bottom"/>
            <w:gridSpan w:val="2"/>
          </w:tcPr>
          <w:p>
            <w:pPr>
              <w:jc w:val="right"/>
              <w:ind w:right="200"/>
              <w:spacing w:after="0"/>
              <w:rPr>
                <w:sz w:val="20"/>
                <w:szCs w:val="20"/>
                <w:color w:val="auto"/>
              </w:rPr>
            </w:pPr>
            <w:r>
              <w:rPr>
                <w:rFonts w:ascii="Times New Roman" w:cs="Times New Roman" w:eastAsia="Times New Roman" w:hAnsi="Times New Roman"/>
                <w:sz w:val="17"/>
                <w:szCs w:val="17"/>
                <w:color w:val="auto"/>
              </w:rPr>
              <w:t>(c)</w:t>
            </w:r>
          </w:p>
        </w:tc>
        <w:tc>
          <w:tcPr>
            <w:tcW w:w="13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96,865</w:t>
            </w:r>
          </w:p>
        </w:tc>
        <w:tc>
          <w:tcPr>
            <w:tcW w:w="0" w:type="dxa"/>
            <w:vAlign w:val="bottom"/>
          </w:tcPr>
          <w:p>
            <w:pPr>
              <w:spacing w:after="0"/>
              <w:rPr>
                <w:sz w:val="1"/>
                <w:szCs w:val="1"/>
                <w:color w:val="auto"/>
              </w:rPr>
            </w:pPr>
          </w:p>
        </w:tc>
      </w:tr>
      <w:tr>
        <w:trPr>
          <w:trHeight w:val="29"/>
        </w:trPr>
        <w:tc>
          <w:tcPr>
            <w:tcW w:w="5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Depreciation and amortization</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7"/>
                <w:szCs w:val="17"/>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102,659</w:t>
            </w:r>
          </w:p>
        </w:tc>
        <w:tc>
          <w:tcPr>
            <w:tcW w:w="6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(d)</w:t>
            </w:r>
          </w:p>
        </w:tc>
        <w:tc>
          <w:tcPr>
            <w:tcW w:w="132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102,659</w:t>
            </w:r>
          </w:p>
        </w:tc>
        <w:tc>
          <w:tcPr>
            <w:tcW w:w="0" w:type="dxa"/>
            <w:vAlign w:val="bottom"/>
          </w:tcPr>
          <w:p>
            <w:pPr>
              <w:spacing w:after="0"/>
              <w:rPr>
                <w:sz w:val="1"/>
                <w:szCs w:val="1"/>
                <w:color w:val="auto"/>
              </w:rPr>
            </w:pPr>
          </w:p>
        </w:tc>
      </w:tr>
      <w:tr>
        <w:trPr>
          <w:trHeight w:val="241"/>
        </w:trPr>
        <w:tc>
          <w:tcPr>
            <w:tcW w:w="56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Selling, general and administrative</w:t>
            </w:r>
          </w:p>
        </w:tc>
        <w:tc>
          <w:tcPr>
            <w:tcW w:w="180" w:type="dxa"/>
            <w:vAlign w:val="bottom"/>
          </w:tcPr>
          <w:p>
            <w:pPr>
              <w:spacing w:after="0"/>
              <w:rPr>
                <w:sz w:val="20"/>
                <w:szCs w:val="20"/>
                <w:color w:val="auto"/>
              </w:rPr>
            </w:pPr>
          </w:p>
        </w:tc>
        <w:tc>
          <w:tcPr>
            <w:tcW w:w="134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216,270</w:t>
            </w: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4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(3,606)</w:t>
            </w:r>
          </w:p>
        </w:tc>
        <w:tc>
          <w:tcPr>
            <w:tcW w:w="640" w:type="dxa"/>
            <w:vAlign w:val="bottom"/>
            <w:gridSpan w:val="2"/>
          </w:tcPr>
          <w:p>
            <w:pPr>
              <w:jc w:val="right"/>
              <w:ind w:right="200"/>
              <w:spacing w:after="0"/>
              <w:rPr>
                <w:sz w:val="20"/>
                <w:szCs w:val="20"/>
                <w:color w:val="auto"/>
              </w:rPr>
            </w:pPr>
            <w:r>
              <w:rPr>
                <w:rFonts w:ascii="Times New Roman" w:cs="Times New Roman" w:eastAsia="Times New Roman" w:hAnsi="Times New Roman"/>
                <w:sz w:val="17"/>
                <w:szCs w:val="17"/>
                <w:color w:val="auto"/>
              </w:rPr>
              <w:t>(e)</w:t>
            </w:r>
          </w:p>
        </w:tc>
        <w:tc>
          <w:tcPr>
            <w:tcW w:w="13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212,664</w:t>
            </w:r>
          </w:p>
        </w:tc>
        <w:tc>
          <w:tcPr>
            <w:tcW w:w="0" w:type="dxa"/>
            <w:vAlign w:val="bottom"/>
          </w:tcPr>
          <w:p>
            <w:pPr>
              <w:spacing w:after="0"/>
              <w:rPr>
                <w:sz w:val="1"/>
                <w:szCs w:val="1"/>
                <w:color w:val="auto"/>
              </w:rPr>
            </w:pPr>
          </w:p>
        </w:tc>
      </w:tr>
      <w:tr>
        <w:trPr>
          <w:trHeight w:val="29"/>
        </w:trPr>
        <w:tc>
          <w:tcPr>
            <w:tcW w:w="5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Research and development</w:t>
            </w:r>
          </w:p>
        </w:tc>
        <w:tc>
          <w:tcPr>
            <w:tcW w:w="18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80,847</w:t>
            </w:r>
          </w:p>
        </w:tc>
        <w:tc>
          <w:tcPr>
            <w:tcW w:w="2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(3,184)</w:t>
            </w:r>
          </w:p>
        </w:tc>
        <w:tc>
          <w:tcPr>
            <w:tcW w:w="6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(e)</w:t>
            </w:r>
          </w:p>
        </w:tc>
        <w:tc>
          <w:tcPr>
            <w:tcW w:w="132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77,663</w:t>
            </w:r>
          </w:p>
        </w:tc>
        <w:tc>
          <w:tcPr>
            <w:tcW w:w="0" w:type="dxa"/>
            <w:vAlign w:val="bottom"/>
          </w:tcPr>
          <w:p>
            <w:pPr>
              <w:spacing w:after="0"/>
              <w:rPr>
                <w:sz w:val="1"/>
                <w:szCs w:val="1"/>
                <w:color w:val="auto"/>
              </w:rPr>
            </w:pPr>
          </w:p>
        </w:tc>
      </w:tr>
      <w:tr>
        <w:trPr>
          <w:trHeight w:val="241"/>
        </w:trPr>
        <w:tc>
          <w:tcPr>
            <w:tcW w:w="56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Other operating expenses</w:t>
            </w:r>
          </w:p>
        </w:tc>
        <w:tc>
          <w:tcPr>
            <w:tcW w:w="180" w:type="dxa"/>
            <w:vAlign w:val="bottom"/>
          </w:tcPr>
          <w:p>
            <w:pPr>
              <w:spacing w:after="0"/>
              <w:rPr>
                <w:sz w:val="20"/>
                <w:szCs w:val="20"/>
                <w:color w:val="auto"/>
              </w:rPr>
            </w:pPr>
          </w:p>
        </w:tc>
        <w:tc>
          <w:tcPr>
            <w:tcW w:w="134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5,105</w:t>
            </w: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4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6,790</w:t>
            </w:r>
          </w:p>
        </w:tc>
        <w:tc>
          <w:tcPr>
            <w:tcW w:w="640" w:type="dxa"/>
            <w:vAlign w:val="bottom"/>
            <w:gridSpan w:val="2"/>
          </w:tcPr>
          <w:p>
            <w:pPr>
              <w:jc w:val="right"/>
              <w:ind w:right="200"/>
              <w:spacing w:after="0"/>
              <w:rPr>
                <w:sz w:val="20"/>
                <w:szCs w:val="20"/>
                <w:color w:val="auto"/>
              </w:rPr>
            </w:pPr>
            <w:r>
              <w:rPr>
                <w:rFonts w:ascii="Times New Roman" w:cs="Times New Roman" w:eastAsia="Times New Roman" w:hAnsi="Times New Roman"/>
                <w:sz w:val="17"/>
                <w:szCs w:val="17"/>
                <w:color w:val="auto"/>
              </w:rPr>
              <w:t>(e)</w:t>
            </w:r>
          </w:p>
        </w:tc>
        <w:tc>
          <w:tcPr>
            <w:tcW w:w="13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11,895</w:t>
            </w:r>
          </w:p>
        </w:tc>
        <w:tc>
          <w:tcPr>
            <w:tcW w:w="0" w:type="dxa"/>
            <w:vAlign w:val="bottom"/>
          </w:tcPr>
          <w:p>
            <w:pPr>
              <w:spacing w:after="0"/>
              <w:rPr>
                <w:sz w:val="1"/>
                <w:szCs w:val="1"/>
                <w:color w:val="auto"/>
              </w:rPr>
            </w:pPr>
          </w:p>
        </w:tc>
      </w:tr>
      <w:tr>
        <w:trPr>
          <w:trHeight w:val="29"/>
        </w:trPr>
        <w:tc>
          <w:tcPr>
            <w:tcW w:w="5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Other, net</w:t>
            </w:r>
          </w:p>
        </w:tc>
        <w:tc>
          <w:tcPr>
            <w:tcW w:w="18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(10,878)</w:t>
            </w:r>
          </w:p>
        </w:tc>
        <w:tc>
          <w:tcPr>
            <w:tcW w:w="2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10,878</w:t>
            </w:r>
          </w:p>
        </w:tc>
        <w:tc>
          <w:tcPr>
            <w:tcW w:w="6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(g)</w:t>
            </w:r>
          </w:p>
        </w:tc>
        <w:tc>
          <w:tcPr>
            <w:tcW w:w="132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41"/>
        </w:trPr>
        <w:tc>
          <w:tcPr>
            <w:tcW w:w="56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Other income (expense), net</w:t>
            </w:r>
          </w:p>
        </w:tc>
        <w:tc>
          <w:tcPr>
            <w:tcW w:w="180" w:type="dxa"/>
            <w:vAlign w:val="bottom"/>
          </w:tcPr>
          <w:p>
            <w:pPr>
              <w:spacing w:after="0"/>
              <w:rPr>
                <w:sz w:val="20"/>
                <w:szCs w:val="20"/>
                <w:color w:val="auto"/>
              </w:rPr>
            </w:pPr>
          </w:p>
        </w:tc>
        <w:tc>
          <w:tcPr>
            <w:tcW w:w="1540" w:type="dxa"/>
            <w:vAlign w:val="bottom"/>
            <w:gridSpan w:val="2"/>
          </w:tcPr>
          <w:p>
            <w:pPr>
              <w:jc w:val="right"/>
              <w:ind w:right="300"/>
              <w:spacing w:after="0"/>
              <w:rPr>
                <w:sz w:val="20"/>
                <w:szCs w:val="20"/>
                <w:color w:val="auto"/>
              </w:rPr>
            </w:pPr>
            <w:r>
              <w:rPr>
                <w:rFonts w:ascii="Times New Roman" w:cs="Times New Roman" w:eastAsia="Times New Roman" w:hAnsi="Times New Roman"/>
                <w:sz w:val="17"/>
                <w:szCs w:val="17"/>
                <w:color w:val="auto"/>
              </w:rPr>
              <w:t>—</w:t>
            </w:r>
          </w:p>
        </w:tc>
        <w:tc>
          <w:tcPr>
            <w:tcW w:w="140" w:type="dxa"/>
            <w:vAlign w:val="bottom"/>
          </w:tcPr>
          <w:p>
            <w:pPr>
              <w:spacing w:after="0"/>
              <w:rPr>
                <w:sz w:val="20"/>
                <w:szCs w:val="20"/>
                <w:color w:val="auto"/>
              </w:rPr>
            </w:pPr>
          </w:p>
        </w:tc>
        <w:tc>
          <w:tcPr>
            <w:tcW w:w="124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(10,878)</w:t>
            </w:r>
          </w:p>
        </w:tc>
        <w:tc>
          <w:tcPr>
            <w:tcW w:w="640" w:type="dxa"/>
            <w:vAlign w:val="bottom"/>
            <w:gridSpan w:val="2"/>
          </w:tcPr>
          <w:p>
            <w:pPr>
              <w:jc w:val="right"/>
              <w:ind w:right="200"/>
              <w:spacing w:after="0"/>
              <w:rPr>
                <w:sz w:val="20"/>
                <w:szCs w:val="20"/>
                <w:color w:val="auto"/>
              </w:rPr>
            </w:pPr>
            <w:r>
              <w:rPr>
                <w:rFonts w:ascii="Times New Roman" w:cs="Times New Roman" w:eastAsia="Times New Roman" w:hAnsi="Times New Roman"/>
                <w:sz w:val="17"/>
                <w:szCs w:val="17"/>
                <w:color w:val="auto"/>
              </w:rPr>
              <w:t>(g)</w:t>
            </w:r>
          </w:p>
        </w:tc>
        <w:tc>
          <w:tcPr>
            <w:tcW w:w="13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(10,878)</w:t>
            </w:r>
          </w:p>
        </w:tc>
        <w:tc>
          <w:tcPr>
            <w:tcW w:w="0" w:type="dxa"/>
            <w:vAlign w:val="bottom"/>
          </w:tcPr>
          <w:p>
            <w:pPr>
              <w:spacing w:after="0"/>
              <w:rPr>
                <w:sz w:val="1"/>
                <w:szCs w:val="1"/>
                <w:color w:val="auto"/>
              </w:rPr>
            </w:pPr>
          </w:p>
        </w:tc>
      </w:tr>
      <w:tr>
        <w:trPr>
          <w:trHeight w:val="29"/>
        </w:trPr>
        <w:tc>
          <w:tcPr>
            <w:tcW w:w="5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Provision for income taxes</w:t>
            </w:r>
          </w:p>
        </w:tc>
        <w:tc>
          <w:tcPr>
            <w:tcW w:w="18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18,326</w:t>
            </w:r>
          </w:p>
        </w:tc>
        <w:tc>
          <w:tcPr>
            <w:tcW w:w="2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(18,326)</w:t>
            </w:r>
          </w:p>
        </w:tc>
        <w:tc>
          <w:tcPr>
            <w:tcW w:w="6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7"/>
                <w:szCs w:val="17"/>
                <w:color w:val="auto"/>
              </w:rPr>
              <w:t>(h)</w:t>
            </w:r>
          </w:p>
        </w:tc>
        <w:tc>
          <w:tcPr>
            <w:tcW w:w="132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41"/>
        </w:trPr>
        <w:tc>
          <w:tcPr>
            <w:tcW w:w="56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Income tax provision (benefit)</w:t>
            </w:r>
          </w:p>
        </w:tc>
        <w:tc>
          <w:tcPr>
            <w:tcW w:w="180" w:type="dxa"/>
            <w:vAlign w:val="bottom"/>
          </w:tcPr>
          <w:p>
            <w:pPr>
              <w:spacing w:after="0"/>
              <w:rPr>
                <w:sz w:val="20"/>
                <w:szCs w:val="20"/>
                <w:color w:val="auto"/>
              </w:rPr>
            </w:pPr>
          </w:p>
        </w:tc>
        <w:tc>
          <w:tcPr>
            <w:tcW w:w="1540" w:type="dxa"/>
            <w:vAlign w:val="bottom"/>
            <w:gridSpan w:val="2"/>
          </w:tcPr>
          <w:p>
            <w:pPr>
              <w:jc w:val="right"/>
              <w:ind w:right="300"/>
              <w:spacing w:after="0"/>
              <w:rPr>
                <w:sz w:val="20"/>
                <w:szCs w:val="20"/>
                <w:color w:val="auto"/>
              </w:rPr>
            </w:pPr>
            <w:r>
              <w:rPr>
                <w:rFonts w:ascii="Times New Roman" w:cs="Times New Roman" w:eastAsia="Times New Roman" w:hAnsi="Times New Roman"/>
                <w:sz w:val="17"/>
                <w:szCs w:val="17"/>
                <w:color w:val="auto"/>
              </w:rPr>
              <w:t>—</w:t>
            </w:r>
          </w:p>
        </w:tc>
        <w:tc>
          <w:tcPr>
            <w:tcW w:w="140" w:type="dxa"/>
            <w:vAlign w:val="bottom"/>
          </w:tcPr>
          <w:p>
            <w:pPr>
              <w:spacing w:after="0"/>
              <w:rPr>
                <w:sz w:val="20"/>
                <w:szCs w:val="20"/>
                <w:color w:val="auto"/>
              </w:rPr>
            </w:pPr>
          </w:p>
        </w:tc>
        <w:tc>
          <w:tcPr>
            <w:tcW w:w="124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18,326</w:t>
            </w:r>
          </w:p>
        </w:tc>
        <w:tc>
          <w:tcPr>
            <w:tcW w:w="640" w:type="dxa"/>
            <w:vAlign w:val="bottom"/>
            <w:gridSpan w:val="2"/>
          </w:tcPr>
          <w:p>
            <w:pPr>
              <w:jc w:val="right"/>
              <w:ind w:right="200"/>
              <w:spacing w:after="0"/>
              <w:rPr>
                <w:sz w:val="20"/>
                <w:szCs w:val="20"/>
                <w:color w:val="auto"/>
              </w:rPr>
            </w:pPr>
            <w:r>
              <w:rPr>
                <w:rFonts w:ascii="Times New Roman" w:cs="Times New Roman" w:eastAsia="Times New Roman" w:hAnsi="Times New Roman"/>
                <w:sz w:val="17"/>
                <w:szCs w:val="17"/>
                <w:color w:val="auto"/>
              </w:rPr>
              <w:t>(h)</w:t>
            </w:r>
          </w:p>
        </w:tc>
        <w:tc>
          <w:tcPr>
            <w:tcW w:w="13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18,326</w:t>
            </w:r>
          </w:p>
        </w:tc>
        <w:tc>
          <w:tcPr>
            <w:tcW w:w="0" w:type="dxa"/>
            <w:vAlign w:val="bottom"/>
          </w:tcPr>
          <w:p>
            <w:pPr>
              <w:spacing w:after="0"/>
              <w:rPr>
                <w:sz w:val="1"/>
                <w:szCs w:val="1"/>
                <w:color w:val="auto"/>
              </w:rPr>
            </w:pPr>
          </w:p>
        </w:tc>
      </w:tr>
    </w:tbl>
    <w:p>
      <w:pPr>
        <w:spacing w:after="0" w:line="227" w:lineRule="exact"/>
        <w:rPr>
          <w:sz w:val="20"/>
          <w:szCs w:val="20"/>
          <w:color w:val="auto"/>
        </w:rPr>
      </w:pPr>
    </w:p>
    <w:p>
      <w:pPr>
        <w:ind w:left="340" w:hanging="332"/>
        <w:spacing w:after="0" w:line="282" w:lineRule="auto"/>
        <w:tabs>
          <w:tab w:leader="none" w:pos="34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reclassification of Impax Generic revenues – net and Impax Specialty Pharma revenues – net on Impax’s statement of operations into net revenues to conform to Amneal’s statement of income presentation.</w:t>
      </w:r>
    </w:p>
    <w:p>
      <w:pPr>
        <w:spacing w:after="0" w:line="161" w:lineRule="exact"/>
        <w:rPr>
          <w:rFonts w:ascii="Times New Roman" w:cs="Times New Roman" w:eastAsia="Times New Roman" w:hAnsi="Times New Roman"/>
          <w:sz w:val="18"/>
          <w:szCs w:val="18"/>
          <w:color w:val="auto"/>
        </w:rPr>
      </w:pPr>
    </w:p>
    <w:p>
      <w:pPr>
        <w:ind w:left="340" w:right="20" w:hanging="332"/>
        <w:spacing w:after="0" w:line="282" w:lineRule="auto"/>
        <w:tabs>
          <w:tab w:leader="none" w:pos="34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reclassification of cost of revenues on Impax’s statement of operations into cost of goods sold to conform to Amneal’s statement of income presentation.</w:t>
      </w:r>
    </w:p>
    <w:p>
      <w:pPr>
        <w:spacing w:after="0" w:line="161"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reclassification of cost of revenues impairment charges on Impax’s statement of operations into cost of goods sold impairment charges to conform to Amneal’s statement of income presentation.</w:t>
      </w:r>
    </w:p>
    <w:p>
      <w:pPr>
        <w:spacing w:after="0" w:line="161"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reclassification of $15.6 million for the three months ended March 31, 2018 and $102.7 million for the year ended December 31, 2017 reported in cost of revenues on Impax’s statement of operations into depreciation and amortization to conform to Amneal’s statement of income presentation.</w:t>
      </w:r>
    </w:p>
    <w:p>
      <w:pPr>
        <w:spacing w:after="0" w:line="176"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reclassification of depreciation reported in selling, general and administrative and research and development on Impax’s statement of operations into other operating expenses to conform to Amneal’s statement of income presentation.</w:t>
      </w:r>
    </w:p>
    <w:p>
      <w:pPr>
        <w:spacing w:after="0" w:line="161" w:lineRule="exact"/>
        <w:rPr>
          <w:rFonts w:ascii="Times New Roman" w:cs="Times New Roman" w:eastAsia="Times New Roman" w:hAnsi="Times New Roman"/>
          <w:sz w:val="18"/>
          <w:szCs w:val="18"/>
          <w:color w:val="auto"/>
        </w:rPr>
      </w:pPr>
    </w:p>
    <w:p>
      <w:pPr>
        <w:ind w:left="340" w:right="20" w:hanging="332"/>
        <w:spacing w:after="0" w:line="282" w:lineRule="auto"/>
        <w:tabs>
          <w:tab w:leader="none" w:pos="34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reclassification of litigation, settlements and related charges on Impax’s statement of operations into litigation settlement loss to conform to Amneal’s statement of income presentation.</w:t>
      </w:r>
    </w:p>
    <w:p>
      <w:pPr>
        <w:spacing w:after="0" w:line="161"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reclassification of other, net on Impax’s statement of operations into other income (expense), net to conform to Amneal’s statement of income presentation.</w:t>
      </w:r>
    </w:p>
    <w:p>
      <w:pPr>
        <w:spacing w:after="0" w:line="161"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reclassification of benefit from provision for income taxes on Impax’s statement of operations into income tax (benefit) provision to conform to Amneal’s statement of income presentation.</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11420"/>
          </w:cols>
          <w:pgMar w:left="240" w:top="122" w:right="239" w:bottom="1440" w:gutter="0" w:footer="0" w:header="0"/>
        </w:sectPr>
      </w:pPr>
    </w:p>
    <w:bookmarkStart w:id="41" w:name="page42"/>
    <w:bookmarkEnd w:id="41"/>
    <w:p>
      <w:pPr>
        <w:ind w:left="1060"/>
        <w:spacing w:after="0"/>
        <w:rPr>
          <w:sz w:val="20"/>
          <w:szCs w:val="20"/>
          <w:color w:val="auto"/>
        </w:rPr>
      </w:pPr>
      <w:r>
        <w:rPr>
          <w:rFonts w:ascii="Times New Roman" w:cs="Times New Roman" w:eastAsia="Times New Roman" w:hAnsi="Times New Roman"/>
          <w:sz w:val="22"/>
          <w:szCs w:val="22"/>
          <w:b w:val="1"/>
          <w:bCs w:val="1"/>
          <w:color w:val="auto"/>
        </w:rPr>
        <w:t>NOTES TO UNAUDITED PRO FORMA CONDENSED COMBINED FINANCIAL STATEMENTS</w:t>
      </w: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Impax reclassifications in the unaudited pro forma condensed combined balance sheet as of March 31, 2018</w:t>
      </w:r>
    </w:p>
    <w:p>
      <w:pPr>
        <w:spacing w:after="0" w:line="380" w:lineRule="exact"/>
        <w:rPr>
          <w:sz w:val="20"/>
          <w:szCs w:val="20"/>
          <w:color w:val="auto"/>
        </w:rPr>
      </w:pPr>
    </w:p>
    <w:tbl>
      <w:tblPr>
        <w:tblLayout w:type="fixed"/>
        <w:tblInd w:w="0" w:type="dxa"/>
        <w:tblCellMar>
          <w:top w:w="0" w:type="dxa"/>
          <w:left w:w="0" w:type="dxa"/>
          <w:bottom w:w="0" w:type="dxa"/>
          <w:right w:w="0" w:type="dxa"/>
        </w:tblCellMar>
      </w:tblPr>
      <w:tr>
        <w:trPr>
          <w:trHeight w:val="240"/>
        </w:trPr>
        <w:tc>
          <w:tcPr>
            <w:tcW w:w="55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420" w:type="dxa"/>
            <w:vAlign w:val="bottom"/>
            <w:gridSpan w:val="2"/>
          </w:tcPr>
          <w:p>
            <w:pPr>
              <w:jc w:val="center"/>
              <w:ind w:right="700"/>
              <w:spacing w:after="0"/>
              <w:rPr>
                <w:sz w:val="20"/>
                <w:szCs w:val="20"/>
                <w:color w:val="auto"/>
              </w:rPr>
            </w:pPr>
            <w:r>
              <w:rPr>
                <w:rFonts w:ascii="Times New Roman" w:cs="Times New Roman" w:eastAsia="Times New Roman" w:hAnsi="Times New Roman"/>
                <w:sz w:val="17"/>
                <w:szCs w:val="17"/>
                <w:b w:val="1"/>
                <w:bCs w:val="1"/>
                <w:color w:val="auto"/>
                <w:w w:val="99"/>
              </w:rPr>
              <w:t>Before</w:t>
            </w:r>
          </w:p>
        </w:tc>
        <w:tc>
          <w:tcPr>
            <w:tcW w:w="18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60" w:type="dxa"/>
            <w:vAlign w:val="bottom"/>
          </w:tcPr>
          <w:p>
            <w:pPr>
              <w:jc w:val="right"/>
              <w:ind w:right="455"/>
              <w:spacing w:after="0"/>
              <w:rPr>
                <w:sz w:val="20"/>
                <w:szCs w:val="20"/>
                <w:color w:val="auto"/>
              </w:rPr>
            </w:pPr>
            <w:r>
              <w:rPr>
                <w:rFonts w:ascii="Times New Roman" w:cs="Times New Roman" w:eastAsia="Times New Roman" w:hAnsi="Times New Roman"/>
                <w:sz w:val="17"/>
                <w:szCs w:val="17"/>
                <w:b w:val="1"/>
                <w:bCs w:val="1"/>
                <w:color w:val="auto"/>
              </w:rPr>
              <w:t>After</w:t>
            </w:r>
          </w:p>
        </w:tc>
      </w:tr>
      <w:tr>
        <w:trPr>
          <w:trHeight w:val="270"/>
        </w:trPr>
        <w:tc>
          <w:tcPr>
            <w:tcW w:w="5520" w:type="dxa"/>
            <w:vAlign w:val="bottom"/>
          </w:tcPr>
          <w:p>
            <w:pPr>
              <w:ind w:left="40"/>
              <w:spacing w:after="0"/>
              <w:rPr>
                <w:sz w:val="20"/>
                <w:szCs w:val="20"/>
                <w:color w:val="auto"/>
              </w:rPr>
            </w:pPr>
            <w:r>
              <w:rPr>
                <w:rFonts w:ascii="Times New Roman" w:cs="Times New Roman" w:eastAsia="Times New Roman" w:hAnsi="Times New Roman"/>
                <w:sz w:val="17"/>
                <w:szCs w:val="17"/>
                <w:i w:val="1"/>
                <w:iCs w:val="1"/>
                <w:color w:val="auto"/>
              </w:rPr>
              <w:t>(in thousands)</w:t>
            </w:r>
          </w:p>
        </w:tc>
        <w:tc>
          <w:tcPr>
            <w:tcW w:w="2060" w:type="dxa"/>
            <w:vAlign w:val="bottom"/>
            <w:gridSpan w:val="3"/>
          </w:tcPr>
          <w:p>
            <w:pPr>
              <w:jc w:val="center"/>
              <w:ind w:right="80"/>
              <w:spacing w:after="0"/>
              <w:rPr>
                <w:sz w:val="20"/>
                <w:szCs w:val="20"/>
                <w:color w:val="auto"/>
              </w:rPr>
            </w:pPr>
            <w:r>
              <w:rPr>
                <w:rFonts w:ascii="Times New Roman" w:cs="Times New Roman" w:eastAsia="Times New Roman" w:hAnsi="Times New Roman"/>
                <w:sz w:val="17"/>
                <w:szCs w:val="17"/>
                <w:b w:val="1"/>
                <w:bCs w:val="1"/>
                <w:color w:val="auto"/>
              </w:rPr>
              <w:t>Reclassification</w:t>
            </w:r>
          </w:p>
        </w:tc>
        <w:tc>
          <w:tcPr>
            <w:tcW w:w="180" w:type="dxa"/>
            <w:vAlign w:val="bottom"/>
          </w:tcPr>
          <w:p>
            <w:pPr>
              <w:spacing w:after="0"/>
              <w:rPr>
                <w:sz w:val="23"/>
                <w:szCs w:val="23"/>
                <w:color w:val="auto"/>
              </w:rPr>
            </w:pPr>
          </w:p>
        </w:tc>
        <w:tc>
          <w:tcPr>
            <w:tcW w:w="1360" w:type="dxa"/>
            <w:vAlign w:val="bottom"/>
          </w:tcPr>
          <w:p>
            <w:pPr>
              <w:jc w:val="right"/>
              <w:ind w:right="75"/>
              <w:spacing w:after="0"/>
              <w:rPr>
                <w:sz w:val="20"/>
                <w:szCs w:val="20"/>
                <w:color w:val="auto"/>
              </w:rPr>
            </w:pPr>
            <w:r>
              <w:rPr>
                <w:rFonts w:ascii="Times New Roman" w:cs="Times New Roman" w:eastAsia="Times New Roman" w:hAnsi="Times New Roman"/>
                <w:sz w:val="17"/>
                <w:szCs w:val="17"/>
                <w:b w:val="1"/>
                <w:bCs w:val="1"/>
                <w:color w:val="auto"/>
              </w:rPr>
              <w:t>Reclassification</w:t>
            </w:r>
          </w:p>
        </w:tc>
        <w:tc>
          <w:tcPr>
            <w:tcW w:w="4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360" w:type="dxa"/>
            <w:vAlign w:val="bottom"/>
          </w:tcPr>
          <w:p>
            <w:pPr>
              <w:jc w:val="right"/>
              <w:ind w:right="75"/>
              <w:spacing w:after="0"/>
              <w:rPr>
                <w:sz w:val="20"/>
                <w:szCs w:val="20"/>
                <w:color w:val="auto"/>
              </w:rPr>
            </w:pPr>
            <w:r>
              <w:rPr>
                <w:rFonts w:ascii="Times New Roman" w:cs="Times New Roman" w:eastAsia="Times New Roman" w:hAnsi="Times New Roman"/>
                <w:sz w:val="17"/>
                <w:szCs w:val="17"/>
                <w:b w:val="1"/>
                <w:bCs w:val="1"/>
                <w:color w:val="auto"/>
              </w:rPr>
              <w:t>Reclassification</w:t>
            </w:r>
          </w:p>
        </w:tc>
      </w:tr>
      <w:tr>
        <w:trPr>
          <w:trHeight w:val="29"/>
        </w:trPr>
        <w:tc>
          <w:tcPr>
            <w:tcW w:w="5520" w:type="dxa"/>
            <w:vAlign w:val="bottom"/>
          </w:tcPr>
          <w:p>
            <w:pPr>
              <w:spacing w:after="0"/>
              <w:rPr>
                <w:sz w:val="2"/>
                <w:szCs w:val="2"/>
                <w:color w:val="auto"/>
              </w:rPr>
            </w:pPr>
          </w:p>
        </w:tc>
        <w:tc>
          <w:tcPr>
            <w:tcW w:w="6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620" w:type="dxa"/>
            <w:vAlign w:val="bottom"/>
            <w:gridSpan w:val="2"/>
          </w:tcPr>
          <w:p>
            <w:pPr>
              <w:spacing w:after="0"/>
              <w:rPr>
                <w:sz w:val="2"/>
                <w:szCs w:val="2"/>
                <w:color w:val="auto"/>
              </w:rPr>
            </w:pPr>
          </w:p>
        </w:tc>
        <w:tc>
          <w:tcPr>
            <w:tcW w:w="1360" w:type="dxa"/>
            <w:vAlign w:val="bottom"/>
          </w:tcPr>
          <w:p>
            <w:pPr>
              <w:spacing w:after="0"/>
              <w:rPr>
                <w:sz w:val="2"/>
                <w:szCs w:val="2"/>
                <w:color w:val="auto"/>
              </w:rPr>
            </w:pPr>
          </w:p>
        </w:tc>
      </w:tr>
      <w:tr>
        <w:trPr>
          <w:trHeight w:val="221"/>
        </w:trPr>
        <w:tc>
          <w:tcPr>
            <w:tcW w:w="55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Accounts receivable, net</w:t>
            </w:r>
          </w:p>
        </w:tc>
        <w:tc>
          <w:tcPr>
            <w:tcW w:w="640" w:type="dxa"/>
            <w:vAlign w:val="bottom"/>
            <w:tcBorders>
              <w:top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rPr>
              <w:t>$</w:t>
            </w:r>
          </w:p>
        </w:tc>
        <w:tc>
          <w:tcPr>
            <w:tcW w:w="1320" w:type="dxa"/>
            <w:vAlign w:val="bottom"/>
            <w:tcBorders>
              <w:top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rPr>
              <w:t>226,373</w:t>
            </w:r>
          </w:p>
        </w:tc>
        <w:tc>
          <w:tcPr>
            <w:tcW w:w="100" w:type="dxa"/>
            <w:vAlign w:val="bottom"/>
          </w:tcPr>
          <w:p>
            <w:pPr>
              <w:spacing w:after="0"/>
              <w:rPr>
                <w:sz w:val="19"/>
                <w:szCs w:val="19"/>
                <w:color w:val="auto"/>
              </w:rPr>
            </w:pPr>
          </w:p>
        </w:tc>
        <w:tc>
          <w:tcPr>
            <w:tcW w:w="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3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(226,373)</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(i)</w:t>
            </w:r>
          </w:p>
        </w:tc>
        <w:tc>
          <w:tcPr>
            <w:tcW w:w="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360" w:type="dxa"/>
            <w:vAlign w:val="bottom"/>
            <w:tcBorders>
              <w:top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rPr>
              <w:t>—</w:t>
            </w:r>
          </w:p>
        </w:tc>
      </w:tr>
      <w:tr>
        <w:trPr>
          <w:trHeight w:val="29"/>
        </w:trPr>
        <w:tc>
          <w:tcPr>
            <w:tcW w:w="5520" w:type="dxa"/>
            <w:vAlign w:val="bottom"/>
          </w:tcPr>
          <w:p>
            <w:pPr>
              <w:spacing w:after="0"/>
              <w:rPr>
                <w:sz w:val="2"/>
                <w:szCs w:val="2"/>
                <w:color w:val="auto"/>
              </w:rPr>
            </w:pPr>
          </w:p>
        </w:tc>
        <w:tc>
          <w:tcPr>
            <w:tcW w:w="6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55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Trade accounts receivable - net</w:t>
            </w:r>
          </w:p>
        </w:tc>
        <w:tc>
          <w:tcPr>
            <w:tcW w:w="64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213,208</w:t>
            </w:r>
          </w:p>
        </w:tc>
        <w:tc>
          <w:tcPr>
            <w:tcW w:w="620" w:type="dxa"/>
            <w:vAlign w:val="bottom"/>
            <w:tcBorders>
              <w:bottom w:val="single" w:sz="8" w:color="CCEEFF"/>
            </w:tcBorders>
            <w:gridSpan w:val="2"/>
            <w:shd w:val="clear" w:color="auto" w:fill="CCEEFF"/>
          </w:tcPr>
          <w:p>
            <w:pPr>
              <w:jc w:val="right"/>
              <w:ind w:right="135"/>
              <w:spacing w:after="0"/>
              <w:rPr>
                <w:sz w:val="20"/>
                <w:szCs w:val="20"/>
                <w:color w:val="auto"/>
              </w:rPr>
            </w:pPr>
            <w:r>
              <w:rPr>
                <w:rFonts w:ascii="Times New Roman" w:cs="Times New Roman" w:eastAsia="Times New Roman" w:hAnsi="Times New Roman"/>
                <w:sz w:val="17"/>
                <w:szCs w:val="17"/>
                <w:color w:val="auto"/>
              </w:rPr>
              <w:t>(i,l)</w:t>
            </w:r>
          </w:p>
        </w:tc>
        <w:tc>
          <w:tcPr>
            <w:tcW w:w="136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213,208</w:t>
            </w:r>
          </w:p>
        </w:tc>
      </w:tr>
      <w:tr>
        <w:trPr>
          <w:trHeight w:val="241"/>
        </w:trPr>
        <w:tc>
          <w:tcPr>
            <w:tcW w:w="55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Inventory, net</w:t>
            </w:r>
          </w:p>
        </w:tc>
        <w:tc>
          <w:tcPr>
            <w:tcW w:w="640" w:type="dxa"/>
            <w:vAlign w:val="bottom"/>
          </w:tcPr>
          <w:p>
            <w:pPr>
              <w:spacing w:after="0"/>
              <w:rPr>
                <w:sz w:val="20"/>
                <w:szCs w:val="20"/>
                <w:color w:val="auto"/>
              </w:rPr>
            </w:pPr>
          </w:p>
        </w:tc>
        <w:tc>
          <w:tcPr>
            <w:tcW w:w="132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158,591</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(158,591)</w:t>
            </w:r>
          </w:p>
        </w:tc>
        <w:tc>
          <w:tcPr>
            <w:tcW w:w="620" w:type="dxa"/>
            <w:vAlign w:val="bottom"/>
            <w:gridSpan w:val="2"/>
          </w:tcPr>
          <w:p>
            <w:pPr>
              <w:jc w:val="right"/>
              <w:ind w:right="135"/>
              <w:spacing w:after="0"/>
              <w:rPr>
                <w:sz w:val="20"/>
                <w:szCs w:val="20"/>
                <w:color w:val="auto"/>
              </w:rPr>
            </w:pPr>
            <w:r>
              <w:rPr>
                <w:rFonts w:ascii="Times New Roman" w:cs="Times New Roman" w:eastAsia="Times New Roman" w:hAnsi="Times New Roman"/>
                <w:sz w:val="17"/>
                <w:szCs w:val="17"/>
                <w:color w:val="auto"/>
              </w:rPr>
              <w:t>(j)</w:t>
            </w:r>
          </w:p>
        </w:tc>
        <w:tc>
          <w:tcPr>
            <w:tcW w:w="136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w:t>
            </w:r>
          </w:p>
        </w:tc>
      </w:tr>
      <w:tr>
        <w:trPr>
          <w:trHeight w:val="29"/>
        </w:trPr>
        <w:tc>
          <w:tcPr>
            <w:tcW w:w="5520" w:type="dxa"/>
            <w:vAlign w:val="bottom"/>
          </w:tcPr>
          <w:p>
            <w:pPr>
              <w:spacing w:after="0"/>
              <w:rPr>
                <w:sz w:val="2"/>
                <w:szCs w:val="2"/>
                <w:color w:val="auto"/>
              </w:rPr>
            </w:pPr>
          </w:p>
        </w:tc>
        <w:tc>
          <w:tcPr>
            <w:tcW w:w="6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55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Inventories</w:t>
            </w:r>
          </w:p>
        </w:tc>
        <w:tc>
          <w:tcPr>
            <w:tcW w:w="64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158,591</w:t>
            </w:r>
          </w:p>
        </w:tc>
        <w:tc>
          <w:tcPr>
            <w:tcW w:w="620" w:type="dxa"/>
            <w:vAlign w:val="bottom"/>
            <w:tcBorders>
              <w:bottom w:val="single" w:sz="8" w:color="CCEEFF"/>
            </w:tcBorders>
            <w:gridSpan w:val="2"/>
            <w:shd w:val="clear" w:color="auto" w:fill="CCEEFF"/>
          </w:tcPr>
          <w:p>
            <w:pPr>
              <w:jc w:val="right"/>
              <w:ind w:right="135"/>
              <w:spacing w:after="0"/>
              <w:rPr>
                <w:sz w:val="20"/>
                <w:szCs w:val="20"/>
                <w:color w:val="auto"/>
              </w:rPr>
            </w:pPr>
            <w:r>
              <w:rPr>
                <w:rFonts w:ascii="Times New Roman" w:cs="Times New Roman" w:eastAsia="Times New Roman" w:hAnsi="Times New Roman"/>
                <w:sz w:val="17"/>
                <w:szCs w:val="17"/>
                <w:color w:val="auto"/>
              </w:rPr>
              <w:t>(j)</w:t>
            </w:r>
          </w:p>
        </w:tc>
        <w:tc>
          <w:tcPr>
            <w:tcW w:w="136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158,591</w:t>
            </w:r>
          </w:p>
        </w:tc>
      </w:tr>
      <w:tr>
        <w:trPr>
          <w:trHeight w:val="241"/>
        </w:trPr>
        <w:tc>
          <w:tcPr>
            <w:tcW w:w="55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Other non-current assets</w:t>
            </w:r>
          </w:p>
        </w:tc>
        <w:tc>
          <w:tcPr>
            <w:tcW w:w="640" w:type="dxa"/>
            <w:vAlign w:val="bottom"/>
          </w:tcPr>
          <w:p>
            <w:pPr>
              <w:spacing w:after="0"/>
              <w:rPr>
                <w:sz w:val="20"/>
                <w:szCs w:val="20"/>
                <w:color w:val="auto"/>
              </w:rPr>
            </w:pPr>
          </w:p>
        </w:tc>
        <w:tc>
          <w:tcPr>
            <w:tcW w:w="132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63,626</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(63,626)</w:t>
            </w:r>
          </w:p>
        </w:tc>
        <w:tc>
          <w:tcPr>
            <w:tcW w:w="620" w:type="dxa"/>
            <w:vAlign w:val="bottom"/>
            <w:gridSpan w:val="2"/>
          </w:tcPr>
          <w:p>
            <w:pPr>
              <w:jc w:val="right"/>
              <w:ind w:right="135"/>
              <w:spacing w:after="0"/>
              <w:rPr>
                <w:sz w:val="20"/>
                <w:szCs w:val="20"/>
                <w:color w:val="auto"/>
              </w:rPr>
            </w:pPr>
            <w:r>
              <w:rPr>
                <w:rFonts w:ascii="Times New Roman" w:cs="Times New Roman" w:eastAsia="Times New Roman" w:hAnsi="Times New Roman"/>
                <w:sz w:val="17"/>
                <w:szCs w:val="17"/>
                <w:color w:val="auto"/>
              </w:rPr>
              <w:t>(k)</w:t>
            </w:r>
          </w:p>
        </w:tc>
        <w:tc>
          <w:tcPr>
            <w:tcW w:w="136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w:t>
            </w:r>
          </w:p>
        </w:tc>
      </w:tr>
      <w:tr>
        <w:trPr>
          <w:trHeight w:val="29"/>
        </w:trPr>
        <w:tc>
          <w:tcPr>
            <w:tcW w:w="5520" w:type="dxa"/>
            <w:vAlign w:val="bottom"/>
          </w:tcPr>
          <w:p>
            <w:pPr>
              <w:spacing w:after="0"/>
              <w:rPr>
                <w:sz w:val="2"/>
                <w:szCs w:val="2"/>
                <w:color w:val="auto"/>
              </w:rPr>
            </w:pPr>
          </w:p>
        </w:tc>
        <w:tc>
          <w:tcPr>
            <w:tcW w:w="6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55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Other assets</w:t>
            </w:r>
          </w:p>
        </w:tc>
        <w:tc>
          <w:tcPr>
            <w:tcW w:w="64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63,626</w:t>
            </w:r>
          </w:p>
        </w:tc>
        <w:tc>
          <w:tcPr>
            <w:tcW w:w="620" w:type="dxa"/>
            <w:vAlign w:val="bottom"/>
            <w:tcBorders>
              <w:bottom w:val="single" w:sz="8" w:color="CCEEFF"/>
            </w:tcBorders>
            <w:gridSpan w:val="2"/>
            <w:shd w:val="clear" w:color="auto" w:fill="CCEEFF"/>
          </w:tcPr>
          <w:p>
            <w:pPr>
              <w:jc w:val="right"/>
              <w:ind w:right="135"/>
              <w:spacing w:after="0"/>
              <w:rPr>
                <w:sz w:val="20"/>
                <w:szCs w:val="20"/>
                <w:color w:val="auto"/>
              </w:rPr>
            </w:pPr>
            <w:r>
              <w:rPr>
                <w:rFonts w:ascii="Times New Roman" w:cs="Times New Roman" w:eastAsia="Times New Roman" w:hAnsi="Times New Roman"/>
                <w:sz w:val="17"/>
                <w:szCs w:val="17"/>
                <w:color w:val="auto"/>
              </w:rPr>
              <w:t>(k)</w:t>
            </w:r>
          </w:p>
        </w:tc>
        <w:tc>
          <w:tcPr>
            <w:tcW w:w="136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63,626</w:t>
            </w:r>
          </w:p>
        </w:tc>
      </w:tr>
      <w:tr>
        <w:trPr>
          <w:trHeight w:val="241"/>
        </w:trPr>
        <w:tc>
          <w:tcPr>
            <w:tcW w:w="55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Accrued expenses and other current liabilities</w:t>
            </w:r>
          </w:p>
        </w:tc>
        <w:tc>
          <w:tcPr>
            <w:tcW w:w="640" w:type="dxa"/>
            <w:vAlign w:val="bottom"/>
          </w:tcPr>
          <w:p>
            <w:pPr>
              <w:spacing w:after="0"/>
              <w:rPr>
                <w:sz w:val="20"/>
                <w:szCs w:val="20"/>
                <w:color w:val="auto"/>
              </w:rPr>
            </w:pPr>
          </w:p>
        </w:tc>
        <w:tc>
          <w:tcPr>
            <w:tcW w:w="132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268,676</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(13,165)</w:t>
            </w:r>
          </w:p>
        </w:tc>
        <w:tc>
          <w:tcPr>
            <w:tcW w:w="620" w:type="dxa"/>
            <w:vAlign w:val="bottom"/>
            <w:gridSpan w:val="2"/>
          </w:tcPr>
          <w:p>
            <w:pPr>
              <w:jc w:val="right"/>
              <w:ind w:right="135"/>
              <w:spacing w:after="0"/>
              <w:rPr>
                <w:sz w:val="20"/>
                <w:szCs w:val="20"/>
                <w:color w:val="auto"/>
              </w:rPr>
            </w:pPr>
            <w:r>
              <w:rPr>
                <w:rFonts w:ascii="Times New Roman" w:cs="Times New Roman" w:eastAsia="Times New Roman" w:hAnsi="Times New Roman"/>
                <w:sz w:val="17"/>
                <w:szCs w:val="17"/>
                <w:color w:val="auto"/>
              </w:rPr>
              <w:t>(l)</w:t>
            </w:r>
          </w:p>
        </w:tc>
        <w:tc>
          <w:tcPr>
            <w:tcW w:w="136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255,511</w:t>
            </w:r>
          </w:p>
        </w:tc>
      </w:tr>
      <w:tr>
        <w:trPr>
          <w:trHeight w:val="29"/>
        </w:trPr>
        <w:tc>
          <w:tcPr>
            <w:tcW w:w="5520" w:type="dxa"/>
            <w:vAlign w:val="bottom"/>
          </w:tcPr>
          <w:p>
            <w:pPr>
              <w:spacing w:after="0"/>
              <w:rPr>
                <w:sz w:val="2"/>
                <w:szCs w:val="2"/>
                <w:color w:val="auto"/>
              </w:rPr>
            </w:pPr>
          </w:p>
        </w:tc>
        <w:tc>
          <w:tcPr>
            <w:tcW w:w="6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55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Current portion of long-term debt, net</w:t>
            </w:r>
          </w:p>
        </w:tc>
        <w:tc>
          <w:tcPr>
            <w:tcW w:w="6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17,859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(17,859)</w:t>
            </w:r>
          </w:p>
        </w:tc>
        <w:tc>
          <w:tcPr>
            <w:tcW w:w="620" w:type="dxa"/>
            <w:vAlign w:val="bottom"/>
            <w:tcBorders>
              <w:bottom w:val="single" w:sz="8" w:color="CCEEFF"/>
            </w:tcBorders>
            <w:gridSpan w:val="2"/>
            <w:shd w:val="clear" w:color="auto" w:fill="CCEEFF"/>
          </w:tcPr>
          <w:p>
            <w:pPr>
              <w:jc w:val="right"/>
              <w:ind w:right="135"/>
              <w:spacing w:after="0"/>
              <w:rPr>
                <w:sz w:val="20"/>
                <w:szCs w:val="20"/>
                <w:color w:val="auto"/>
              </w:rPr>
            </w:pPr>
            <w:r>
              <w:rPr>
                <w:rFonts w:ascii="Times New Roman" w:cs="Times New Roman" w:eastAsia="Times New Roman" w:hAnsi="Times New Roman"/>
                <w:sz w:val="17"/>
                <w:szCs w:val="17"/>
                <w:color w:val="auto"/>
              </w:rPr>
              <w:t>(m)</w:t>
            </w:r>
          </w:p>
        </w:tc>
        <w:tc>
          <w:tcPr>
            <w:tcW w:w="136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w:t>
            </w:r>
          </w:p>
        </w:tc>
      </w:tr>
      <w:tr>
        <w:trPr>
          <w:trHeight w:val="241"/>
        </w:trPr>
        <w:tc>
          <w:tcPr>
            <w:tcW w:w="55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Current portion of long-term debt and capital lease obligations - net</w:t>
            </w:r>
          </w:p>
        </w:tc>
        <w:tc>
          <w:tcPr>
            <w:tcW w:w="640" w:type="dxa"/>
            <w:vAlign w:val="bottom"/>
          </w:tcPr>
          <w:p>
            <w:pPr>
              <w:spacing w:after="0"/>
              <w:rPr>
                <w:sz w:val="20"/>
                <w:szCs w:val="20"/>
                <w:color w:val="auto"/>
              </w:rPr>
            </w:pPr>
          </w:p>
        </w:tc>
        <w:tc>
          <w:tcPr>
            <w:tcW w:w="142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180" w:type="dxa"/>
            <w:vAlign w:val="bottom"/>
          </w:tcPr>
          <w:p>
            <w:pPr>
              <w:spacing w:after="0"/>
              <w:rPr>
                <w:sz w:val="20"/>
                <w:szCs w:val="20"/>
                <w:color w:val="auto"/>
              </w:rPr>
            </w:pPr>
          </w:p>
        </w:tc>
        <w:tc>
          <w:tcPr>
            <w:tcW w:w="13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17,859</w:t>
            </w:r>
          </w:p>
        </w:tc>
        <w:tc>
          <w:tcPr>
            <w:tcW w:w="620" w:type="dxa"/>
            <w:vAlign w:val="bottom"/>
            <w:gridSpan w:val="2"/>
          </w:tcPr>
          <w:p>
            <w:pPr>
              <w:jc w:val="right"/>
              <w:ind w:right="135"/>
              <w:spacing w:after="0"/>
              <w:rPr>
                <w:sz w:val="20"/>
                <w:szCs w:val="20"/>
                <w:color w:val="auto"/>
              </w:rPr>
            </w:pPr>
            <w:r>
              <w:rPr>
                <w:rFonts w:ascii="Times New Roman" w:cs="Times New Roman" w:eastAsia="Times New Roman" w:hAnsi="Times New Roman"/>
                <w:sz w:val="17"/>
                <w:szCs w:val="17"/>
                <w:color w:val="auto"/>
              </w:rPr>
              <w:t>(m)</w:t>
            </w:r>
          </w:p>
        </w:tc>
        <w:tc>
          <w:tcPr>
            <w:tcW w:w="136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17,859</w:t>
            </w:r>
          </w:p>
        </w:tc>
      </w:tr>
      <w:tr>
        <w:trPr>
          <w:trHeight w:val="29"/>
        </w:trPr>
        <w:tc>
          <w:tcPr>
            <w:tcW w:w="5520" w:type="dxa"/>
            <w:vAlign w:val="bottom"/>
          </w:tcPr>
          <w:p>
            <w:pPr>
              <w:spacing w:after="0"/>
              <w:rPr>
                <w:sz w:val="2"/>
                <w:szCs w:val="2"/>
                <w:color w:val="auto"/>
              </w:rPr>
            </w:pPr>
          </w:p>
        </w:tc>
        <w:tc>
          <w:tcPr>
            <w:tcW w:w="6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55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Long-term debt, net</w:t>
            </w:r>
          </w:p>
        </w:tc>
        <w:tc>
          <w:tcPr>
            <w:tcW w:w="6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771,216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(771,216)</w:t>
            </w:r>
          </w:p>
        </w:tc>
        <w:tc>
          <w:tcPr>
            <w:tcW w:w="620" w:type="dxa"/>
            <w:vAlign w:val="bottom"/>
            <w:tcBorders>
              <w:bottom w:val="single" w:sz="8" w:color="CCEEFF"/>
            </w:tcBorders>
            <w:gridSpan w:val="2"/>
            <w:shd w:val="clear" w:color="auto" w:fill="CCEEFF"/>
          </w:tcPr>
          <w:p>
            <w:pPr>
              <w:jc w:val="right"/>
              <w:ind w:right="135"/>
              <w:spacing w:after="0"/>
              <w:rPr>
                <w:sz w:val="20"/>
                <w:szCs w:val="20"/>
                <w:color w:val="auto"/>
              </w:rPr>
            </w:pPr>
            <w:r>
              <w:rPr>
                <w:rFonts w:ascii="Times New Roman" w:cs="Times New Roman" w:eastAsia="Times New Roman" w:hAnsi="Times New Roman"/>
                <w:sz w:val="17"/>
                <w:szCs w:val="17"/>
                <w:color w:val="auto"/>
              </w:rPr>
              <w:t>(n)</w:t>
            </w:r>
          </w:p>
        </w:tc>
        <w:tc>
          <w:tcPr>
            <w:tcW w:w="136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w:t>
            </w:r>
          </w:p>
        </w:tc>
      </w:tr>
      <w:tr>
        <w:trPr>
          <w:trHeight w:val="241"/>
        </w:trPr>
        <w:tc>
          <w:tcPr>
            <w:tcW w:w="55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Long-term debt and capital lease obligations - net</w:t>
            </w:r>
          </w:p>
        </w:tc>
        <w:tc>
          <w:tcPr>
            <w:tcW w:w="640" w:type="dxa"/>
            <w:vAlign w:val="bottom"/>
          </w:tcPr>
          <w:p>
            <w:pPr>
              <w:spacing w:after="0"/>
              <w:rPr>
                <w:sz w:val="20"/>
                <w:szCs w:val="20"/>
                <w:color w:val="auto"/>
              </w:rPr>
            </w:pPr>
          </w:p>
        </w:tc>
        <w:tc>
          <w:tcPr>
            <w:tcW w:w="142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180" w:type="dxa"/>
            <w:vAlign w:val="bottom"/>
          </w:tcPr>
          <w:p>
            <w:pPr>
              <w:spacing w:after="0"/>
              <w:rPr>
                <w:sz w:val="20"/>
                <w:szCs w:val="20"/>
                <w:color w:val="auto"/>
              </w:rPr>
            </w:pPr>
          </w:p>
        </w:tc>
        <w:tc>
          <w:tcPr>
            <w:tcW w:w="13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771,216</w:t>
            </w:r>
          </w:p>
        </w:tc>
        <w:tc>
          <w:tcPr>
            <w:tcW w:w="620" w:type="dxa"/>
            <w:vAlign w:val="bottom"/>
            <w:gridSpan w:val="2"/>
          </w:tcPr>
          <w:p>
            <w:pPr>
              <w:jc w:val="right"/>
              <w:ind w:right="135"/>
              <w:spacing w:after="0"/>
              <w:rPr>
                <w:sz w:val="20"/>
                <w:szCs w:val="20"/>
                <w:color w:val="auto"/>
              </w:rPr>
            </w:pPr>
            <w:r>
              <w:rPr>
                <w:rFonts w:ascii="Times New Roman" w:cs="Times New Roman" w:eastAsia="Times New Roman" w:hAnsi="Times New Roman"/>
                <w:sz w:val="17"/>
                <w:szCs w:val="17"/>
                <w:color w:val="auto"/>
              </w:rPr>
              <w:t>(n)</w:t>
            </w:r>
          </w:p>
        </w:tc>
        <w:tc>
          <w:tcPr>
            <w:tcW w:w="136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771,216</w:t>
            </w:r>
          </w:p>
        </w:tc>
      </w:tr>
      <w:tr>
        <w:trPr>
          <w:trHeight w:val="29"/>
        </w:trPr>
        <w:tc>
          <w:tcPr>
            <w:tcW w:w="5520" w:type="dxa"/>
            <w:vAlign w:val="bottom"/>
          </w:tcPr>
          <w:p>
            <w:pPr>
              <w:spacing w:after="0"/>
              <w:rPr>
                <w:sz w:val="2"/>
                <w:szCs w:val="2"/>
                <w:color w:val="auto"/>
              </w:rPr>
            </w:pPr>
          </w:p>
        </w:tc>
        <w:tc>
          <w:tcPr>
            <w:tcW w:w="6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55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Other non-current liabilities</w:t>
            </w:r>
          </w:p>
        </w:tc>
        <w:tc>
          <w:tcPr>
            <w:tcW w:w="6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37,623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(37,623)</w:t>
            </w:r>
          </w:p>
        </w:tc>
        <w:tc>
          <w:tcPr>
            <w:tcW w:w="620" w:type="dxa"/>
            <w:vAlign w:val="bottom"/>
            <w:tcBorders>
              <w:bottom w:val="single" w:sz="8" w:color="CCEEFF"/>
            </w:tcBorders>
            <w:gridSpan w:val="2"/>
            <w:shd w:val="clear" w:color="auto" w:fill="CCEEFF"/>
          </w:tcPr>
          <w:p>
            <w:pPr>
              <w:jc w:val="right"/>
              <w:ind w:right="135"/>
              <w:spacing w:after="0"/>
              <w:rPr>
                <w:sz w:val="20"/>
                <w:szCs w:val="20"/>
                <w:color w:val="auto"/>
              </w:rPr>
            </w:pPr>
            <w:r>
              <w:rPr>
                <w:rFonts w:ascii="Times New Roman" w:cs="Times New Roman" w:eastAsia="Times New Roman" w:hAnsi="Times New Roman"/>
                <w:sz w:val="17"/>
                <w:szCs w:val="17"/>
                <w:color w:val="auto"/>
              </w:rPr>
              <w:t>(o)</w:t>
            </w:r>
          </w:p>
        </w:tc>
        <w:tc>
          <w:tcPr>
            <w:tcW w:w="136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w:t>
            </w:r>
          </w:p>
        </w:tc>
      </w:tr>
      <w:tr>
        <w:trPr>
          <w:trHeight w:val="241"/>
        </w:trPr>
        <w:tc>
          <w:tcPr>
            <w:tcW w:w="55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Other long-term liabilities</w:t>
            </w:r>
          </w:p>
        </w:tc>
        <w:tc>
          <w:tcPr>
            <w:tcW w:w="640" w:type="dxa"/>
            <w:vAlign w:val="bottom"/>
          </w:tcPr>
          <w:p>
            <w:pPr>
              <w:spacing w:after="0"/>
              <w:rPr>
                <w:sz w:val="20"/>
                <w:szCs w:val="20"/>
                <w:color w:val="auto"/>
              </w:rPr>
            </w:pPr>
          </w:p>
        </w:tc>
        <w:tc>
          <w:tcPr>
            <w:tcW w:w="142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180" w:type="dxa"/>
            <w:vAlign w:val="bottom"/>
          </w:tcPr>
          <w:p>
            <w:pPr>
              <w:spacing w:after="0"/>
              <w:rPr>
                <w:sz w:val="20"/>
                <w:szCs w:val="20"/>
                <w:color w:val="auto"/>
              </w:rPr>
            </w:pPr>
          </w:p>
        </w:tc>
        <w:tc>
          <w:tcPr>
            <w:tcW w:w="13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37,623</w:t>
            </w:r>
          </w:p>
        </w:tc>
        <w:tc>
          <w:tcPr>
            <w:tcW w:w="620" w:type="dxa"/>
            <w:vAlign w:val="bottom"/>
            <w:gridSpan w:val="2"/>
          </w:tcPr>
          <w:p>
            <w:pPr>
              <w:jc w:val="right"/>
              <w:ind w:right="135"/>
              <w:spacing w:after="0"/>
              <w:rPr>
                <w:sz w:val="20"/>
                <w:szCs w:val="20"/>
                <w:color w:val="auto"/>
              </w:rPr>
            </w:pPr>
            <w:r>
              <w:rPr>
                <w:rFonts w:ascii="Times New Roman" w:cs="Times New Roman" w:eastAsia="Times New Roman" w:hAnsi="Times New Roman"/>
                <w:sz w:val="17"/>
                <w:szCs w:val="17"/>
                <w:color w:val="auto"/>
              </w:rPr>
              <w:t>(o)</w:t>
            </w:r>
          </w:p>
        </w:tc>
        <w:tc>
          <w:tcPr>
            <w:tcW w:w="136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37,623</w:t>
            </w:r>
          </w:p>
        </w:tc>
      </w:tr>
    </w:tbl>
    <w:p>
      <w:pPr>
        <w:spacing w:after="0" w:line="227" w:lineRule="exact"/>
        <w:rPr>
          <w:sz w:val="20"/>
          <w:szCs w:val="20"/>
          <w:color w:val="auto"/>
        </w:rPr>
      </w:pPr>
    </w:p>
    <w:p>
      <w:pPr>
        <w:ind w:left="340" w:right="20" w:hanging="332"/>
        <w:spacing w:after="0" w:line="282" w:lineRule="auto"/>
        <w:tabs>
          <w:tab w:leader="none" w:pos="34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reclassification of accounts receivable, net on Impax’s balance sheet into trade accounts receivable – net to conform to Amneal’s balance sheet presentation.</w:t>
      </w:r>
    </w:p>
    <w:p>
      <w:pPr>
        <w:spacing w:after="0" w:line="161"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reclassification of inventory, net on Impax’s balance sheet into inventories to conform to Amneal’s balance sheet presentation.</w:t>
      </w:r>
    </w:p>
    <w:p>
      <w:pPr>
        <w:spacing w:after="0" w:line="22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reclassification of other non-current assets on Impax’s balance sheet into other assets to conform to Amneal’s balance sheet presentation.</w:t>
      </w:r>
    </w:p>
    <w:p>
      <w:pPr>
        <w:spacing w:after="0" w:line="225"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reclassification of the $13.2 million shelf-stock adjustments reported in accrued and other current liabilities on Impax’s balance sheet into trade accounts receivable – net to conform to Amneal’s balance sheet presentation.</w:t>
      </w:r>
    </w:p>
    <w:p>
      <w:pPr>
        <w:spacing w:after="0" w:line="161"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reclassification of current portion of long-term debt, net on Impax’s balance sheet into current portion of long-term debt and capital lease obligations, net to conform to Amneal’s balance sheet presentation.</w:t>
      </w:r>
    </w:p>
    <w:p>
      <w:pPr>
        <w:spacing w:after="0" w:line="161"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reclassification of long-term debt, net on Impax’s balance sheet into long-term debt and capital lease obligations, net to conform to Amneal’s balance sheet presentation.</w:t>
      </w:r>
    </w:p>
    <w:p>
      <w:pPr>
        <w:spacing w:after="0" w:line="161"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reclassification of other non-current liabilities on Impax’s balance sheet into other long-term liabilities to conform to Amneal’s balance sheet presentation.</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Amneal reclassifications in the unaudited pro forma combined balance sheet as of March 31, 2018</w:t>
      </w:r>
    </w:p>
    <w:p>
      <w:pPr>
        <w:spacing w:after="0" w:line="380" w:lineRule="exact"/>
        <w:rPr>
          <w:sz w:val="20"/>
          <w:szCs w:val="20"/>
          <w:color w:val="auto"/>
        </w:rPr>
      </w:pPr>
    </w:p>
    <w:tbl>
      <w:tblPr>
        <w:tblLayout w:type="fixed"/>
        <w:tblInd w:w="0" w:type="dxa"/>
        <w:tblCellMar>
          <w:top w:w="0" w:type="dxa"/>
          <w:left w:w="0" w:type="dxa"/>
          <w:bottom w:w="0" w:type="dxa"/>
          <w:right w:w="0" w:type="dxa"/>
        </w:tblCellMar>
      </w:tblPr>
      <w:tr>
        <w:trPr>
          <w:trHeight w:val="240"/>
        </w:trPr>
        <w:tc>
          <w:tcPr>
            <w:tcW w:w="55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560" w:type="dxa"/>
            <w:vAlign w:val="bottom"/>
            <w:gridSpan w:val="2"/>
          </w:tcPr>
          <w:p>
            <w:pPr>
              <w:jc w:val="right"/>
              <w:ind w:right="320"/>
              <w:spacing w:after="0"/>
              <w:rPr>
                <w:sz w:val="20"/>
                <w:szCs w:val="20"/>
                <w:color w:val="auto"/>
              </w:rPr>
            </w:pPr>
            <w:r>
              <w:rPr>
                <w:rFonts w:ascii="Times New Roman" w:cs="Times New Roman" w:eastAsia="Times New Roman" w:hAnsi="Times New Roman"/>
                <w:sz w:val="17"/>
                <w:szCs w:val="17"/>
                <w:b w:val="1"/>
                <w:bCs w:val="1"/>
                <w:color w:val="auto"/>
              </w:rPr>
              <w:t>Before</w:t>
            </w:r>
          </w:p>
        </w:tc>
        <w:tc>
          <w:tcPr>
            <w:tcW w:w="2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60" w:type="dxa"/>
            <w:vAlign w:val="bottom"/>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rPr>
              <w:t>After</w:t>
            </w:r>
          </w:p>
        </w:tc>
        <w:tc>
          <w:tcPr>
            <w:tcW w:w="0" w:type="dxa"/>
            <w:vAlign w:val="bottom"/>
          </w:tcPr>
          <w:p>
            <w:pPr>
              <w:spacing w:after="0"/>
              <w:rPr>
                <w:sz w:val="1"/>
                <w:szCs w:val="1"/>
                <w:color w:val="auto"/>
              </w:rPr>
            </w:pPr>
          </w:p>
        </w:tc>
      </w:tr>
      <w:tr>
        <w:trPr>
          <w:trHeight w:val="270"/>
        </w:trPr>
        <w:tc>
          <w:tcPr>
            <w:tcW w:w="5580" w:type="dxa"/>
            <w:vAlign w:val="bottom"/>
          </w:tcPr>
          <w:p>
            <w:pPr>
              <w:ind w:left="40"/>
              <w:spacing w:after="0"/>
              <w:rPr>
                <w:sz w:val="20"/>
                <w:szCs w:val="20"/>
                <w:color w:val="auto"/>
              </w:rPr>
            </w:pPr>
            <w:r>
              <w:rPr>
                <w:rFonts w:ascii="Times New Roman" w:cs="Times New Roman" w:eastAsia="Times New Roman" w:hAnsi="Times New Roman"/>
                <w:sz w:val="17"/>
                <w:szCs w:val="17"/>
                <w:i w:val="1"/>
                <w:iCs w:val="1"/>
                <w:color w:val="auto"/>
              </w:rPr>
              <w:t>(in thousands)</w:t>
            </w:r>
          </w:p>
        </w:tc>
        <w:tc>
          <w:tcPr>
            <w:tcW w:w="240" w:type="dxa"/>
            <w:vAlign w:val="bottom"/>
          </w:tcPr>
          <w:p>
            <w:pPr>
              <w:spacing w:after="0"/>
              <w:rPr>
                <w:sz w:val="23"/>
                <w:szCs w:val="23"/>
                <w:color w:val="auto"/>
              </w:rPr>
            </w:pPr>
          </w:p>
        </w:tc>
        <w:tc>
          <w:tcPr>
            <w:tcW w:w="1560" w:type="dxa"/>
            <w:vAlign w:val="bottom"/>
            <w:gridSpan w:val="2"/>
          </w:tcPr>
          <w:p>
            <w:pPr>
              <w:jc w:val="right"/>
              <w:ind w:right="320"/>
              <w:spacing w:after="0"/>
              <w:rPr>
                <w:sz w:val="20"/>
                <w:szCs w:val="20"/>
                <w:color w:val="auto"/>
              </w:rPr>
            </w:pPr>
            <w:r>
              <w:rPr>
                <w:rFonts w:ascii="Times New Roman" w:cs="Times New Roman" w:eastAsia="Times New Roman" w:hAnsi="Times New Roman"/>
                <w:sz w:val="17"/>
                <w:szCs w:val="17"/>
                <w:b w:val="1"/>
                <w:bCs w:val="1"/>
                <w:color w:val="auto"/>
              </w:rPr>
              <w:t>Reclassification</w:t>
            </w:r>
          </w:p>
        </w:tc>
        <w:tc>
          <w:tcPr>
            <w:tcW w:w="220" w:type="dxa"/>
            <w:vAlign w:val="bottom"/>
          </w:tcPr>
          <w:p>
            <w:pPr>
              <w:spacing w:after="0"/>
              <w:rPr>
                <w:sz w:val="23"/>
                <w:szCs w:val="23"/>
                <w:color w:val="auto"/>
              </w:rPr>
            </w:pPr>
          </w:p>
        </w:tc>
        <w:tc>
          <w:tcPr>
            <w:tcW w:w="1340" w:type="dxa"/>
            <w:vAlign w:val="bottom"/>
          </w:tcPr>
          <w:p>
            <w:pPr>
              <w:jc w:val="right"/>
              <w:ind w:right="15"/>
              <w:spacing w:after="0"/>
              <w:rPr>
                <w:sz w:val="20"/>
                <w:szCs w:val="20"/>
                <w:color w:val="auto"/>
              </w:rPr>
            </w:pPr>
            <w:r>
              <w:rPr>
                <w:rFonts w:ascii="Times New Roman" w:cs="Times New Roman" w:eastAsia="Times New Roman" w:hAnsi="Times New Roman"/>
                <w:sz w:val="17"/>
                <w:szCs w:val="17"/>
                <w:b w:val="1"/>
                <w:bCs w:val="1"/>
                <w:color w:val="auto"/>
              </w:rPr>
              <w:t>Reclassification</w:t>
            </w:r>
          </w:p>
        </w:tc>
        <w:tc>
          <w:tcPr>
            <w:tcW w:w="6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360" w:type="dxa"/>
            <w:vAlign w:val="bottom"/>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rPr>
              <w:t>Reclassification</w:t>
            </w:r>
          </w:p>
        </w:tc>
        <w:tc>
          <w:tcPr>
            <w:tcW w:w="0" w:type="dxa"/>
            <w:vAlign w:val="bottom"/>
          </w:tcPr>
          <w:p>
            <w:pPr>
              <w:spacing w:after="0"/>
              <w:rPr>
                <w:sz w:val="1"/>
                <w:szCs w:val="1"/>
                <w:color w:val="auto"/>
              </w:rPr>
            </w:pPr>
          </w:p>
        </w:tc>
      </w:tr>
      <w:tr>
        <w:trPr>
          <w:trHeight w:val="29"/>
        </w:trPr>
        <w:tc>
          <w:tcPr>
            <w:tcW w:w="55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Other assets</w:t>
            </w:r>
          </w:p>
        </w:tc>
        <w:tc>
          <w:tcPr>
            <w:tcW w:w="2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680" w:type="dxa"/>
            <w:vAlign w:val="bottom"/>
            <w:vMerge w:val="restart"/>
          </w:tcPr>
          <w:p>
            <w:pPr>
              <w:ind w:left="260"/>
              <w:spacing w:after="0"/>
              <w:rPr>
                <w:sz w:val="20"/>
                <w:szCs w:val="20"/>
                <w:color w:val="auto"/>
              </w:rPr>
            </w:pPr>
            <w:r>
              <w:rPr>
                <w:rFonts w:ascii="Times New Roman" w:cs="Times New Roman" w:eastAsia="Times New Roman" w:hAnsi="Times New Roman"/>
                <w:sz w:val="17"/>
                <w:szCs w:val="17"/>
                <w:color w:val="auto"/>
              </w:rPr>
              <w:t>(p)</w:t>
            </w:r>
          </w:p>
        </w:tc>
        <w:tc>
          <w:tcPr>
            <w:tcW w:w="2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1"/>
        </w:trPr>
        <w:tc>
          <w:tcPr>
            <w:tcW w:w="5580" w:type="dxa"/>
            <w:vAlign w:val="bottom"/>
            <w:vMerge w:val="continue"/>
          </w:tcPr>
          <w:p>
            <w:pPr>
              <w:spacing w:after="0"/>
              <w:rPr>
                <w:sz w:val="19"/>
                <w:szCs w:val="19"/>
                <w:color w:val="auto"/>
              </w:rPr>
            </w:pPr>
          </w:p>
        </w:tc>
        <w:tc>
          <w:tcPr>
            <w:tcW w:w="24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134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18,873</w:t>
            </w:r>
          </w:p>
        </w:tc>
        <w:tc>
          <w:tcPr>
            <w:tcW w:w="220" w:type="dxa"/>
            <w:vAlign w:val="bottom"/>
          </w:tcPr>
          <w:p>
            <w:pPr>
              <w:spacing w:after="0"/>
              <w:rPr>
                <w:sz w:val="19"/>
                <w:szCs w:val="19"/>
                <w:color w:val="auto"/>
              </w:rPr>
            </w:pPr>
          </w:p>
        </w:tc>
        <w:tc>
          <w:tcPr>
            <w:tcW w:w="2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(946)</w:t>
            </w:r>
          </w:p>
        </w:tc>
        <w:tc>
          <w:tcPr>
            <w:tcW w:w="680" w:type="dxa"/>
            <w:vAlign w:val="bottom"/>
            <w:vMerge w:val="continue"/>
          </w:tcPr>
          <w:p>
            <w:pPr>
              <w:spacing w:after="0"/>
              <w:rPr>
                <w:sz w:val="19"/>
                <w:szCs w:val="19"/>
                <w:color w:val="auto"/>
              </w:rPr>
            </w:pPr>
          </w:p>
        </w:tc>
        <w:tc>
          <w:tcPr>
            <w:tcW w:w="20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w w:val="93"/>
              </w:rPr>
              <w:t>$</w:t>
            </w:r>
          </w:p>
        </w:tc>
        <w:tc>
          <w:tcPr>
            <w:tcW w:w="136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17,927</w:t>
            </w:r>
          </w:p>
        </w:tc>
        <w:tc>
          <w:tcPr>
            <w:tcW w:w="0" w:type="dxa"/>
            <w:vAlign w:val="bottom"/>
          </w:tcPr>
          <w:p>
            <w:pPr>
              <w:spacing w:after="0"/>
              <w:rPr>
                <w:sz w:val="1"/>
                <w:szCs w:val="1"/>
                <w:color w:val="auto"/>
              </w:rPr>
            </w:pPr>
          </w:p>
        </w:tc>
      </w:tr>
      <w:tr>
        <w:trPr>
          <w:trHeight w:val="29"/>
        </w:trPr>
        <w:tc>
          <w:tcPr>
            <w:tcW w:w="55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1"/>
        </w:trPr>
        <w:tc>
          <w:tcPr>
            <w:tcW w:w="55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Deferred income taxes - net</w:t>
            </w:r>
          </w:p>
        </w:tc>
        <w:tc>
          <w:tcPr>
            <w:tcW w:w="240" w:type="dxa"/>
            <w:vAlign w:val="bottom"/>
            <w:shd w:val="clear" w:color="auto" w:fill="CCEEFF"/>
          </w:tcPr>
          <w:p>
            <w:pPr>
              <w:spacing w:after="0"/>
              <w:rPr>
                <w:sz w:val="20"/>
                <w:szCs w:val="20"/>
                <w:color w:val="auto"/>
              </w:rPr>
            </w:pPr>
          </w:p>
        </w:tc>
        <w:tc>
          <w:tcPr>
            <w:tcW w:w="15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7"/>
                <w:szCs w:val="17"/>
                <w:color w:val="auto"/>
              </w:rPr>
              <w:t>—</w:t>
            </w:r>
          </w:p>
        </w:tc>
        <w:tc>
          <w:tcPr>
            <w:tcW w:w="220" w:type="dxa"/>
            <w:vAlign w:val="bottom"/>
            <w:shd w:val="clear" w:color="auto" w:fill="CCEEFF"/>
          </w:tcPr>
          <w:p>
            <w:pPr>
              <w:spacing w:after="0"/>
              <w:rPr>
                <w:sz w:val="20"/>
                <w:szCs w:val="20"/>
                <w:color w:val="auto"/>
              </w:rPr>
            </w:pPr>
          </w:p>
        </w:tc>
        <w:tc>
          <w:tcPr>
            <w:tcW w:w="1340" w:type="dxa"/>
            <w:vAlign w:val="bottom"/>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946</w:t>
            </w:r>
          </w:p>
        </w:tc>
        <w:tc>
          <w:tcPr>
            <w:tcW w:w="68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7"/>
                <w:szCs w:val="17"/>
                <w:color w:val="auto"/>
              </w:rPr>
              <w:t>(p)</w:t>
            </w:r>
          </w:p>
        </w:tc>
        <w:tc>
          <w:tcPr>
            <w:tcW w:w="200" w:type="dxa"/>
            <w:vAlign w:val="bottom"/>
            <w:shd w:val="clear" w:color="auto" w:fill="CCEEFF"/>
          </w:tcPr>
          <w:p>
            <w:pPr>
              <w:spacing w:after="0"/>
              <w:rPr>
                <w:sz w:val="20"/>
                <w:szCs w:val="20"/>
                <w:color w:val="auto"/>
              </w:rPr>
            </w:pPr>
          </w:p>
        </w:tc>
        <w:tc>
          <w:tcPr>
            <w:tcW w:w="136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946</w:t>
            </w:r>
          </w:p>
        </w:tc>
        <w:tc>
          <w:tcPr>
            <w:tcW w:w="0" w:type="dxa"/>
            <w:vAlign w:val="bottom"/>
          </w:tcPr>
          <w:p>
            <w:pPr>
              <w:spacing w:after="0"/>
              <w:rPr>
                <w:sz w:val="1"/>
                <w:szCs w:val="1"/>
                <w:color w:val="auto"/>
              </w:rPr>
            </w:pPr>
          </w:p>
        </w:tc>
      </w:tr>
      <w:tr>
        <w:trPr>
          <w:trHeight w:val="29"/>
        </w:trPr>
        <w:tc>
          <w:tcPr>
            <w:tcW w:w="558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c>
          <w:tcPr>
            <w:tcW w:w="68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36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340" w:hanging="332"/>
        <w:spacing w:after="0" w:line="282" w:lineRule="auto"/>
        <w:tabs>
          <w:tab w:leader="none" w:pos="3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reclassification of deferred income tax assets reported in other assets on Amneal’s balance sheet into deferred income taxes - net to conform to Impax’s balance sheet presentation.</w:t>
      </w:r>
    </w:p>
    <w:p>
      <w:pPr>
        <w:spacing w:after="0" w:line="200" w:lineRule="exact"/>
        <w:rPr>
          <w:sz w:val="20"/>
          <w:szCs w:val="20"/>
          <w:color w:val="auto"/>
        </w:rPr>
      </w:pPr>
    </w:p>
    <w:p>
      <w:pPr>
        <w:spacing w:after="0" w:line="20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11420"/>
          </w:cols>
          <w:pgMar w:left="240" w:top="122" w:right="239" w:bottom="1440" w:gutter="0" w:footer="0" w:header="0"/>
        </w:sectPr>
      </w:pPr>
    </w:p>
    <w:bookmarkStart w:id="42" w:name="page43"/>
    <w:bookmarkEnd w:id="42"/>
    <w:p>
      <w:pPr>
        <w:ind w:left="1060"/>
        <w:spacing w:after="0"/>
        <w:rPr>
          <w:sz w:val="20"/>
          <w:szCs w:val="20"/>
          <w:color w:val="auto"/>
        </w:rPr>
      </w:pPr>
      <w:r>
        <w:rPr>
          <w:rFonts w:ascii="Times New Roman" w:cs="Times New Roman" w:eastAsia="Times New Roman" w:hAnsi="Times New Roman"/>
          <w:sz w:val="22"/>
          <w:szCs w:val="22"/>
          <w:b w:val="1"/>
          <w:bCs w:val="1"/>
          <w:color w:val="auto"/>
        </w:rPr>
        <w:t>NOTES TO UNAUDITED PRO FORMA CONDENSED COMBINED FINANCIAL STATEMENTS</w:t>
      </w:r>
    </w:p>
    <w:p>
      <w:pPr>
        <w:spacing w:after="0" w:line="242" w:lineRule="exact"/>
        <w:rPr>
          <w:sz w:val="20"/>
          <w:szCs w:val="20"/>
          <w:color w:val="auto"/>
        </w:rPr>
      </w:pPr>
    </w:p>
    <w:p>
      <w:pPr>
        <w:spacing w:after="0"/>
        <w:tabs>
          <w:tab w:leader="none" w:pos="300" w:val="left"/>
        </w:tabs>
        <w:rPr>
          <w:sz w:val="20"/>
          <w:szCs w:val="20"/>
          <w:color w:val="auto"/>
        </w:rPr>
      </w:pPr>
      <w:r>
        <w:rPr>
          <w:rFonts w:ascii="Times New Roman" w:cs="Times New Roman" w:eastAsia="Times New Roman" w:hAnsi="Times New Roman"/>
          <w:sz w:val="18"/>
          <w:szCs w:val="18"/>
          <w:b w:val="1"/>
          <w:bCs w:val="1"/>
          <w:color w:val="auto"/>
        </w:rPr>
        <w:t>5.</w:t>
      </w:r>
      <w:r>
        <w:rPr>
          <w:sz w:val="20"/>
          <w:szCs w:val="20"/>
          <w:color w:val="auto"/>
        </w:rPr>
        <w:tab/>
      </w:r>
      <w:r>
        <w:rPr>
          <w:rFonts w:ascii="Times New Roman" w:cs="Times New Roman" w:eastAsia="Times New Roman" w:hAnsi="Times New Roman"/>
          <w:sz w:val="17"/>
          <w:szCs w:val="17"/>
          <w:b w:val="1"/>
          <w:bCs w:val="1"/>
          <w:color w:val="auto"/>
        </w:rPr>
        <w:t>COMBINATION RELATED PRO FORMA ADJUSTMENTS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unaudited pro forma condensed combined financial statements reflect the following adjustments related to the Combination:</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Adjustment to cash represents the following:</w:t>
      </w:r>
    </w:p>
    <w:p>
      <w:pPr>
        <w:spacing w:after="0" w:line="393" w:lineRule="exact"/>
        <w:rPr>
          <w:sz w:val="20"/>
          <w:szCs w:val="20"/>
          <w:color w:val="auto"/>
        </w:rPr>
      </w:pPr>
    </w:p>
    <w:tbl>
      <w:tblPr>
        <w:tblLayout w:type="fixed"/>
        <w:tblInd w:w="0" w:type="dxa"/>
        <w:tblCellMar>
          <w:top w:w="0" w:type="dxa"/>
          <w:left w:w="0" w:type="dxa"/>
          <w:bottom w:w="0" w:type="dxa"/>
          <w:right w:w="0" w:type="dxa"/>
        </w:tblCellMar>
      </w:tblPr>
      <w:tr>
        <w:trPr>
          <w:trHeight w:val="226"/>
        </w:trPr>
        <w:tc>
          <w:tcPr>
            <w:tcW w:w="84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500" w:type="dxa"/>
            <w:vAlign w:val="bottom"/>
          </w:tcPr>
          <w:p>
            <w:pPr>
              <w:jc w:val="center"/>
              <w:ind w:right="35"/>
              <w:spacing w:after="0"/>
              <w:rPr>
                <w:sz w:val="20"/>
                <w:szCs w:val="20"/>
                <w:color w:val="auto"/>
              </w:rPr>
            </w:pPr>
            <w:r>
              <w:rPr>
                <w:rFonts w:ascii="Times New Roman" w:cs="Times New Roman" w:eastAsia="Times New Roman" w:hAnsi="Times New Roman"/>
                <w:sz w:val="17"/>
                <w:szCs w:val="17"/>
                <w:b w:val="1"/>
                <w:bCs w:val="1"/>
                <w:color w:val="auto"/>
              </w:rPr>
              <w:t>As of</w:t>
            </w:r>
          </w:p>
        </w:tc>
        <w:tc>
          <w:tcPr>
            <w:tcW w:w="0" w:type="dxa"/>
            <w:vAlign w:val="bottom"/>
          </w:tcPr>
          <w:p>
            <w:pPr>
              <w:spacing w:after="0"/>
              <w:rPr>
                <w:sz w:val="1"/>
                <w:szCs w:val="1"/>
                <w:color w:val="auto"/>
              </w:rPr>
            </w:pPr>
          </w:p>
        </w:tc>
      </w:tr>
      <w:tr>
        <w:trPr>
          <w:trHeight w:val="270"/>
        </w:trPr>
        <w:tc>
          <w:tcPr>
            <w:tcW w:w="8420" w:type="dxa"/>
            <w:vAlign w:val="bottom"/>
          </w:tcPr>
          <w:p>
            <w:pPr>
              <w:ind w:left="40"/>
              <w:spacing w:after="0"/>
              <w:rPr>
                <w:sz w:val="20"/>
                <w:szCs w:val="20"/>
                <w:color w:val="auto"/>
              </w:rPr>
            </w:pPr>
            <w:r>
              <w:rPr>
                <w:rFonts w:ascii="Times New Roman" w:cs="Times New Roman" w:eastAsia="Times New Roman" w:hAnsi="Times New Roman"/>
                <w:sz w:val="17"/>
                <w:szCs w:val="17"/>
                <w:i w:val="1"/>
                <w:iCs w:val="1"/>
                <w:color w:val="auto"/>
              </w:rPr>
              <w:t>(in thousands)</w:t>
            </w:r>
          </w:p>
        </w:tc>
        <w:tc>
          <w:tcPr>
            <w:tcW w:w="240" w:type="dxa"/>
            <w:vAlign w:val="bottom"/>
          </w:tcPr>
          <w:p>
            <w:pPr>
              <w:spacing w:after="0"/>
              <w:rPr>
                <w:sz w:val="23"/>
                <w:szCs w:val="23"/>
                <w:color w:val="auto"/>
              </w:rPr>
            </w:pPr>
          </w:p>
        </w:tc>
        <w:tc>
          <w:tcPr>
            <w:tcW w:w="1500" w:type="dxa"/>
            <w:vAlign w:val="bottom"/>
          </w:tcPr>
          <w:p>
            <w:pPr>
              <w:jc w:val="center"/>
              <w:ind w:right="35"/>
              <w:spacing w:after="0"/>
              <w:rPr>
                <w:sz w:val="20"/>
                <w:szCs w:val="20"/>
                <w:color w:val="auto"/>
              </w:rPr>
            </w:pPr>
            <w:r>
              <w:rPr>
                <w:rFonts w:ascii="Times New Roman" w:cs="Times New Roman" w:eastAsia="Times New Roman" w:hAnsi="Times New Roman"/>
                <w:sz w:val="17"/>
                <w:szCs w:val="17"/>
                <w:b w:val="1"/>
                <w:bCs w:val="1"/>
                <w:color w:val="auto"/>
              </w:rPr>
              <w:t>March 31, 2018</w:t>
            </w:r>
          </w:p>
        </w:tc>
        <w:tc>
          <w:tcPr>
            <w:tcW w:w="0" w:type="dxa"/>
            <w:vAlign w:val="bottom"/>
          </w:tcPr>
          <w:p>
            <w:pPr>
              <w:spacing w:after="0"/>
              <w:rPr>
                <w:sz w:val="1"/>
                <w:szCs w:val="1"/>
                <w:color w:val="auto"/>
              </w:rPr>
            </w:pPr>
          </w:p>
        </w:tc>
      </w:tr>
      <w:tr>
        <w:trPr>
          <w:trHeight w:val="29"/>
        </w:trPr>
        <w:tc>
          <w:tcPr>
            <w:tcW w:w="84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Repayment of certain Impax historical debt obligations including accrued and unpaid interest</w:t>
            </w:r>
          </w:p>
        </w:tc>
        <w:tc>
          <w:tcPr>
            <w:tcW w:w="24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1"/>
        </w:trPr>
        <w:tc>
          <w:tcPr>
            <w:tcW w:w="8420" w:type="dxa"/>
            <w:vAlign w:val="bottom"/>
            <w:vMerge w:val="continue"/>
          </w:tcPr>
          <w:p>
            <w:pPr>
              <w:spacing w:after="0"/>
              <w:rPr>
                <w:sz w:val="19"/>
                <w:szCs w:val="19"/>
                <w:color w:val="auto"/>
              </w:rPr>
            </w:pPr>
          </w:p>
        </w:tc>
        <w:tc>
          <w:tcPr>
            <w:tcW w:w="24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w:t>
            </w:r>
          </w:p>
        </w:tc>
        <w:tc>
          <w:tcPr>
            <w:tcW w:w="1500" w:type="dxa"/>
            <w:vAlign w:val="bottom"/>
          </w:tcPr>
          <w:p>
            <w:pPr>
              <w:jc w:val="center"/>
              <w:ind w:left="655"/>
              <w:spacing w:after="0"/>
              <w:rPr>
                <w:sz w:val="20"/>
                <w:szCs w:val="20"/>
                <w:color w:val="auto"/>
              </w:rPr>
            </w:pPr>
            <w:r>
              <w:rPr>
                <w:rFonts w:ascii="Times New Roman" w:cs="Times New Roman" w:eastAsia="Times New Roman" w:hAnsi="Times New Roman"/>
                <w:sz w:val="17"/>
                <w:szCs w:val="17"/>
                <w:color w:val="auto"/>
              </w:rPr>
              <w:t>(320,093)</w:t>
            </w:r>
          </w:p>
        </w:tc>
        <w:tc>
          <w:tcPr>
            <w:tcW w:w="0" w:type="dxa"/>
            <w:vAlign w:val="bottom"/>
          </w:tcPr>
          <w:p>
            <w:pPr>
              <w:spacing w:after="0"/>
              <w:rPr>
                <w:sz w:val="1"/>
                <w:szCs w:val="1"/>
                <w:color w:val="auto"/>
              </w:rPr>
            </w:pPr>
          </w:p>
        </w:tc>
      </w:tr>
      <w:tr>
        <w:trPr>
          <w:trHeight w:val="29"/>
        </w:trPr>
        <w:tc>
          <w:tcPr>
            <w:tcW w:w="84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420" w:type="dxa"/>
            <w:vAlign w:val="bottom"/>
            <w:shd w:val="clear" w:color="auto" w:fill="CCEEFF"/>
          </w:tcPr>
          <w:p>
            <w:pPr>
              <w:ind w:left="40"/>
              <w:spacing w:after="0" w:line="270" w:lineRule="exact"/>
              <w:rPr>
                <w:sz w:val="20"/>
                <w:szCs w:val="20"/>
                <w:color w:val="auto"/>
              </w:rPr>
            </w:pPr>
            <w:r>
              <w:rPr>
                <w:rFonts w:ascii="Times New Roman" w:cs="Times New Roman" w:eastAsia="Times New Roman" w:hAnsi="Times New Roman"/>
                <w:sz w:val="17"/>
                <w:szCs w:val="17"/>
                <w:color w:val="auto"/>
              </w:rPr>
              <w:t>Cash paid for transaction costs not yet reflected in the historical financial statements</w:t>
            </w:r>
            <w:r>
              <w:rPr>
                <w:rFonts w:ascii="Times New Roman" w:cs="Times New Roman" w:eastAsia="Times New Roman" w:hAnsi="Times New Roman"/>
                <w:sz w:val="28"/>
                <w:szCs w:val="28"/>
                <w:color w:val="auto"/>
                <w:vertAlign w:val="superscript"/>
              </w:rPr>
              <w:t>(1)</w:t>
            </w:r>
          </w:p>
        </w:tc>
        <w:tc>
          <w:tcPr>
            <w:tcW w:w="240" w:type="dxa"/>
            <w:vAlign w:val="bottom"/>
            <w:tcBorders>
              <w:bottom w:val="single" w:sz="8" w:color="auto"/>
            </w:tcBorders>
            <w:shd w:val="clear" w:color="auto" w:fill="CCEEFF"/>
          </w:tcPr>
          <w:p>
            <w:pPr>
              <w:spacing w:after="0"/>
              <w:rPr>
                <w:sz w:val="23"/>
                <w:szCs w:val="23"/>
                <w:color w:val="auto"/>
              </w:rPr>
            </w:pPr>
          </w:p>
        </w:tc>
        <w:tc>
          <w:tcPr>
            <w:tcW w:w="1500" w:type="dxa"/>
            <w:vAlign w:val="bottom"/>
            <w:tcBorders>
              <w:bottom w:val="single" w:sz="8" w:color="auto"/>
            </w:tcBorders>
            <w:shd w:val="clear" w:color="auto" w:fill="CCEEFF"/>
          </w:tcPr>
          <w:p>
            <w:pPr>
              <w:jc w:val="center"/>
              <w:ind w:left="635"/>
              <w:spacing w:after="0"/>
              <w:rPr>
                <w:sz w:val="20"/>
                <w:szCs w:val="20"/>
                <w:color w:val="auto"/>
              </w:rPr>
            </w:pPr>
            <w:r>
              <w:rPr>
                <w:rFonts w:ascii="Times New Roman" w:cs="Times New Roman" w:eastAsia="Times New Roman" w:hAnsi="Times New Roman"/>
                <w:sz w:val="17"/>
                <w:szCs w:val="17"/>
                <w:color w:val="auto"/>
                <w:w w:val="99"/>
              </w:rPr>
              <w:t>(35,161)</w:t>
            </w:r>
          </w:p>
        </w:tc>
        <w:tc>
          <w:tcPr>
            <w:tcW w:w="0" w:type="dxa"/>
            <w:vAlign w:val="bottom"/>
          </w:tcPr>
          <w:p>
            <w:pPr>
              <w:spacing w:after="0"/>
              <w:rPr>
                <w:sz w:val="1"/>
                <w:szCs w:val="1"/>
                <w:color w:val="auto"/>
              </w:rPr>
            </w:pPr>
          </w:p>
        </w:tc>
      </w:tr>
      <w:tr>
        <w:trPr>
          <w:trHeight w:val="235"/>
        </w:trPr>
        <w:tc>
          <w:tcPr>
            <w:tcW w:w="8420" w:type="dxa"/>
            <w:vAlign w:val="bottom"/>
          </w:tcPr>
          <w:p>
            <w:pPr>
              <w:ind w:left="500"/>
              <w:spacing w:after="0"/>
              <w:rPr>
                <w:sz w:val="20"/>
                <w:szCs w:val="20"/>
                <w:color w:val="auto"/>
              </w:rPr>
            </w:pPr>
            <w:r>
              <w:rPr>
                <w:rFonts w:ascii="Times New Roman" w:cs="Times New Roman" w:eastAsia="Times New Roman" w:hAnsi="Times New Roman"/>
                <w:sz w:val="17"/>
                <w:szCs w:val="17"/>
                <w:b w:val="1"/>
                <w:bCs w:val="1"/>
                <w:color w:val="auto"/>
              </w:rPr>
              <w:t>Total adjustment to cash</w:t>
            </w:r>
          </w:p>
        </w:tc>
        <w:tc>
          <w:tcPr>
            <w:tcW w:w="24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w:t>
            </w:r>
          </w:p>
        </w:tc>
        <w:tc>
          <w:tcPr>
            <w:tcW w:w="1500" w:type="dxa"/>
            <w:vAlign w:val="bottom"/>
          </w:tcPr>
          <w:p>
            <w:pPr>
              <w:jc w:val="center"/>
              <w:ind w:left="655"/>
              <w:spacing w:after="0"/>
              <w:rPr>
                <w:sz w:val="20"/>
                <w:szCs w:val="20"/>
                <w:color w:val="auto"/>
              </w:rPr>
            </w:pPr>
            <w:r>
              <w:rPr>
                <w:rFonts w:ascii="Times New Roman" w:cs="Times New Roman" w:eastAsia="Times New Roman" w:hAnsi="Times New Roman"/>
                <w:sz w:val="17"/>
                <w:szCs w:val="17"/>
                <w:color w:val="auto"/>
              </w:rPr>
              <w:t>(355,254)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6440170" cy="3086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6440170" cy="308610"/>
                    </a:xfrm>
                    <a:prstGeom prst="rect">
                      <a:avLst/>
                    </a:prstGeom>
                    <a:noFill/>
                  </pic:spPr>
                </pic:pic>
              </a:graphicData>
            </a:graphic>
          </wp:anchor>
        </w:drawing>
      </w:r>
    </w:p>
    <w:p>
      <w:pPr>
        <w:spacing w:after="0" w:line="14" w:lineRule="exact"/>
        <w:rPr>
          <w:sz w:val="20"/>
          <w:szCs w:val="20"/>
          <w:color w:val="auto"/>
        </w:rPr>
      </w:pPr>
    </w:p>
    <w:p>
      <w:pPr>
        <w:ind w:left="40" w:right="1300" w:hanging="5"/>
        <w:spacing w:after="0" w:line="284" w:lineRule="auto"/>
        <w:tabs>
          <w:tab w:leader="none" w:pos="304" w:val="left"/>
        </w:tabs>
        <w:numPr>
          <w:ilvl w:val="1"/>
          <w:numId w:val="1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 xml:space="preserve">These fees are recorded against accumulated deficit solely for the purposes of this presentation. As there is no continuing impact of these transaction costs on </w:t>
      </w:r>
      <w:r>
        <w:rPr>
          <w:rFonts w:ascii="Times New Roman" w:cs="Times New Roman" w:eastAsia="Times New Roman" w:hAnsi="Times New Roman"/>
          <w:sz w:val="18"/>
          <w:szCs w:val="18"/>
          <w:color w:val="auto"/>
        </w:rPr>
        <w:t>New Amneal’s</w:t>
      </w:r>
      <w:r>
        <w:rPr>
          <w:rFonts w:ascii="Times New Roman" w:cs="Times New Roman" w:eastAsia="Times New Roman" w:hAnsi="Times New Roman"/>
          <w:sz w:val="17"/>
          <w:szCs w:val="17"/>
          <w:color w:val="auto"/>
        </w:rPr>
        <w:t xml:space="preserve"> results, the fees are not included in the unaudited pro forma condensed combined statements of operations.</w:t>
      </w:r>
    </w:p>
    <w:p>
      <w:pPr>
        <w:spacing w:after="0" w:line="188" w:lineRule="exact"/>
        <w:rPr>
          <w:rFonts w:ascii="Times New Roman" w:cs="Times New Roman" w:eastAsia="Times New Roman" w:hAnsi="Times New Roman"/>
          <w:sz w:val="17"/>
          <w:szCs w:val="17"/>
          <w:color w:val="auto"/>
        </w:rPr>
      </w:pPr>
    </w:p>
    <w:p>
      <w:pPr>
        <w:jc w:val="both"/>
        <w:ind w:left="340" w:hanging="332"/>
        <w:spacing w:after="0" w:line="256" w:lineRule="auto"/>
        <w:tabs>
          <w:tab w:leader="none" w:pos="34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Adjustment to state acquired inventory, which consists primarily of raw materials and finished goods, at its preliminary fair value. The preliminary fair value considers replacement cost for materials and net realizable value for work-in-process and finished goods. New Amneal will recognize the increased value of inventory in cost of goods sold as the inventory is sold, which for purposes of these unaudited pro forma condensed combined financial statements is assumed to occur within the first year after the Transactions. As there is no continuing impact of the inventory adjustment to New Amneal’s results, the cost of goods sold associated with the increased inventory value is not included in the unaudited pro forma condensed combined statements of operations.</w:t>
      </w:r>
    </w:p>
    <w:p>
      <w:pPr>
        <w:spacing w:after="0" w:line="187" w:lineRule="exact"/>
        <w:rPr>
          <w:rFonts w:ascii="Times New Roman" w:cs="Times New Roman" w:eastAsia="Times New Roman" w:hAnsi="Times New Roman"/>
          <w:sz w:val="18"/>
          <w:szCs w:val="18"/>
          <w:color w:val="auto"/>
        </w:rPr>
      </w:pPr>
    </w:p>
    <w:p>
      <w:pPr>
        <w:jc w:val="both"/>
        <w:ind w:left="340" w:hanging="332"/>
        <w:spacing w:after="0" w:line="261" w:lineRule="auto"/>
        <w:tabs>
          <w:tab w:leader="none" w:pos="34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Adjustment to state acquired identifiable intangible assets, consisting of tradenames, acquired in-process research and development product rights and marketed product rights at their preliminary fair values, and to increase amortization expense accordingly. The estimated fair values were determined using the “income approach,” a valuation technique that estimates the fair value of an asset based on market participant expectations of the cash flows that an asset would generate over its remaining useful life. The following table presents information about the intangible assets:</w:t>
      </w:r>
    </w:p>
    <w:p>
      <w:pPr>
        <w:spacing w:after="0" w:line="119" w:lineRule="exact"/>
        <w:rPr>
          <w:sz w:val="20"/>
          <w:szCs w:val="20"/>
          <w:color w:val="auto"/>
        </w:rPr>
      </w:pPr>
    </w:p>
    <w:tbl>
      <w:tblPr>
        <w:tblLayout w:type="fixed"/>
        <w:tblInd w:w="0" w:type="dxa"/>
        <w:tblCellMar>
          <w:top w:w="0" w:type="dxa"/>
          <w:left w:w="0" w:type="dxa"/>
          <w:bottom w:w="0" w:type="dxa"/>
          <w:right w:w="0" w:type="dxa"/>
        </w:tblCellMar>
      </w:tblPr>
      <w:tr>
        <w:trPr>
          <w:trHeight w:val="226"/>
        </w:trPr>
        <w:tc>
          <w:tcPr>
            <w:tcW w:w="4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900" w:type="dxa"/>
            <w:vAlign w:val="bottom"/>
            <w:gridSpan w:val="4"/>
          </w:tcPr>
          <w:p>
            <w:pPr>
              <w:jc w:val="right"/>
              <w:ind w:right="1175"/>
              <w:spacing w:after="0"/>
              <w:rPr>
                <w:sz w:val="20"/>
                <w:szCs w:val="20"/>
                <w:color w:val="auto"/>
              </w:rPr>
            </w:pPr>
            <w:r>
              <w:rPr>
                <w:rFonts w:ascii="Times New Roman" w:cs="Times New Roman" w:eastAsia="Times New Roman" w:hAnsi="Times New Roman"/>
                <w:sz w:val="17"/>
                <w:szCs w:val="17"/>
                <w:b w:val="1"/>
                <w:bCs w:val="1"/>
                <w:color w:val="auto"/>
              </w:rPr>
              <w:t>Amortization expense</w:t>
            </w:r>
          </w:p>
        </w:tc>
      </w:tr>
      <w:tr>
        <w:trPr>
          <w:trHeight w:val="43"/>
        </w:trPr>
        <w:tc>
          <w:tcPr>
            <w:tcW w:w="468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60" w:type="dxa"/>
            <w:vAlign w:val="bottom"/>
          </w:tcPr>
          <w:p>
            <w:pPr>
              <w:spacing w:after="0"/>
              <w:rPr>
                <w:sz w:val="3"/>
                <w:szCs w:val="3"/>
                <w:color w:val="auto"/>
              </w:rPr>
            </w:pPr>
          </w:p>
        </w:tc>
        <w:tc>
          <w:tcPr>
            <w:tcW w:w="200" w:type="dxa"/>
            <w:vAlign w:val="bottom"/>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1940" w:type="dxa"/>
            <w:vAlign w:val="bottom"/>
            <w:tcBorders>
              <w:bottom w:val="single" w:sz="8" w:color="auto"/>
            </w:tcBorders>
            <w:gridSpan w:val="2"/>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1700" w:type="dxa"/>
            <w:vAlign w:val="bottom"/>
            <w:tcBorders>
              <w:bottom w:val="single" w:sz="8" w:color="auto"/>
            </w:tcBorders>
          </w:tcPr>
          <w:p>
            <w:pPr>
              <w:spacing w:after="0"/>
              <w:rPr>
                <w:sz w:val="3"/>
                <w:szCs w:val="3"/>
                <w:color w:val="auto"/>
              </w:rPr>
            </w:pPr>
          </w:p>
        </w:tc>
      </w:tr>
      <w:tr>
        <w:trPr>
          <w:trHeight w:val="221"/>
        </w:trPr>
        <w:tc>
          <w:tcPr>
            <w:tcW w:w="4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940" w:type="dxa"/>
            <w:vAlign w:val="bottom"/>
            <w:gridSpan w:val="2"/>
          </w:tcPr>
          <w:p>
            <w:pPr>
              <w:jc w:val="center"/>
              <w:ind w:right="440"/>
              <w:spacing w:after="0"/>
              <w:rPr>
                <w:sz w:val="20"/>
                <w:szCs w:val="20"/>
                <w:color w:val="auto"/>
              </w:rPr>
            </w:pPr>
            <w:r>
              <w:rPr>
                <w:rFonts w:ascii="Times New Roman" w:cs="Times New Roman" w:eastAsia="Times New Roman" w:hAnsi="Times New Roman"/>
                <w:sz w:val="17"/>
                <w:szCs w:val="17"/>
                <w:b w:val="1"/>
                <w:bCs w:val="1"/>
                <w:color w:val="auto"/>
              </w:rPr>
              <w:t>Three months ended</w:t>
            </w:r>
          </w:p>
        </w:tc>
        <w:tc>
          <w:tcPr>
            <w:tcW w:w="260" w:type="dxa"/>
            <w:vAlign w:val="bottom"/>
          </w:tcPr>
          <w:p>
            <w:pPr>
              <w:spacing w:after="0"/>
              <w:rPr>
                <w:sz w:val="19"/>
                <w:szCs w:val="19"/>
                <w:color w:val="auto"/>
              </w:rPr>
            </w:pPr>
          </w:p>
        </w:tc>
        <w:tc>
          <w:tcPr>
            <w:tcW w:w="1700" w:type="dxa"/>
            <w:vAlign w:val="bottom"/>
          </w:tcPr>
          <w:p>
            <w:pPr>
              <w:jc w:val="right"/>
              <w:ind w:right="475"/>
              <w:spacing w:after="0"/>
              <w:rPr>
                <w:sz w:val="20"/>
                <w:szCs w:val="20"/>
                <w:color w:val="auto"/>
              </w:rPr>
            </w:pPr>
            <w:r>
              <w:rPr>
                <w:rFonts w:ascii="Times New Roman" w:cs="Times New Roman" w:eastAsia="Times New Roman" w:hAnsi="Times New Roman"/>
                <w:sz w:val="17"/>
                <w:szCs w:val="17"/>
                <w:b w:val="1"/>
                <w:bCs w:val="1"/>
                <w:color w:val="auto"/>
              </w:rPr>
              <w:t>Year ended</w:t>
            </w:r>
          </w:p>
        </w:tc>
      </w:tr>
      <w:tr>
        <w:trPr>
          <w:trHeight w:val="284"/>
        </w:trPr>
        <w:tc>
          <w:tcPr>
            <w:tcW w:w="4680" w:type="dxa"/>
            <w:vAlign w:val="bottom"/>
          </w:tcPr>
          <w:p>
            <w:pPr>
              <w:ind w:left="40"/>
              <w:spacing w:after="0"/>
              <w:rPr>
                <w:sz w:val="20"/>
                <w:szCs w:val="20"/>
                <w:color w:val="auto"/>
              </w:rPr>
            </w:pPr>
            <w:r>
              <w:rPr>
                <w:rFonts w:ascii="Times New Roman" w:cs="Times New Roman" w:eastAsia="Times New Roman" w:hAnsi="Times New Roman"/>
                <w:sz w:val="17"/>
                <w:szCs w:val="17"/>
                <w:i w:val="1"/>
                <w:iCs w:val="1"/>
                <w:color w:val="auto"/>
              </w:rPr>
              <w:t>(in thousands)</w:t>
            </w:r>
          </w:p>
        </w:tc>
        <w:tc>
          <w:tcPr>
            <w:tcW w:w="320" w:type="dxa"/>
            <w:vAlign w:val="bottom"/>
          </w:tcPr>
          <w:p>
            <w:pPr>
              <w:spacing w:after="0"/>
              <w:rPr>
                <w:sz w:val="24"/>
                <w:szCs w:val="24"/>
                <w:color w:val="auto"/>
              </w:rPr>
            </w:pPr>
          </w:p>
        </w:tc>
        <w:tc>
          <w:tcPr>
            <w:tcW w:w="1460" w:type="dxa"/>
            <w:vAlign w:val="bottom"/>
            <w:gridSpan w:val="2"/>
          </w:tcPr>
          <w:p>
            <w:pPr>
              <w:ind w:left="100"/>
              <w:spacing w:after="0"/>
              <w:rPr>
                <w:sz w:val="20"/>
                <w:szCs w:val="20"/>
                <w:color w:val="auto"/>
              </w:rPr>
            </w:pPr>
            <w:r>
              <w:rPr>
                <w:rFonts w:ascii="Times New Roman" w:cs="Times New Roman" w:eastAsia="Times New Roman" w:hAnsi="Times New Roman"/>
                <w:sz w:val="17"/>
                <w:szCs w:val="17"/>
                <w:b w:val="1"/>
                <w:bCs w:val="1"/>
                <w:color w:val="auto"/>
              </w:rPr>
              <w:t>Fair value</w:t>
            </w:r>
          </w:p>
        </w:tc>
        <w:tc>
          <w:tcPr>
            <w:tcW w:w="240" w:type="dxa"/>
            <w:vAlign w:val="bottom"/>
          </w:tcPr>
          <w:p>
            <w:pPr>
              <w:spacing w:after="0"/>
              <w:rPr>
                <w:sz w:val="24"/>
                <w:szCs w:val="24"/>
                <w:color w:val="auto"/>
              </w:rPr>
            </w:pPr>
          </w:p>
        </w:tc>
        <w:tc>
          <w:tcPr>
            <w:tcW w:w="1940" w:type="dxa"/>
            <w:vAlign w:val="bottom"/>
            <w:gridSpan w:val="2"/>
          </w:tcPr>
          <w:p>
            <w:pPr>
              <w:jc w:val="center"/>
              <w:ind w:right="440"/>
              <w:spacing w:after="0"/>
              <w:rPr>
                <w:sz w:val="20"/>
                <w:szCs w:val="20"/>
                <w:color w:val="auto"/>
              </w:rPr>
            </w:pPr>
            <w:r>
              <w:rPr>
                <w:rFonts w:ascii="Times New Roman" w:cs="Times New Roman" w:eastAsia="Times New Roman" w:hAnsi="Times New Roman"/>
                <w:sz w:val="17"/>
                <w:szCs w:val="17"/>
                <w:b w:val="1"/>
                <w:bCs w:val="1"/>
                <w:color w:val="auto"/>
              </w:rPr>
              <w:t>March 31, 2018</w:t>
            </w:r>
          </w:p>
        </w:tc>
        <w:tc>
          <w:tcPr>
            <w:tcW w:w="260" w:type="dxa"/>
            <w:vAlign w:val="bottom"/>
          </w:tcPr>
          <w:p>
            <w:pPr>
              <w:spacing w:after="0"/>
              <w:rPr>
                <w:sz w:val="24"/>
                <w:szCs w:val="24"/>
                <w:color w:val="auto"/>
              </w:rPr>
            </w:pPr>
          </w:p>
        </w:tc>
        <w:tc>
          <w:tcPr>
            <w:tcW w:w="1700" w:type="dxa"/>
            <w:vAlign w:val="bottom"/>
          </w:tcPr>
          <w:p>
            <w:pPr>
              <w:jc w:val="right"/>
              <w:ind w:right="195"/>
              <w:spacing w:after="0"/>
              <w:rPr>
                <w:sz w:val="20"/>
                <w:szCs w:val="20"/>
                <w:color w:val="auto"/>
              </w:rPr>
            </w:pPr>
            <w:r>
              <w:rPr>
                <w:rFonts w:ascii="Times New Roman" w:cs="Times New Roman" w:eastAsia="Times New Roman" w:hAnsi="Times New Roman"/>
                <w:sz w:val="17"/>
                <w:szCs w:val="17"/>
                <w:b w:val="1"/>
                <w:bCs w:val="1"/>
                <w:color w:val="auto"/>
              </w:rPr>
              <w:t>December 31, 2017</w:t>
            </w:r>
          </w:p>
        </w:tc>
      </w:tr>
      <w:tr>
        <w:trPr>
          <w:trHeight w:val="29"/>
        </w:trPr>
        <w:tc>
          <w:tcPr>
            <w:tcW w:w="46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r>
      <w:tr>
        <w:trPr>
          <w:trHeight w:val="230"/>
        </w:trPr>
        <w:tc>
          <w:tcPr>
            <w:tcW w:w="46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Total acquired indefinite lived intangible assets</w:t>
            </w:r>
          </w:p>
        </w:tc>
        <w:tc>
          <w:tcPr>
            <w:tcW w:w="320" w:type="dxa"/>
            <w:vAlign w:val="bottom"/>
            <w:tcBorders>
              <w:bottom w:val="single" w:sz="8" w:color="CCEEFF"/>
            </w:tcBorders>
            <w:shd w:val="clear" w:color="auto" w:fill="CCEEFF"/>
          </w:tcPr>
          <w:p>
            <w:pPr>
              <w:jc w:val="right"/>
              <w:ind w:right="115"/>
              <w:spacing w:after="0"/>
              <w:rPr>
                <w:sz w:val="20"/>
                <w:szCs w:val="20"/>
                <w:color w:val="auto"/>
              </w:rPr>
            </w:pPr>
            <w:r>
              <w:rPr>
                <w:rFonts w:ascii="Times New Roman" w:cs="Times New Roman" w:eastAsia="Times New Roman" w:hAnsi="Times New Roman"/>
                <w:sz w:val="17"/>
                <w:szCs w:val="17"/>
                <w:color w:val="auto"/>
              </w:rPr>
              <w:t>$</w:t>
            </w:r>
          </w:p>
        </w:tc>
        <w:tc>
          <w:tcPr>
            <w:tcW w:w="12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525,600</w:t>
            </w:r>
          </w:p>
        </w:tc>
        <w:tc>
          <w:tcPr>
            <w:tcW w:w="2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w:t>
            </w:r>
          </w:p>
        </w:tc>
        <w:tc>
          <w:tcPr>
            <w:tcW w:w="194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7"/>
                <w:szCs w:val="17"/>
                <w:color w:val="auto"/>
              </w:rPr>
              <w:t>—</w:t>
            </w:r>
          </w:p>
        </w:tc>
        <w:tc>
          <w:tcPr>
            <w:tcW w:w="260" w:type="dxa"/>
            <w:vAlign w:val="bottom"/>
            <w:tcBorders>
              <w:bottom w:val="single" w:sz="8" w:color="CCEEFF"/>
            </w:tcBorders>
            <w:shd w:val="clear" w:color="auto" w:fill="CCEEFF"/>
          </w:tcPr>
          <w:p>
            <w:pPr>
              <w:jc w:val="right"/>
              <w:ind w:right="55"/>
              <w:spacing w:after="0"/>
              <w:rPr>
                <w:sz w:val="20"/>
                <w:szCs w:val="20"/>
                <w:color w:val="auto"/>
              </w:rPr>
            </w:pPr>
            <w:r>
              <w:rPr>
                <w:rFonts w:ascii="Times New Roman" w:cs="Times New Roman" w:eastAsia="Times New Roman" w:hAnsi="Times New Roman"/>
                <w:sz w:val="17"/>
                <w:szCs w:val="17"/>
                <w:color w:val="auto"/>
              </w:rPr>
              <w:t>$</w:t>
            </w:r>
          </w:p>
        </w:tc>
        <w:tc>
          <w:tcPr>
            <w:tcW w:w="17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r>
      <w:tr>
        <w:trPr>
          <w:trHeight w:val="270"/>
        </w:trPr>
        <w:tc>
          <w:tcPr>
            <w:tcW w:w="4680" w:type="dxa"/>
            <w:vAlign w:val="bottom"/>
            <w:tcBorders>
              <w:bottom w:val="single" w:sz="8" w:color="CCEEFF"/>
            </w:tcBorders>
          </w:tcPr>
          <w:p>
            <w:pPr>
              <w:ind w:left="40"/>
              <w:spacing w:after="0" w:line="270" w:lineRule="exact"/>
              <w:rPr>
                <w:sz w:val="20"/>
                <w:szCs w:val="20"/>
                <w:color w:val="auto"/>
              </w:rPr>
            </w:pPr>
            <w:r>
              <w:rPr>
                <w:rFonts w:ascii="Times New Roman" w:cs="Times New Roman" w:eastAsia="Times New Roman" w:hAnsi="Times New Roman"/>
                <w:sz w:val="17"/>
                <w:szCs w:val="17"/>
                <w:color w:val="auto"/>
              </w:rPr>
              <w:t>Total acquired finite lived intangible assets</w:t>
            </w:r>
            <w:r>
              <w:rPr>
                <w:rFonts w:ascii="Times New Roman" w:cs="Times New Roman" w:eastAsia="Times New Roman" w:hAnsi="Times New Roman"/>
                <w:sz w:val="28"/>
                <w:szCs w:val="28"/>
                <w:color w:val="auto"/>
                <w:vertAlign w:val="superscript"/>
              </w:rPr>
              <w:t>(1)</w:t>
            </w:r>
          </w:p>
        </w:tc>
        <w:tc>
          <w:tcPr>
            <w:tcW w:w="320" w:type="dxa"/>
            <w:vAlign w:val="bottom"/>
            <w:tcBorders>
              <w:bottom w:val="single" w:sz="8" w:color="auto"/>
            </w:tcBorders>
          </w:tcPr>
          <w:p>
            <w:pPr>
              <w:spacing w:after="0"/>
              <w:rPr>
                <w:sz w:val="23"/>
                <w:szCs w:val="23"/>
                <w:color w:val="auto"/>
              </w:rPr>
            </w:pPr>
          </w:p>
        </w:tc>
        <w:tc>
          <w:tcPr>
            <w:tcW w:w="1260" w:type="dxa"/>
            <w:vAlign w:val="bottom"/>
            <w:tcBorders>
              <w:bottom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color w:val="auto"/>
              </w:rPr>
              <w:t>1,056,500</w:t>
            </w:r>
          </w:p>
        </w:tc>
        <w:tc>
          <w:tcPr>
            <w:tcW w:w="200" w:type="dxa"/>
            <w:vAlign w:val="bottom"/>
            <w:tcBorders>
              <w:bottom w:val="single" w:sz="8" w:color="CCEEFF"/>
            </w:tcBorders>
          </w:tcPr>
          <w:p>
            <w:pPr>
              <w:spacing w:after="0"/>
              <w:rPr>
                <w:sz w:val="23"/>
                <w:szCs w:val="23"/>
                <w:color w:val="auto"/>
              </w:rPr>
            </w:pPr>
          </w:p>
        </w:tc>
        <w:tc>
          <w:tcPr>
            <w:tcW w:w="240" w:type="dxa"/>
            <w:vAlign w:val="bottom"/>
            <w:tcBorders>
              <w:bottom w:val="single" w:sz="8" w:color="auto"/>
            </w:tcBorders>
          </w:tcPr>
          <w:p>
            <w:pPr>
              <w:spacing w:after="0"/>
              <w:rPr>
                <w:sz w:val="23"/>
                <w:szCs w:val="23"/>
                <w:color w:val="auto"/>
              </w:rPr>
            </w:pPr>
          </w:p>
        </w:tc>
        <w:tc>
          <w:tcPr>
            <w:tcW w:w="1740" w:type="dxa"/>
            <w:vAlign w:val="bottom"/>
            <w:tcBorders>
              <w:bottom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color w:val="auto"/>
              </w:rPr>
              <w:t>19,662</w:t>
            </w:r>
          </w:p>
        </w:tc>
        <w:tc>
          <w:tcPr>
            <w:tcW w:w="200" w:type="dxa"/>
            <w:vAlign w:val="bottom"/>
            <w:tcBorders>
              <w:bottom w:val="single" w:sz="8" w:color="CCEEFF"/>
            </w:tcBorders>
          </w:tcPr>
          <w:p>
            <w:pPr>
              <w:spacing w:after="0"/>
              <w:rPr>
                <w:sz w:val="23"/>
                <w:szCs w:val="23"/>
                <w:color w:val="auto"/>
              </w:rPr>
            </w:pPr>
          </w:p>
        </w:tc>
        <w:tc>
          <w:tcPr>
            <w:tcW w:w="260" w:type="dxa"/>
            <w:vAlign w:val="bottom"/>
            <w:tcBorders>
              <w:bottom w:val="single" w:sz="8" w:color="auto"/>
            </w:tcBorders>
          </w:tcPr>
          <w:p>
            <w:pPr>
              <w:spacing w:after="0"/>
              <w:rPr>
                <w:sz w:val="23"/>
                <w:szCs w:val="23"/>
                <w:color w:val="auto"/>
              </w:rPr>
            </w:pPr>
          </w:p>
        </w:tc>
        <w:tc>
          <w:tcPr>
            <w:tcW w:w="1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78,649</w:t>
            </w:r>
          </w:p>
        </w:tc>
      </w:tr>
      <w:tr>
        <w:trPr>
          <w:trHeight w:val="230"/>
        </w:trPr>
        <w:tc>
          <w:tcPr>
            <w:tcW w:w="4680" w:type="dxa"/>
            <w:vAlign w:val="bottom"/>
            <w:tcBorders>
              <w:bottom w:val="single" w:sz="8" w:color="CCEEFF"/>
            </w:tcBorders>
            <w:shd w:val="clear" w:color="auto" w:fill="CCEEFF"/>
          </w:tcPr>
          <w:p>
            <w:pPr>
              <w:ind w:left="420"/>
              <w:spacing w:after="0"/>
              <w:rPr>
                <w:sz w:val="20"/>
                <w:szCs w:val="20"/>
                <w:color w:val="auto"/>
              </w:rPr>
            </w:pPr>
            <w:r>
              <w:rPr>
                <w:rFonts w:ascii="Times New Roman" w:cs="Times New Roman" w:eastAsia="Times New Roman" w:hAnsi="Times New Roman"/>
                <w:sz w:val="17"/>
                <w:szCs w:val="17"/>
                <w:color w:val="auto"/>
              </w:rPr>
              <w:t>Total acquired intangible assets</w:t>
            </w:r>
          </w:p>
        </w:tc>
        <w:tc>
          <w:tcPr>
            <w:tcW w:w="3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1,582,100</w:t>
            </w:r>
          </w:p>
        </w:tc>
        <w:tc>
          <w:tcPr>
            <w:tcW w:w="2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19,662</w:t>
            </w:r>
          </w:p>
        </w:tc>
        <w:tc>
          <w:tcPr>
            <w:tcW w:w="2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78,649</w:t>
            </w:r>
          </w:p>
        </w:tc>
      </w:tr>
      <w:tr>
        <w:trPr>
          <w:trHeight w:val="241"/>
        </w:trPr>
        <w:tc>
          <w:tcPr>
            <w:tcW w:w="46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Less: Impax’s historical intangible assets</w:t>
            </w:r>
          </w:p>
        </w:tc>
        <w:tc>
          <w:tcPr>
            <w:tcW w:w="320" w:type="dxa"/>
            <w:vAlign w:val="bottom"/>
          </w:tcPr>
          <w:p>
            <w:pPr>
              <w:spacing w:after="0"/>
              <w:rPr>
                <w:sz w:val="20"/>
                <w:szCs w:val="20"/>
                <w:color w:val="auto"/>
              </w:rPr>
            </w:pPr>
          </w:p>
        </w:tc>
        <w:tc>
          <w:tcPr>
            <w:tcW w:w="12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(248,994)</w:t>
            </w: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4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(14,473)</w:t>
            </w:r>
          </w:p>
        </w:tc>
        <w:tc>
          <w:tcPr>
            <w:tcW w:w="2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(68,375)</w:t>
            </w:r>
          </w:p>
        </w:tc>
      </w:tr>
      <w:tr>
        <w:trPr>
          <w:trHeight w:val="29"/>
        </w:trPr>
        <w:tc>
          <w:tcPr>
            <w:tcW w:w="46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r>
      <w:tr>
        <w:trPr>
          <w:trHeight w:val="244"/>
        </w:trPr>
        <w:tc>
          <w:tcPr>
            <w:tcW w:w="4680" w:type="dxa"/>
            <w:vAlign w:val="bottom"/>
            <w:tcBorders>
              <w:bottom w:val="single" w:sz="8" w:color="CCEEFF"/>
            </w:tcBorders>
            <w:shd w:val="clear" w:color="auto" w:fill="CCEEFF"/>
          </w:tcPr>
          <w:p>
            <w:pPr>
              <w:ind w:left="240"/>
              <w:spacing w:after="0"/>
              <w:rPr>
                <w:sz w:val="20"/>
                <w:szCs w:val="20"/>
                <w:color w:val="auto"/>
              </w:rPr>
            </w:pPr>
            <w:r>
              <w:rPr>
                <w:rFonts w:ascii="Times New Roman" w:cs="Times New Roman" w:eastAsia="Times New Roman" w:hAnsi="Times New Roman"/>
                <w:sz w:val="17"/>
                <w:szCs w:val="17"/>
                <w:b w:val="1"/>
                <w:bCs w:val="1"/>
                <w:color w:val="auto"/>
              </w:rPr>
              <w:t>Pro forma adjustment</w:t>
            </w:r>
          </w:p>
        </w:tc>
        <w:tc>
          <w:tcPr>
            <w:tcW w:w="320" w:type="dxa"/>
            <w:vAlign w:val="bottom"/>
            <w:tcBorders>
              <w:bottom w:val="single" w:sz="8" w:color="auto"/>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1260" w:type="dxa"/>
            <w:vAlign w:val="bottom"/>
            <w:tcBorders>
              <w:bottom w:val="single" w:sz="8" w:color="auto"/>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1,333,106</w:t>
            </w:r>
          </w:p>
        </w:tc>
        <w:tc>
          <w:tcPr>
            <w:tcW w:w="2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740" w:type="dxa"/>
            <w:vAlign w:val="bottom"/>
            <w:tcBorders>
              <w:bottom w:val="single" w:sz="8" w:color="auto"/>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5,189</w:t>
            </w:r>
          </w:p>
        </w:tc>
        <w:tc>
          <w:tcPr>
            <w:tcW w:w="2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10,274</w:t>
            </w:r>
          </w:p>
        </w:tc>
      </w:tr>
    </w:tbl>
    <w:p>
      <w:pPr>
        <w:spacing w:after="0" w:line="5" w:lineRule="exact"/>
        <w:rPr>
          <w:sz w:val="20"/>
          <w:szCs w:val="20"/>
          <w:color w:val="auto"/>
        </w:rPr>
      </w:pPr>
    </w:p>
    <w:p>
      <w:pPr>
        <w:ind w:left="280" w:hanging="245"/>
        <w:spacing w:after="0"/>
        <w:tabs>
          <w:tab w:leader="none" w:pos="280" w:val="left"/>
        </w:tabs>
        <w:numPr>
          <w:ilvl w:val="1"/>
          <w:numId w:val="2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adjustment to amortization expense was determined using the straight line method over a weighted-average estimated useful life of 13.1 years.</w:t>
      </w:r>
    </w:p>
    <w:p>
      <w:pPr>
        <w:spacing w:after="0" w:line="253" w:lineRule="exact"/>
        <w:rPr>
          <w:rFonts w:ascii="Times New Roman" w:cs="Times New Roman" w:eastAsia="Times New Roman" w:hAnsi="Times New Roman"/>
          <w:sz w:val="17"/>
          <w:szCs w:val="17"/>
          <w:color w:val="auto"/>
        </w:rPr>
      </w:pPr>
    </w:p>
    <w:p>
      <w:pPr>
        <w:jc w:val="both"/>
        <w:ind w:left="340" w:hanging="332"/>
        <w:spacing w:after="0" w:line="261" w:lineRule="auto"/>
        <w:tabs>
          <w:tab w:leader="none" w:pos="34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Adjustment to eliminate Impax’s historical goodwill of $207.3 million and to recognize goodwill related to the Combination of $341.8 million. Goodwill is calculated as the difference between the estimated purchase price and the fair value of identifiable tangible and intangible assets acquired net of liabilities assumed. The adjustment is preliminary and subject to change based upon final determination of the fair value of assets acquired and liabilities assumed.</w:t>
      </w:r>
    </w:p>
    <w:p>
      <w:pPr>
        <w:spacing w:after="0" w:line="180"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Adjustment to eliminate $0.8 million of historical deferred financing fee assets associated with Impax’s historical revolving credit facility.</w:t>
      </w:r>
    </w:p>
    <w:p>
      <w:pPr>
        <w:spacing w:after="0" w:line="22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Adjustment to eliminate the $0.7 million historical deferred tax liability of Impax.</w:t>
      </w:r>
    </w:p>
    <w:p>
      <w:pPr>
        <w:spacing w:after="0" w:line="22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Adjustment to eliminate $0.1 million of accrued interest associated with certain of Impax’s historical debt obligations.</w:t>
      </w:r>
    </w:p>
    <w:p>
      <w:pPr>
        <w:spacing w:after="0" w:line="225"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Adjustment to eliminate Impax’s historical deferred rent of $1.5 million, resulting from the recognition of escalating rent payments on a straight-line basis over the lease term as required by the generally accepted accounting principles in the United States (“GAAP”). The deferred rent balance is eliminated through acquisition accounting because it does not meet the definition of an acquired asset or assumed liability.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2972435</wp:posOffset>
            </wp:positionH>
            <wp:positionV relativeFrom="paragraph">
              <wp:posOffset>-2225675</wp:posOffset>
            </wp:positionV>
            <wp:extent cx="3764915"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764915" cy="8890"/>
                    </a:xfrm>
                    <a:prstGeom prst="rect">
                      <a:avLst/>
                    </a:prstGeom>
                    <a:noFill/>
                  </pic:spPr>
                </pic:pic>
              </a:graphicData>
            </a:graphic>
          </wp:anchor>
        </w:drawing>
      </w: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11420"/>
          </w:cols>
          <w:pgMar w:left="240" w:top="122" w:right="239" w:bottom="1440" w:gutter="0" w:footer="0" w:header="0"/>
        </w:sectPr>
      </w:pPr>
    </w:p>
    <w:bookmarkStart w:id="43" w:name="page44"/>
    <w:bookmarkEnd w:id="43"/>
    <w:p>
      <w:pPr>
        <w:jc w:val="center"/>
        <w:spacing w:after="0"/>
        <w:rPr>
          <w:sz w:val="20"/>
          <w:szCs w:val="20"/>
          <w:color w:val="auto"/>
        </w:rPr>
      </w:pPr>
      <w:r>
        <w:rPr>
          <w:rFonts w:ascii="Times New Roman" w:cs="Times New Roman" w:eastAsia="Times New Roman" w:hAnsi="Times New Roman"/>
          <w:sz w:val="22"/>
          <w:szCs w:val="22"/>
          <w:b w:val="1"/>
          <w:bCs w:val="1"/>
          <w:color w:val="auto"/>
        </w:rPr>
        <w:t>NOTES TO UNAUDITED PRO FORMA CONDENSED COMBINED FINANCIAL STATEMENTS</w:t>
      </w:r>
    </w:p>
    <w:p>
      <w:pPr>
        <w:spacing w:after="0" w:line="246" w:lineRule="exact"/>
        <w:rPr>
          <w:sz w:val="20"/>
          <w:szCs w:val="20"/>
          <w:color w:val="auto"/>
        </w:rPr>
      </w:pPr>
    </w:p>
    <w:p>
      <w:pPr>
        <w:jc w:val="both"/>
        <w:ind w:left="340" w:hanging="332"/>
        <w:spacing w:after="0" w:line="261" w:lineRule="auto"/>
        <w:tabs>
          <w:tab w:leader="none" w:pos="34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Adjustment to extinguish certain of Impax’s outstanding debt obligations associated with Impax’s historical term loan facility, and to record the assumed Impax 2.00% Convertible Senior Notes due 2022 at their fair value of $600.0 million. The cash paid for the extinguishment of Impax’s historical term loan obligations totaled $320.0 million plus $0.1 million of accrued and unpaid interest, for a total cash payment of $320.1 million. The following presents the amounts comprising the adjustment to debt:</w:t>
      </w: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226"/>
        </w:trPr>
        <w:tc>
          <w:tcPr>
            <w:tcW w:w="7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40" w:type="dxa"/>
            <w:vAlign w:val="bottom"/>
          </w:tcPr>
          <w:p>
            <w:pPr>
              <w:jc w:val="right"/>
              <w:ind w:right="535"/>
              <w:spacing w:after="0"/>
              <w:rPr>
                <w:sz w:val="20"/>
                <w:szCs w:val="20"/>
                <w:color w:val="auto"/>
              </w:rPr>
            </w:pPr>
            <w:r>
              <w:rPr>
                <w:rFonts w:ascii="Times New Roman" w:cs="Times New Roman" w:eastAsia="Times New Roman" w:hAnsi="Times New Roman"/>
                <w:sz w:val="17"/>
                <w:szCs w:val="17"/>
                <w:b w:val="1"/>
                <w:bCs w:val="1"/>
                <w:color w:val="auto"/>
              </w:rPr>
              <w:t>As of</w:t>
            </w:r>
          </w:p>
        </w:tc>
        <w:tc>
          <w:tcPr>
            <w:tcW w:w="0" w:type="dxa"/>
            <w:vAlign w:val="bottom"/>
          </w:tcPr>
          <w:p>
            <w:pPr>
              <w:spacing w:after="0"/>
              <w:rPr>
                <w:sz w:val="1"/>
                <w:szCs w:val="1"/>
                <w:color w:val="auto"/>
              </w:rPr>
            </w:pPr>
          </w:p>
        </w:tc>
      </w:tr>
      <w:tr>
        <w:trPr>
          <w:trHeight w:val="257"/>
        </w:trPr>
        <w:tc>
          <w:tcPr>
            <w:tcW w:w="7160" w:type="dxa"/>
            <w:vAlign w:val="bottom"/>
          </w:tcPr>
          <w:p>
            <w:pPr>
              <w:ind w:left="40"/>
              <w:spacing w:after="0"/>
              <w:rPr>
                <w:sz w:val="20"/>
                <w:szCs w:val="20"/>
                <w:color w:val="auto"/>
              </w:rPr>
            </w:pPr>
            <w:r>
              <w:rPr>
                <w:rFonts w:ascii="Times New Roman" w:cs="Times New Roman" w:eastAsia="Times New Roman" w:hAnsi="Times New Roman"/>
                <w:sz w:val="17"/>
                <w:szCs w:val="17"/>
                <w:i w:val="1"/>
                <w:iCs w:val="1"/>
                <w:color w:val="auto"/>
              </w:rPr>
              <w:t>(in thousands)</w:t>
            </w:r>
          </w:p>
        </w:tc>
        <w:tc>
          <w:tcPr>
            <w:tcW w:w="180" w:type="dxa"/>
            <w:vAlign w:val="bottom"/>
          </w:tcPr>
          <w:p>
            <w:pPr>
              <w:spacing w:after="0"/>
              <w:rPr>
                <w:sz w:val="22"/>
                <w:szCs w:val="22"/>
                <w:color w:val="auto"/>
              </w:rPr>
            </w:pPr>
          </w:p>
        </w:tc>
        <w:tc>
          <w:tcPr>
            <w:tcW w:w="1440" w:type="dxa"/>
            <w:vAlign w:val="bottom"/>
          </w:tcPr>
          <w:p>
            <w:pPr>
              <w:jc w:val="right"/>
              <w:ind w:right="155"/>
              <w:spacing w:after="0"/>
              <w:rPr>
                <w:sz w:val="20"/>
                <w:szCs w:val="20"/>
                <w:color w:val="auto"/>
              </w:rPr>
            </w:pPr>
            <w:r>
              <w:rPr>
                <w:rFonts w:ascii="Times New Roman" w:cs="Times New Roman" w:eastAsia="Times New Roman" w:hAnsi="Times New Roman"/>
                <w:sz w:val="17"/>
                <w:szCs w:val="17"/>
                <w:b w:val="1"/>
                <w:bCs w:val="1"/>
                <w:color w:val="auto"/>
              </w:rPr>
              <w:t>March 31, 2018</w:t>
            </w:r>
          </w:p>
        </w:tc>
        <w:tc>
          <w:tcPr>
            <w:tcW w:w="0" w:type="dxa"/>
            <w:vAlign w:val="bottom"/>
          </w:tcPr>
          <w:p>
            <w:pPr>
              <w:spacing w:after="0"/>
              <w:rPr>
                <w:sz w:val="1"/>
                <w:szCs w:val="1"/>
                <w:color w:val="auto"/>
              </w:rPr>
            </w:pPr>
          </w:p>
        </w:tc>
      </w:tr>
      <w:tr>
        <w:trPr>
          <w:trHeight w:val="29"/>
        </w:trPr>
        <w:tc>
          <w:tcPr>
            <w:tcW w:w="7160" w:type="dxa"/>
            <w:vAlign w:val="bottom"/>
            <w:vMerge w:val="restart"/>
          </w:tcPr>
          <w:p>
            <w:pPr>
              <w:ind w:left="40"/>
              <w:spacing w:after="0"/>
              <w:rPr>
                <w:sz w:val="20"/>
                <w:szCs w:val="20"/>
                <w:color w:val="auto"/>
              </w:rPr>
            </w:pPr>
            <w:r>
              <w:rPr>
                <w:rFonts w:ascii="Times New Roman" w:cs="Times New Roman" w:eastAsia="Times New Roman" w:hAnsi="Times New Roman"/>
                <w:sz w:val="17"/>
                <w:szCs w:val="17"/>
                <w:b w:val="1"/>
                <w:bCs w:val="1"/>
                <w:color w:val="auto"/>
              </w:rPr>
              <w:t>Current portion of debt:</w:t>
            </w:r>
          </w:p>
        </w:tc>
        <w:tc>
          <w:tcPr>
            <w:tcW w:w="18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5"/>
        </w:trPr>
        <w:tc>
          <w:tcPr>
            <w:tcW w:w="716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
        </w:trPr>
        <w:tc>
          <w:tcPr>
            <w:tcW w:w="7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1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Extinguishment of Impax historical current term loan obligation</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4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(20,000)</w:t>
            </w:r>
          </w:p>
        </w:tc>
        <w:tc>
          <w:tcPr>
            <w:tcW w:w="0" w:type="dxa"/>
            <w:vAlign w:val="bottom"/>
          </w:tcPr>
          <w:p>
            <w:pPr>
              <w:spacing w:after="0"/>
              <w:rPr>
                <w:sz w:val="1"/>
                <w:szCs w:val="1"/>
                <w:color w:val="auto"/>
              </w:rPr>
            </w:pPr>
          </w:p>
        </w:tc>
      </w:tr>
      <w:tr>
        <w:trPr>
          <w:trHeight w:val="257"/>
        </w:trPr>
        <w:tc>
          <w:tcPr>
            <w:tcW w:w="7160" w:type="dxa"/>
            <w:vAlign w:val="bottom"/>
            <w:tcBorders>
              <w:bottom w:val="single" w:sz="8" w:color="CCEEFF"/>
            </w:tcBorders>
          </w:tcPr>
          <w:p>
            <w:pPr>
              <w:ind w:left="40"/>
              <w:spacing w:after="0" w:line="257" w:lineRule="exact"/>
              <w:rPr>
                <w:sz w:val="20"/>
                <w:szCs w:val="20"/>
                <w:color w:val="auto"/>
              </w:rPr>
            </w:pPr>
            <w:r>
              <w:rPr>
                <w:rFonts w:ascii="Times New Roman" w:cs="Times New Roman" w:eastAsia="Times New Roman" w:hAnsi="Times New Roman"/>
                <w:sz w:val="17"/>
                <w:szCs w:val="17"/>
                <w:color w:val="auto"/>
              </w:rPr>
              <w:t>Write-off of Impax historical current deferred financing fees</w:t>
            </w:r>
            <w:r>
              <w:rPr>
                <w:rFonts w:ascii="Times New Roman" w:cs="Times New Roman" w:eastAsia="Times New Roman" w:hAnsi="Times New Roman"/>
                <w:sz w:val="28"/>
                <w:szCs w:val="28"/>
                <w:color w:val="auto"/>
                <w:vertAlign w:val="superscript"/>
              </w:rPr>
              <w:t>(1)</w:t>
            </w:r>
          </w:p>
        </w:tc>
        <w:tc>
          <w:tcPr>
            <w:tcW w:w="180" w:type="dxa"/>
            <w:vAlign w:val="bottom"/>
            <w:tcBorders>
              <w:bottom w:val="single" w:sz="8" w:color="auto"/>
            </w:tcBorders>
          </w:tcPr>
          <w:p>
            <w:pPr>
              <w:spacing w:after="0"/>
              <w:rPr>
                <w:sz w:val="22"/>
                <w:szCs w:val="22"/>
                <w:color w:val="auto"/>
              </w:rPr>
            </w:pPr>
          </w:p>
        </w:tc>
        <w:tc>
          <w:tcPr>
            <w:tcW w:w="1440" w:type="dxa"/>
            <w:vAlign w:val="bottom"/>
            <w:tcBorders>
              <w:bottom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color w:val="auto"/>
              </w:rPr>
              <w:t>2,141</w:t>
            </w:r>
          </w:p>
        </w:tc>
        <w:tc>
          <w:tcPr>
            <w:tcW w:w="0" w:type="dxa"/>
            <w:vAlign w:val="bottom"/>
          </w:tcPr>
          <w:p>
            <w:pPr>
              <w:spacing w:after="0"/>
              <w:rPr>
                <w:sz w:val="1"/>
                <w:szCs w:val="1"/>
                <w:color w:val="auto"/>
              </w:rPr>
            </w:pPr>
          </w:p>
        </w:tc>
      </w:tr>
      <w:tr>
        <w:trPr>
          <w:trHeight w:val="244"/>
        </w:trPr>
        <w:tc>
          <w:tcPr>
            <w:tcW w:w="716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7"/>
                <w:szCs w:val="17"/>
                <w:b w:val="1"/>
                <w:bCs w:val="1"/>
                <w:color w:val="auto"/>
              </w:rPr>
              <w:t>Total adjustment to current portion of debt</w:t>
            </w: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(17,859)</w:t>
            </w:r>
          </w:p>
        </w:tc>
        <w:tc>
          <w:tcPr>
            <w:tcW w:w="0" w:type="dxa"/>
            <w:vAlign w:val="bottom"/>
          </w:tcPr>
          <w:p>
            <w:pPr>
              <w:spacing w:after="0"/>
              <w:rPr>
                <w:sz w:val="1"/>
                <w:szCs w:val="1"/>
                <w:color w:val="auto"/>
              </w:rPr>
            </w:pPr>
          </w:p>
        </w:tc>
      </w:tr>
      <w:tr>
        <w:trPr>
          <w:trHeight w:val="20"/>
        </w:trPr>
        <w:tc>
          <w:tcPr>
            <w:tcW w:w="7160" w:type="dxa"/>
            <w:vAlign w:val="bottom"/>
            <w:vMerge w:val="restart"/>
          </w:tcPr>
          <w:p>
            <w:pPr>
              <w:ind w:left="40"/>
              <w:spacing w:after="0"/>
              <w:rPr>
                <w:sz w:val="20"/>
                <w:szCs w:val="20"/>
                <w:color w:val="auto"/>
              </w:rPr>
            </w:pPr>
            <w:r>
              <w:rPr>
                <w:rFonts w:ascii="Times New Roman" w:cs="Times New Roman" w:eastAsia="Times New Roman" w:hAnsi="Times New Roman"/>
                <w:sz w:val="17"/>
                <w:szCs w:val="17"/>
                <w:b w:val="1"/>
                <w:bCs w:val="1"/>
                <w:color w:val="auto"/>
              </w:rPr>
              <w:t>Debt, net of current portion:</w:t>
            </w:r>
          </w:p>
        </w:tc>
        <w:tc>
          <w:tcPr>
            <w:tcW w:w="18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8"/>
        </w:trPr>
        <w:tc>
          <w:tcPr>
            <w:tcW w:w="7160" w:type="dxa"/>
            <w:vAlign w:val="bottom"/>
            <w:vMerge w:val="continue"/>
          </w:tcPr>
          <w:p>
            <w:pPr>
              <w:spacing w:after="0"/>
              <w:rPr>
                <w:sz w:val="19"/>
                <w:szCs w:val="19"/>
                <w:color w:val="auto"/>
              </w:rPr>
            </w:pPr>
          </w:p>
        </w:tc>
        <w:tc>
          <w:tcPr>
            <w:tcW w:w="18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9"/>
        </w:trPr>
        <w:tc>
          <w:tcPr>
            <w:tcW w:w="7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1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Extinguishment of Impax historical long-term term loan obligation</w:t>
            </w:r>
          </w:p>
        </w:tc>
        <w:tc>
          <w:tcPr>
            <w:tcW w:w="180" w:type="dxa"/>
            <w:vAlign w:val="bottom"/>
            <w:tcBorders>
              <w:bottom w:val="single" w:sz="8" w:color="CCEEFF"/>
            </w:tcBorders>
            <w:shd w:val="clear" w:color="auto" w:fill="CCEEFF"/>
          </w:tcPr>
          <w:p>
            <w:pPr>
              <w:spacing w:after="0"/>
              <w:rPr>
                <w:sz w:val="20"/>
                <w:szCs w:val="20"/>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(300,000)</w:t>
            </w:r>
          </w:p>
        </w:tc>
        <w:tc>
          <w:tcPr>
            <w:tcW w:w="0" w:type="dxa"/>
            <w:vAlign w:val="bottom"/>
          </w:tcPr>
          <w:p>
            <w:pPr>
              <w:spacing w:after="0"/>
              <w:rPr>
                <w:sz w:val="1"/>
                <w:szCs w:val="1"/>
                <w:color w:val="auto"/>
              </w:rPr>
            </w:pPr>
          </w:p>
        </w:tc>
      </w:tr>
      <w:tr>
        <w:trPr>
          <w:trHeight w:val="257"/>
        </w:trPr>
        <w:tc>
          <w:tcPr>
            <w:tcW w:w="7160" w:type="dxa"/>
            <w:vAlign w:val="bottom"/>
          </w:tcPr>
          <w:p>
            <w:pPr>
              <w:ind w:left="40"/>
              <w:spacing w:after="0" w:line="257" w:lineRule="exact"/>
              <w:rPr>
                <w:sz w:val="20"/>
                <w:szCs w:val="20"/>
                <w:color w:val="auto"/>
              </w:rPr>
            </w:pPr>
            <w:r>
              <w:rPr>
                <w:rFonts w:ascii="Times New Roman" w:cs="Times New Roman" w:eastAsia="Times New Roman" w:hAnsi="Times New Roman"/>
                <w:sz w:val="17"/>
                <w:szCs w:val="17"/>
                <w:color w:val="auto"/>
              </w:rPr>
              <w:t>Write-off of Impax historical long-term deferred financing fees</w:t>
            </w:r>
            <w:r>
              <w:rPr>
                <w:rFonts w:ascii="Times New Roman" w:cs="Times New Roman" w:eastAsia="Times New Roman" w:hAnsi="Times New Roman"/>
                <w:sz w:val="28"/>
                <w:szCs w:val="28"/>
                <w:color w:val="auto"/>
                <w:vertAlign w:val="superscript"/>
              </w:rPr>
              <w:t>(1)</w:t>
            </w:r>
          </w:p>
        </w:tc>
        <w:tc>
          <w:tcPr>
            <w:tcW w:w="180" w:type="dxa"/>
            <w:vAlign w:val="bottom"/>
          </w:tcPr>
          <w:p>
            <w:pPr>
              <w:spacing w:after="0"/>
              <w:rPr>
                <w:sz w:val="22"/>
                <w:szCs w:val="22"/>
                <w:color w:val="auto"/>
              </w:rPr>
            </w:pPr>
          </w:p>
        </w:tc>
        <w:tc>
          <w:tcPr>
            <w:tcW w:w="144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17,288</w:t>
            </w:r>
          </w:p>
        </w:tc>
        <w:tc>
          <w:tcPr>
            <w:tcW w:w="0" w:type="dxa"/>
            <w:vAlign w:val="bottom"/>
          </w:tcPr>
          <w:p>
            <w:pPr>
              <w:spacing w:after="0"/>
              <w:rPr>
                <w:sz w:val="1"/>
                <w:szCs w:val="1"/>
                <w:color w:val="auto"/>
              </w:rPr>
            </w:pPr>
          </w:p>
        </w:tc>
      </w:tr>
      <w:tr>
        <w:trPr>
          <w:trHeight w:val="257"/>
        </w:trPr>
        <w:tc>
          <w:tcPr>
            <w:tcW w:w="71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Adjustment to record fair value of Impax historical convertible notes</w:t>
            </w:r>
          </w:p>
        </w:tc>
        <w:tc>
          <w:tcPr>
            <w:tcW w:w="180" w:type="dxa"/>
            <w:vAlign w:val="bottom"/>
            <w:tcBorders>
              <w:bottom w:val="single" w:sz="8" w:color="CCEEFF"/>
            </w:tcBorders>
            <w:shd w:val="clear" w:color="auto" w:fill="CCEEFF"/>
          </w:tcPr>
          <w:p>
            <w:pPr>
              <w:spacing w:after="0"/>
              <w:rPr>
                <w:sz w:val="22"/>
                <w:szCs w:val="22"/>
                <w:color w:val="auto"/>
              </w:rPr>
            </w:pPr>
          </w:p>
        </w:tc>
        <w:tc>
          <w:tcPr>
            <w:tcW w:w="144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111,496</w:t>
            </w:r>
          </w:p>
        </w:tc>
        <w:tc>
          <w:tcPr>
            <w:tcW w:w="0" w:type="dxa"/>
            <w:vAlign w:val="bottom"/>
          </w:tcPr>
          <w:p>
            <w:pPr>
              <w:spacing w:after="0"/>
              <w:rPr>
                <w:sz w:val="1"/>
                <w:szCs w:val="1"/>
                <w:color w:val="auto"/>
              </w:rPr>
            </w:pPr>
          </w:p>
        </w:tc>
      </w:tr>
      <w:tr>
        <w:trPr>
          <w:trHeight w:val="235"/>
        </w:trPr>
        <w:tc>
          <w:tcPr>
            <w:tcW w:w="7160" w:type="dxa"/>
            <w:vAlign w:val="bottom"/>
          </w:tcPr>
          <w:p>
            <w:pPr>
              <w:ind w:left="500"/>
              <w:spacing w:after="0"/>
              <w:rPr>
                <w:sz w:val="20"/>
                <w:szCs w:val="20"/>
                <w:color w:val="auto"/>
              </w:rPr>
            </w:pPr>
            <w:r>
              <w:rPr>
                <w:rFonts w:ascii="Times New Roman" w:cs="Times New Roman" w:eastAsia="Times New Roman" w:hAnsi="Times New Roman"/>
                <w:sz w:val="17"/>
                <w:szCs w:val="17"/>
                <w:b w:val="1"/>
                <w:bCs w:val="1"/>
                <w:color w:val="auto"/>
              </w:rPr>
              <w:t>Total adjustment to debt, net of current portion</w:t>
            </w:r>
          </w:p>
        </w:tc>
        <w:tc>
          <w:tcPr>
            <w:tcW w:w="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4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(171,216)</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5565775" cy="4286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565775" cy="428625"/>
                    </a:xfrm>
                    <a:prstGeom prst="rect">
                      <a:avLst/>
                    </a:prstGeom>
                    <a:noFill/>
                  </pic:spPr>
                </pic:pic>
              </a:graphicData>
            </a:graphic>
          </wp:anchor>
        </w:drawing>
      </w:r>
    </w:p>
    <w:p>
      <w:pPr>
        <w:spacing w:after="0" w:line="14" w:lineRule="exact"/>
        <w:rPr>
          <w:sz w:val="20"/>
          <w:szCs w:val="20"/>
          <w:color w:val="auto"/>
        </w:rPr>
      </w:pPr>
    </w:p>
    <w:p>
      <w:pPr>
        <w:ind w:left="40" w:right="2720" w:hanging="5"/>
        <w:spacing w:after="0" w:line="265" w:lineRule="auto"/>
        <w:tabs>
          <w:tab w:leader="none" w:pos="282" w:val="left"/>
        </w:tabs>
        <w:numPr>
          <w:ilvl w:val="1"/>
          <w:numId w:val="2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write-off of deferred financing fees is recorded against accumulated deficit solely for the purposes of this presentation. As there is no continuing impact of the write-off on New Amneal’s results, the debt fees are not included in the unaudited pro forma condensed combined statements of operations.</w:t>
      </w:r>
    </w:p>
    <w:p>
      <w:pPr>
        <w:spacing w:after="0" w:line="206" w:lineRule="exact"/>
        <w:rPr>
          <w:rFonts w:ascii="Times New Roman" w:cs="Times New Roman" w:eastAsia="Times New Roman" w:hAnsi="Times New Roman"/>
          <w:sz w:val="17"/>
          <w:szCs w:val="17"/>
          <w:color w:val="auto"/>
        </w:rPr>
      </w:pPr>
    </w:p>
    <w:p>
      <w:pPr>
        <w:ind w:left="340" w:hanging="332"/>
        <w:spacing w:after="0"/>
        <w:tabs>
          <w:tab w:leader="none" w:pos="34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Adjustment to the components of permanent equity represent the following:</w:t>
      </w:r>
    </w:p>
    <w:p>
      <w:pPr>
        <w:spacing w:after="0" w:line="380" w:lineRule="exact"/>
        <w:rPr>
          <w:sz w:val="20"/>
          <w:szCs w:val="20"/>
          <w:color w:val="auto"/>
        </w:rPr>
      </w:pPr>
    </w:p>
    <w:tbl>
      <w:tblPr>
        <w:tblLayout w:type="fixed"/>
        <w:tblInd w:w="0" w:type="dxa"/>
        <w:tblCellMar>
          <w:top w:w="0" w:type="dxa"/>
          <w:left w:w="0" w:type="dxa"/>
          <w:bottom w:w="0" w:type="dxa"/>
          <w:right w:w="0" w:type="dxa"/>
        </w:tblCellMar>
      </w:tblPr>
      <w:tr>
        <w:trPr>
          <w:trHeight w:val="226"/>
        </w:trPr>
        <w:tc>
          <w:tcPr>
            <w:tcW w:w="35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100" w:type="dxa"/>
            <w:vAlign w:val="bottom"/>
            <w:gridSpan w:val="3"/>
          </w:tcPr>
          <w:p>
            <w:pPr>
              <w:ind w:left="80"/>
              <w:spacing w:after="0"/>
              <w:rPr>
                <w:sz w:val="20"/>
                <w:szCs w:val="20"/>
                <w:color w:val="auto"/>
              </w:rPr>
            </w:pPr>
            <w:r>
              <w:rPr>
                <w:rFonts w:ascii="Times New Roman" w:cs="Times New Roman" w:eastAsia="Times New Roman" w:hAnsi="Times New Roman"/>
                <w:sz w:val="17"/>
                <w:szCs w:val="17"/>
                <w:b w:val="1"/>
                <w:bCs w:val="1"/>
                <w:color w:val="auto"/>
              </w:rPr>
              <w:t>As of March 31, 2018</w:t>
            </w:r>
          </w:p>
        </w:tc>
        <w:tc>
          <w:tcPr>
            <w:tcW w:w="180" w:type="dxa"/>
            <w:vAlign w:val="bottom"/>
          </w:tcPr>
          <w:p>
            <w:pPr>
              <w:spacing w:after="0"/>
              <w:rPr>
                <w:sz w:val="19"/>
                <w:szCs w:val="19"/>
                <w:color w:val="auto"/>
              </w:rPr>
            </w:pPr>
          </w:p>
        </w:tc>
        <w:tc>
          <w:tcPr>
            <w:tcW w:w="1160" w:type="dxa"/>
            <w:vAlign w:val="bottom"/>
          </w:tcPr>
          <w:p>
            <w:pPr>
              <w:spacing w:after="0"/>
              <w:rPr>
                <w:sz w:val="19"/>
                <w:szCs w:val="19"/>
                <w:color w:val="auto"/>
              </w:rPr>
            </w:pPr>
          </w:p>
        </w:tc>
      </w:tr>
      <w:tr>
        <w:trPr>
          <w:trHeight w:val="43"/>
        </w:trPr>
        <w:tc>
          <w:tcPr>
            <w:tcW w:w="3540" w:type="dxa"/>
            <w:vAlign w:val="bottom"/>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620" w:type="dxa"/>
            <w:vAlign w:val="bottom"/>
            <w:tcBorders>
              <w:bottom w:val="single" w:sz="8" w:color="auto"/>
            </w:tcBorders>
            <w:gridSpan w:val="2"/>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1820" w:type="dxa"/>
            <w:vAlign w:val="bottom"/>
            <w:tcBorders>
              <w:bottom w:val="single" w:sz="8" w:color="auto"/>
            </w:tcBorders>
            <w:gridSpan w:val="2"/>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1160" w:type="dxa"/>
            <w:vAlign w:val="bottom"/>
            <w:tcBorders>
              <w:bottom w:val="single" w:sz="8" w:color="auto"/>
            </w:tcBorders>
          </w:tcPr>
          <w:p>
            <w:pPr>
              <w:spacing w:after="0"/>
              <w:rPr>
                <w:sz w:val="3"/>
                <w:szCs w:val="3"/>
                <w:color w:val="auto"/>
              </w:rPr>
            </w:pPr>
          </w:p>
        </w:tc>
      </w:tr>
      <w:tr>
        <w:trPr>
          <w:trHeight w:val="235"/>
        </w:trPr>
        <w:tc>
          <w:tcPr>
            <w:tcW w:w="35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20" w:type="dxa"/>
            <w:vAlign w:val="bottom"/>
            <w:gridSpan w:val="2"/>
          </w:tcPr>
          <w:p>
            <w:pPr>
              <w:jc w:val="center"/>
              <w:ind w:right="300"/>
              <w:spacing w:after="0"/>
              <w:rPr>
                <w:sz w:val="20"/>
                <w:szCs w:val="20"/>
                <w:color w:val="auto"/>
              </w:rPr>
            </w:pPr>
            <w:r>
              <w:rPr>
                <w:rFonts w:ascii="Times New Roman" w:cs="Times New Roman" w:eastAsia="Times New Roman" w:hAnsi="Times New Roman"/>
                <w:sz w:val="17"/>
                <w:szCs w:val="17"/>
                <w:b w:val="1"/>
                <w:bCs w:val="1"/>
                <w:color w:val="auto"/>
              </w:rPr>
              <w:t>Eliminate</w:t>
            </w:r>
          </w:p>
        </w:tc>
        <w:tc>
          <w:tcPr>
            <w:tcW w:w="280" w:type="dxa"/>
            <w:vAlign w:val="bottom"/>
          </w:tcPr>
          <w:p>
            <w:pPr>
              <w:spacing w:after="0"/>
              <w:rPr>
                <w:sz w:val="20"/>
                <w:szCs w:val="20"/>
                <w:color w:val="auto"/>
              </w:rPr>
            </w:pPr>
          </w:p>
        </w:tc>
        <w:tc>
          <w:tcPr>
            <w:tcW w:w="1820" w:type="dxa"/>
            <w:vAlign w:val="bottom"/>
            <w:gridSpan w:val="2"/>
          </w:tcPr>
          <w:p>
            <w:pPr>
              <w:jc w:val="center"/>
              <w:ind w:right="420"/>
              <w:spacing w:after="0"/>
              <w:rPr>
                <w:sz w:val="20"/>
                <w:szCs w:val="20"/>
                <w:color w:val="auto"/>
              </w:rPr>
            </w:pPr>
            <w:r>
              <w:rPr>
                <w:rFonts w:ascii="Times New Roman" w:cs="Times New Roman" w:eastAsia="Times New Roman" w:hAnsi="Times New Roman"/>
                <w:sz w:val="17"/>
                <w:szCs w:val="17"/>
                <w:b w:val="1"/>
                <w:bCs w:val="1"/>
                <w:color w:val="auto"/>
              </w:rPr>
              <w:t>Record the</w:t>
            </w:r>
          </w:p>
        </w:tc>
        <w:tc>
          <w:tcPr>
            <w:tcW w:w="180" w:type="dxa"/>
            <w:vAlign w:val="bottom"/>
          </w:tcPr>
          <w:p>
            <w:pPr>
              <w:spacing w:after="0"/>
              <w:rPr>
                <w:sz w:val="20"/>
                <w:szCs w:val="20"/>
                <w:color w:val="auto"/>
              </w:rPr>
            </w:pPr>
          </w:p>
        </w:tc>
        <w:tc>
          <w:tcPr>
            <w:tcW w:w="1160" w:type="dxa"/>
            <w:vAlign w:val="bottom"/>
          </w:tcPr>
          <w:p>
            <w:pPr>
              <w:jc w:val="center"/>
              <w:ind w:right="75"/>
              <w:spacing w:after="0"/>
              <w:rPr>
                <w:sz w:val="20"/>
                <w:szCs w:val="20"/>
                <w:color w:val="auto"/>
              </w:rPr>
            </w:pPr>
            <w:r>
              <w:rPr>
                <w:rFonts w:ascii="Times New Roman" w:cs="Times New Roman" w:eastAsia="Times New Roman" w:hAnsi="Times New Roman"/>
                <w:sz w:val="17"/>
                <w:szCs w:val="17"/>
                <w:b w:val="1"/>
                <w:bCs w:val="1"/>
                <w:color w:val="auto"/>
                <w:w w:val="92"/>
              </w:rPr>
              <w:t>Total</w:t>
            </w:r>
          </w:p>
        </w:tc>
      </w:tr>
      <w:tr>
        <w:trPr>
          <w:trHeight w:val="233"/>
        </w:trPr>
        <w:tc>
          <w:tcPr>
            <w:tcW w:w="35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20" w:type="dxa"/>
            <w:vAlign w:val="bottom"/>
            <w:gridSpan w:val="2"/>
          </w:tcPr>
          <w:p>
            <w:pPr>
              <w:jc w:val="center"/>
              <w:ind w:right="300"/>
              <w:spacing w:after="0"/>
              <w:rPr>
                <w:sz w:val="20"/>
                <w:szCs w:val="20"/>
                <w:color w:val="auto"/>
              </w:rPr>
            </w:pPr>
            <w:r>
              <w:rPr>
                <w:rFonts w:ascii="Times New Roman" w:cs="Times New Roman" w:eastAsia="Times New Roman" w:hAnsi="Times New Roman"/>
                <w:sz w:val="17"/>
                <w:szCs w:val="17"/>
                <w:b w:val="1"/>
                <w:bCs w:val="1"/>
                <w:color w:val="auto"/>
              </w:rPr>
              <w:t>Historical Impax</w:t>
            </w:r>
          </w:p>
        </w:tc>
        <w:tc>
          <w:tcPr>
            <w:tcW w:w="280" w:type="dxa"/>
            <w:vAlign w:val="bottom"/>
          </w:tcPr>
          <w:p>
            <w:pPr>
              <w:spacing w:after="0"/>
              <w:rPr>
                <w:sz w:val="20"/>
                <w:szCs w:val="20"/>
                <w:color w:val="auto"/>
              </w:rPr>
            </w:pPr>
          </w:p>
        </w:tc>
        <w:tc>
          <w:tcPr>
            <w:tcW w:w="1820" w:type="dxa"/>
            <w:vAlign w:val="bottom"/>
            <w:gridSpan w:val="2"/>
          </w:tcPr>
          <w:p>
            <w:pPr>
              <w:jc w:val="center"/>
              <w:ind w:right="420"/>
              <w:spacing w:after="0"/>
              <w:rPr>
                <w:sz w:val="20"/>
                <w:szCs w:val="20"/>
                <w:color w:val="auto"/>
              </w:rPr>
            </w:pPr>
            <w:r>
              <w:rPr>
                <w:rFonts w:ascii="Times New Roman" w:cs="Times New Roman" w:eastAsia="Times New Roman" w:hAnsi="Times New Roman"/>
                <w:sz w:val="17"/>
                <w:szCs w:val="17"/>
                <w:b w:val="1"/>
                <w:bCs w:val="1"/>
                <w:color w:val="auto"/>
              </w:rPr>
              <w:t>Combination</w:t>
            </w:r>
          </w:p>
        </w:tc>
        <w:tc>
          <w:tcPr>
            <w:tcW w:w="180" w:type="dxa"/>
            <w:vAlign w:val="bottom"/>
          </w:tcPr>
          <w:p>
            <w:pPr>
              <w:spacing w:after="0"/>
              <w:rPr>
                <w:sz w:val="20"/>
                <w:szCs w:val="20"/>
                <w:color w:val="auto"/>
              </w:rPr>
            </w:pPr>
          </w:p>
        </w:tc>
        <w:tc>
          <w:tcPr>
            <w:tcW w:w="1160" w:type="dxa"/>
            <w:vAlign w:val="bottom"/>
          </w:tcPr>
          <w:p>
            <w:pPr>
              <w:jc w:val="center"/>
              <w:ind w:right="75"/>
              <w:spacing w:after="0"/>
              <w:rPr>
                <w:sz w:val="20"/>
                <w:szCs w:val="20"/>
                <w:color w:val="auto"/>
              </w:rPr>
            </w:pPr>
            <w:r>
              <w:rPr>
                <w:rFonts w:ascii="Times New Roman" w:cs="Times New Roman" w:eastAsia="Times New Roman" w:hAnsi="Times New Roman"/>
                <w:sz w:val="17"/>
                <w:szCs w:val="17"/>
                <w:b w:val="1"/>
                <w:bCs w:val="1"/>
                <w:color w:val="auto"/>
              </w:rPr>
              <w:t>Pro Forma</w:t>
            </w:r>
          </w:p>
        </w:tc>
      </w:tr>
      <w:tr>
        <w:trPr>
          <w:trHeight w:val="255"/>
        </w:trPr>
        <w:tc>
          <w:tcPr>
            <w:tcW w:w="3540" w:type="dxa"/>
            <w:vAlign w:val="bottom"/>
          </w:tcPr>
          <w:p>
            <w:pPr>
              <w:ind w:left="40"/>
              <w:spacing w:after="0"/>
              <w:rPr>
                <w:sz w:val="20"/>
                <w:szCs w:val="20"/>
                <w:color w:val="auto"/>
              </w:rPr>
            </w:pPr>
            <w:r>
              <w:rPr>
                <w:rFonts w:ascii="Times New Roman" w:cs="Times New Roman" w:eastAsia="Times New Roman" w:hAnsi="Times New Roman"/>
                <w:sz w:val="17"/>
                <w:szCs w:val="17"/>
                <w:i w:val="1"/>
                <w:iCs w:val="1"/>
                <w:color w:val="auto"/>
              </w:rPr>
              <w:t>(in thousands)</w:t>
            </w:r>
          </w:p>
        </w:tc>
        <w:tc>
          <w:tcPr>
            <w:tcW w:w="140" w:type="dxa"/>
            <w:vAlign w:val="bottom"/>
            <w:tcBorders>
              <w:bottom w:val="single" w:sz="8" w:color="auto"/>
            </w:tcBorders>
          </w:tcPr>
          <w:p>
            <w:pPr>
              <w:spacing w:after="0"/>
              <w:rPr>
                <w:sz w:val="22"/>
                <w:szCs w:val="22"/>
                <w:color w:val="auto"/>
              </w:rPr>
            </w:pPr>
          </w:p>
        </w:tc>
        <w:tc>
          <w:tcPr>
            <w:tcW w:w="1460" w:type="dxa"/>
            <w:vAlign w:val="bottom"/>
            <w:tcBorders>
              <w:bottom w:val="single" w:sz="8" w:color="auto"/>
            </w:tcBorders>
          </w:tcPr>
          <w:p>
            <w:pPr>
              <w:jc w:val="center"/>
              <w:ind w:right="75"/>
              <w:spacing w:after="0" w:line="255" w:lineRule="exact"/>
              <w:rPr>
                <w:sz w:val="20"/>
                <w:szCs w:val="20"/>
                <w:color w:val="auto"/>
              </w:rPr>
            </w:pPr>
            <w:r>
              <w:rPr>
                <w:rFonts w:ascii="Times New Roman" w:cs="Times New Roman" w:eastAsia="Times New Roman" w:hAnsi="Times New Roman"/>
                <w:sz w:val="17"/>
                <w:szCs w:val="17"/>
                <w:b w:val="1"/>
                <w:bCs w:val="1"/>
                <w:color w:val="auto"/>
                <w:w w:val="93"/>
              </w:rPr>
              <w:t>Equity</w:t>
            </w:r>
            <w:r>
              <w:rPr>
                <w:rFonts w:ascii="Times New Roman" w:cs="Times New Roman" w:eastAsia="Times New Roman" w:hAnsi="Times New Roman"/>
                <w:sz w:val="28"/>
                <w:szCs w:val="28"/>
                <w:b w:val="1"/>
                <w:bCs w:val="1"/>
                <w:color w:val="auto"/>
                <w:w w:val="93"/>
                <w:vertAlign w:val="superscript"/>
              </w:rPr>
              <w:t>(1)</w:t>
            </w:r>
          </w:p>
        </w:tc>
        <w:tc>
          <w:tcPr>
            <w:tcW w:w="160" w:type="dxa"/>
            <w:vAlign w:val="bottom"/>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660" w:type="dxa"/>
            <w:vAlign w:val="bottom"/>
            <w:tcBorders>
              <w:bottom w:val="single" w:sz="8" w:color="auto"/>
            </w:tcBorders>
          </w:tcPr>
          <w:p>
            <w:pPr>
              <w:jc w:val="center"/>
              <w:ind w:right="175"/>
              <w:spacing w:after="0"/>
              <w:rPr>
                <w:sz w:val="20"/>
                <w:szCs w:val="20"/>
                <w:color w:val="auto"/>
              </w:rPr>
            </w:pPr>
            <w:r>
              <w:rPr>
                <w:rFonts w:ascii="Times New Roman" w:cs="Times New Roman" w:eastAsia="Times New Roman" w:hAnsi="Times New Roman"/>
                <w:sz w:val="17"/>
                <w:szCs w:val="17"/>
                <w:b w:val="1"/>
                <w:bCs w:val="1"/>
                <w:color w:val="auto"/>
              </w:rPr>
              <w:t>Consideration</w:t>
            </w:r>
          </w:p>
        </w:tc>
        <w:tc>
          <w:tcPr>
            <w:tcW w:w="16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center"/>
              <w:ind w:right="95"/>
              <w:spacing w:after="0"/>
              <w:rPr>
                <w:sz w:val="20"/>
                <w:szCs w:val="20"/>
                <w:color w:val="auto"/>
              </w:rPr>
            </w:pPr>
            <w:r>
              <w:rPr>
                <w:rFonts w:ascii="Times New Roman" w:cs="Times New Roman" w:eastAsia="Times New Roman" w:hAnsi="Times New Roman"/>
                <w:sz w:val="17"/>
                <w:szCs w:val="17"/>
                <w:b w:val="1"/>
                <w:bCs w:val="1"/>
                <w:color w:val="auto"/>
              </w:rPr>
              <w:t>Adjustment</w:t>
            </w:r>
          </w:p>
        </w:tc>
      </w:tr>
      <w:tr>
        <w:trPr>
          <w:trHeight w:val="221"/>
        </w:trPr>
        <w:tc>
          <w:tcPr>
            <w:tcW w:w="35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Preferred stock</w:t>
            </w:r>
          </w:p>
        </w:tc>
        <w:tc>
          <w:tcPr>
            <w:tcW w:w="14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620" w:type="dxa"/>
            <w:vAlign w:val="bottom"/>
            <w:gridSpan w:val="2"/>
          </w:tcPr>
          <w:p>
            <w:pPr>
              <w:jc w:val="right"/>
              <w:ind w:right="260"/>
              <w:spacing w:after="0"/>
              <w:rPr>
                <w:sz w:val="20"/>
                <w:szCs w:val="20"/>
                <w:color w:val="auto"/>
              </w:rPr>
            </w:pPr>
            <w:r>
              <w:rPr>
                <w:rFonts w:ascii="Times New Roman" w:cs="Times New Roman" w:eastAsia="Times New Roman" w:hAnsi="Times New Roman"/>
                <w:sz w:val="17"/>
                <w:szCs w:val="17"/>
                <w:color w:val="auto"/>
              </w:rPr>
              <w:t>—</w:t>
            </w:r>
          </w:p>
        </w:tc>
        <w:tc>
          <w:tcPr>
            <w:tcW w:w="280" w:type="dxa"/>
            <w:vAlign w:val="bottom"/>
          </w:tcPr>
          <w:p>
            <w:pPr>
              <w:jc w:val="right"/>
              <w:ind w:right="75"/>
              <w:spacing w:after="0"/>
              <w:rPr>
                <w:sz w:val="20"/>
                <w:szCs w:val="20"/>
                <w:color w:val="auto"/>
              </w:rPr>
            </w:pPr>
            <w:r>
              <w:rPr>
                <w:rFonts w:ascii="Times New Roman" w:cs="Times New Roman" w:eastAsia="Times New Roman" w:hAnsi="Times New Roman"/>
                <w:sz w:val="17"/>
                <w:szCs w:val="17"/>
                <w:color w:val="auto"/>
              </w:rPr>
              <w:t>$</w:t>
            </w:r>
          </w:p>
        </w:tc>
        <w:tc>
          <w:tcPr>
            <w:tcW w:w="1820" w:type="dxa"/>
            <w:vAlign w:val="bottom"/>
            <w:gridSpan w:val="2"/>
          </w:tcPr>
          <w:p>
            <w:pPr>
              <w:jc w:val="right"/>
              <w:ind w:right="240"/>
              <w:spacing w:after="0"/>
              <w:rPr>
                <w:sz w:val="20"/>
                <w:szCs w:val="20"/>
                <w:color w:val="auto"/>
              </w:rPr>
            </w:pPr>
            <w:r>
              <w:rPr>
                <w:rFonts w:ascii="Times New Roman" w:cs="Times New Roman" w:eastAsia="Times New Roman" w:hAnsi="Times New Roman"/>
                <w:sz w:val="17"/>
                <w:szCs w:val="17"/>
                <w:color w:val="auto"/>
              </w:rPr>
              <w:t>—</w:t>
            </w:r>
          </w:p>
        </w:tc>
        <w:tc>
          <w:tcPr>
            <w:tcW w:w="1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r>
      <w:tr>
        <w:trPr>
          <w:trHeight w:val="29"/>
        </w:trPr>
        <w:tc>
          <w:tcPr>
            <w:tcW w:w="35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35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Impax common stock</w:t>
            </w:r>
          </w:p>
        </w:tc>
        <w:tc>
          <w:tcPr>
            <w:tcW w:w="1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(741)</w:t>
            </w:r>
          </w:p>
        </w:tc>
        <w:tc>
          <w:tcPr>
            <w:tcW w:w="1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8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7"/>
                <w:szCs w:val="17"/>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(741)</w:t>
            </w:r>
          </w:p>
        </w:tc>
      </w:tr>
      <w:tr>
        <w:trPr>
          <w:trHeight w:val="241"/>
        </w:trPr>
        <w:tc>
          <w:tcPr>
            <w:tcW w:w="35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Class A Common Stock</w:t>
            </w:r>
          </w:p>
        </w:tc>
        <w:tc>
          <w:tcPr>
            <w:tcW w:w="140" w:type="dxa"/>
            <w:vAlign w:val="bottom"/>
          </w:tcPr>
          <w:p>
            <w:pPr>
              <w:spacing w:after="0"/>
              <w:rPr>
                <w:sz w:val="20"/>
                <w:szCs w:val="20"/>
                <w:color w:val="auto"/>
              </w:rPr>
            </w:pPr>
          </w:p>
        </w:tc>
        <w:tc>
          <w:tcPr>
            <w:tcW w:w="1620" w:type="dxa"/>
            <w:vAlign w:val="bottom"/>
            <w:gridSpan w:val="2"/>
          </w:tcPr>
          <w:p>
            <w:pPr>
              <w:jc w:val="right"/>
              <w:ind w:right="260"/>
              <w:spacing w:after="0"/>
              <w:rPr>
                <w:sz w:val="20"/>
                <w:szCs w:val="20"/>
                <w:color w:val="auto"/>
              </w:rPr>
            </w:pPr>
            <w:r>
              <w:rPr>
                <w:rFonts w:ascii="Times New Roman" w:cs="Times New Roman" w:eastAsia="Times New Roman" w:hAnsi="Times New Roman"/>
                <w:sz w:val="17"/>
                <w:szCs w:val="17"/>
                <w:color w:val="auto"/>
              </w:rPr>
              <w:t>—</w:t>
            </w:r>
          </w:p>
        </w:tc>
        <w:tc>
          <w:tcPr>
            <w:tcW w:w="280" w:type="dxa"/>
            <w:vAlign w:val="bottom"/>
          </w:tcPr>
          <w:p>
            <w:pPr>
              <w:spacing w:after="0"/>
              <w:rPr>
                <w:sz w:val="20"/>
                <w:szCs w:val="20"/>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733</w:t>
            </w: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733</w:t>
            </w:r>
          </w:p>
        </w:tc>
      </w:tr>
      <w:tr>
        <w:trPr>
          <w:trHeight w:val="29"/>
        </w:trPr>
        <w:tc>
          <w:tcPr>
            <w:tcW w:w="35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35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Class B Common Stock</w:t>
            </w:r>
          </w:p>
        </w:tc>
        <w:tc>
          <w:tcPr>
            <w:tcW w:w="14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7"/>
                <w:szCs w:val="17"/>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8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7"/>
                <w:szCs w:val="17"/>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r>
      <w:tr>
        <w:trPr>
          <w:trHeight w:val="241"/>
        </w:trPr>
        <w:tc>
          <w:tcPr>
            <w:tcW w:w="35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Treasury stock, at cost</w:t>
            </w:r>
          </w:p>
        </w:tc>
        <w:tc>
          <w:tcPr>
            <w:tcW w:w="140" w:type="dxa"/>
            <w:vAlign w:val="bottom"/>
          </w:tcPr>
          <w:p>
            <w:pPr>
              <w:spacing w:after="0"/>
              <w:rPr>
                <w:sz w:val="20"/>
                <w:szCs w:val="20"/>
                <w:color w:val="auto"/>
              </w:rPr>
            </w:pPr>
          </w:p>
        </w:tc>
        <w:tc>
          <w:tcPr>
            <w:tcW w:w="14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2,157</w:t>
            </w: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820" w:type="dxa"/>
            <w:vAlign w:val="bottom"/>
            <w:gridSpan w:val="2"/>
          </w:tcPr>
          <w:p>
            <w:pPr>
              <w:jc w:val="right"/>
              <w:ind w:right="240"/>
              <w:spacing w:after="0"/>
              <w:rPr>
                <w:sz w:val="20"/>
                <w:szCs w:val="20"/>
                <w:color w:val="auto"/>
              </w:rPr>
            </w:pPr>
            <w:r>
              <w:rPr>
                <w:rFonts w:ascii="Times New Roman" w:cs="Times New Roman" w:eastAsia="Times New Roman" w:hAnsi="Times New Roman"/>
                <w:sz w:val="17"/>
                <w:szCs w:val="17"/>
                <w:color w:val="auto"/>
              </w:rPr>
              <w:t>—</w:t>
            </w:r>
          </w:p>
        </w:tc>
        <w:tc>
          <w:tcPr>
            <w:tcW w:w="18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2,157</w:t>
            </w:r>
          </w:p>
        </w:tc>
      </w:tr>
      <w:tr>
        <w:trPr>
          <w:trHeight w:val="29"/>
        </w:trPr>
        <w:tc>
          <w:tcPr>
            <w:tcW w:w="35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35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Additional paid-in capital</w:t>
            </w:r>
          </w:p>
        </w:tc>
        <w:tc>
          <w:tcPr>
            <w:tcW w:w="1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(563,974)</w:t>
            </w:r>
          </w:p>
        </w:tc>
        <w:tc>
          <w:tcPr>
            <w:tcW w:w="1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1,363,062</w:t>
            </w:r>
          </w:p>
        </w:tc>
        <w:tc>
          <w:tcPr>
            <w:tcW w:w="1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799,088</w:t>
            </w:r>
          </w:p>
        </w:tc>
      </w:tr>
      <w:tr>
        <w:trPr>
          <w:trHeight w:val="241"/>
        </w:trPr>
        <w:tc>
          <w:tcPr>
            <w:tcW w:w="35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Accumulated other comprehensive income</w:t>
            </w:r>
          </w:p>
        </w:tc>
        <w:tc>
          <w:tcPr>
            <w:tcW w:w="140" w:type="dxa"/>
            <w:vAlign w:val="bottom"/>
          </w:tcPr>
          <w:p>
            <w:pPr>
              <w:spacing w:after="0"/>
              <w:rPr>
                <w:sz w:val="20"/>
                <w:szCs w:val="20"/>
                <w:color w:val="auto"/>
              </w:rPr>
            </w:pPr>
          </w:p>
        </w:tc>
        <w:tc>
          <w:tcPr>
            <w:tcW w:w="14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(49)</w:t>
            </w: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820" w:type="dxa"/>
            <w:vAlign w:val="bottom"/>
            <w:gridSpan w:val="2"/>
          </w:tcPr>
          <w:p>
            <w:pPr>
              <w:jc w:val="right"/>
              <w:ind w:right="240"/>
              <w:spacing w:after="0"/>
              <w:rPr>
                <w:sz w:val="20"/>
                <w:szCs w:val="20"/>
                <w:color w:val="auto"/>
              </w:rPr>
            </w:pPr>
            <w:r>
              <w:rPr>
                <w:rFonts w:ascii="Times New Roman" w:cs="Times New Roman" w:eastAsia="Times New Roman" w:hAnsi="Times New Roman"/>
                <w:sz w:val="17"/>
                <w:szCs w:val="17"/>
                <w:color w:val="auto"/>
              </w:rPr>
              <w:t>—</w:t>
            </w:r>
          </w:p>
        </w:tc>
        <w:tc>
          <w:tcPr>
            <w:tcW w:w="18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(49)</w:t>
            </w:r>
          </w:p>
        </w:tc>
      </w:tr>
      <w:tr>
        <w:trPr>
          <w:trHeight w:val="29"/>
        </w:trPr>
        <w:tc>
          <w:tcPr>
            <w:tcW w:w="35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70"/>
        </w:trPr>
        <w:tc>
          <w:tcPr>
            <w:tcW w:w="35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(Accumulated deficit) retained earnings</w:t>
            </w:r>
          </w:p>
        </w:tc>
        <w:tc>
          <w:tcPr>
            <w:tcW w:w="140" w:type="dxa"/>
            <w:vAlign w:val="bottom"/>
            <w:tcBorders>
              <w:bottom w:val="single" w:sz="8" w:color="CCEEFF"/>
            </w:tcBorders>
            <w:shd w:val="clear" w:color="auto" w:fill="CCEEFF"/>
          </w:tcPr>
          <w:p>
            <w:pPr>
              <w:spacing w:after="0"/>
              <w:rPr>
                <w:sz w:val="23"/>
                <w:szCs w:val="23"/>
                <w:color w:val="auto"/>
              </w:rPr>
            </w:pPr>
          </w:p>
        </w:tc>
        <w:tc>
          <w:tcPr>
            <w:tcW w:w="14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467,843</w:t>
            </w:r>
          </w:p>
        </w:tc>
        <w:tc>
          <w:tcPr>
            <w:tcW w:w="16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8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7"/>
                <w:szCs w:val="17"/>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467,843</w:t>
            </w:r>
          </w:p>
        </w:tc>
      </w:tr>
      <w:tr>
        <w:trPr>
          <w:trHeight w:val="235"/>
        </w:trPr>
        <w:tc>
          <w:tcPr>
            <w:tcW w:w="3540" w:type="dxa"/>
            <w:vAlign w:val="bottom"/>
          </w:tcPr>
          <w:p>
            <w:pPr>
              <w:ind w:left="240"/>
              <w:spacing w:after="0"/>
              <w:rPr>
                <w:sz w:val="20"/>
                <w:szCs w:val="20"/>
                <w:color w:val="auto"/>
              </w:rPr>
            </w:pPr>
            <w:r>
              <w:rPr>
                <w:rFonts w:ascii="Times New Roman" w:cs="Times New Roman" w:eastAsia="Times New Roman" w:hAnsi="Times New Roman"/>
                <w:sz w:val="17"/>
                <w:szCs w:val="17"/>
                <w:color w:val="auto"/>
              </w:rPr>
              <w:t>Subtotal – stockholders’ (deficit) equity</w:t>
            </w:r>
          </w:p>
        </w:tc>
        <w:tc>
          <w:tcPr>
            <w:tcW w:w="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(94,764)</w:t>
            </w:r>
          </w:p>
        </w:tc>
        <w:tc>
          <w:tcPr>
            <w:tcW w:w="160" w:type="dxa"/>
            <w:vAlign w:val="bottom"/>
          </w:tcPr>
          <w:p>
            <w:pPr>
              <w:spacing w:after="0"/>
              <w:rPr>
                <w:sz w:val="20"/>
                <w:szCs w:val="20"/>
                <w:color w:val="auto"/>
              </w:rPr>
            </w:pPr>
          </w:p>
        </w:tc>
        <w:tc>
          <w:tcPr>
            <w:tcW w:w="280" w:type="dxa"/>
            <w:vAlign w:val="bottom"/>
            <w:tcBorders>
              <w:top w:val="single" w:sz="8" w:color="auto"/>
            </w:tcBorders>
          </w:tcPr>
          <w:p>
            <w:pPr>
              <w:jc w:val="right"/>
              <w:ind w:right="75"/>
              <w:spacing w:after="0"/>
              <w:rPr>
                <w:sz w:val="20"/>
                <w:szCs w:val="20"/>
                <w:color w:val="auto"/>
              </w:rPr>
            </w:pPr>
            <w:r>
              <w:rPr>
                <w:rFonts w:ascii="Times New Roman" w:cs="Times New Roman" w:eastAsia="Times New Roman" w:hAnsi="Times New Roman"/>
                <w:sz w:val="17"/>
                <w:szCs w:val="17"/>
                <w:color w:val="auto"/>
              </w:rPr>
              <w:t>$</w:t>
            </w:r>
          </w:p>
        </w:tc>
        <w:tc>
          <w:tcPr>
            <w:tcW w:w="16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1,363,795</w:t>
            </w:r>
          </w:p>
        </w:tc>
        <w:tc>
          <w:tcPr>
            <w:tcW w:w="16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1,269,031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5548630" cy="1714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548630" cy="171450"/>
                    </a:xfrm>
                    <a:prstGeom prst="rect">
                      <a:avLst/>
                    </a:prstGeom>
                    <a:noFill/>
                  </pic:spPr>
                </pic:pic>
              </a:graphicData>
            </a:graphic>
          </wp:anchor>
        </w:drawing>
      </w:r>
    </w:p>
    <w:p>
      <w:pPr>
        <w:spacing w:after="0" w:line="14" w:lineRule="exact"/>
        <w:rPr>
          <w:sz w:val="20"/>
          <w:szCs w:val="20"/>
          <w:color w:val="auto"/>
        </w:rPr>
      </w:pPr>
    </w:p>
    <w:p>
      <w:pPr>
        <w:ind w:left="280" w:hanging="245"/>
        <w:spacing w:after="0"/>
        <w:tabs>
          <w:tab w:leader="none" w:pos="280" w:val="left"/>
        </w:tabs>
        <w:numPr>
          <w:ilvl w:val="1"/>
          <w:numId w:val="2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Represents the elimination of historical Impax shareholders’ (deficit) equity.</w:t>
      </w:r>
    </w:p>
    <w:p>
      <w:pPr>
        <w:spacing w:after="0" w:line="253" w:lineRule="exact"/>
        <w:rPr>
          <w:rFonts w:ascii="Times New Roman" w:cs="Times New Roman" w:eastAsia="Times New Roman" w:hAnsi="Times New Roman"/>
          <w:sz w:val="17"/>
          <w:szCs w:val="17"/>
          <w:color w:val="auto"/>
        </w:rPr>
      </w:pPr>
    </w:p>
    <w:p>
      <w:pPr>
        <w:jc w:val="both"/>
        <w:ind w:left="340" w:hanging="332"/>
        <w:spacing w:after="0" w:line="255" w:lineRule="auto"/>
        <w:tabs>
          <w:tab w:leader="none" w:pos="3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New Amneal will be subject to U.S. federal and state income taxes and will file consolidated income tax returns for U.S. federal and certain state jurisdictions. All tax attributes and related tax adjustments are recorded based on New Amneal’s tax basis in its Amneal partnership interest in comparison to New Amneal’s proportionate share of the GAAP basis in assets held directly by Amneal (a tax-transparent entity). Adjustment to record the income tax impacts of (i) the pro forma adjustments, and (ii) the 75% share of Impax unadjusted income tax expense which is allocable to each of Amneal, Holdings, AP Class D Member, LLC, AP Class E Member, LLC and AH PPU Management, LLC (collectively, the “Existing Amneal Members”). The incremental tax impacts were calculated using an estimated statutory tax rate of 23.5% and 37.1% for the three months ended March 31, 2018 and the year ended December 31, 2017, respectively. These rates do not reflect New Amneal’s effective tax rate, which includes other items and may be significantly different than the rates assumed for purposes of preparing these statements.</w:t>
      </w:r>
    </w:p>
    <w:p>
      <w:pPr>
        <w:spacing w:after="0" w:line="185"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Adjustment to eliminate the historical interest expense associated with Impax’s historical term loan obligations that were repaid on the Closing Date and not assumed by Amneal as part of the Combination.</w:t>
      </w:r>
    </w:p>
    <w:p>
      <w:pPr>
        <w:spacing w:after="0" w:line="161"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elimination of one-time nonrecurring transaction costs directly attributable to the Combination from the unaudited condensed combined statements of operations.</w:t>
      </w:r>
    </w:p>
    <w:p>
      <w:pPr>
        <w:sectPr>
          <w:pgSz w:w="11900" w:h="16838" w:orient="portrait"/>
          <w:cols w:equalWidth="0" w:num="1">
            <w:col w:w="11420"/>
          </w:cols>
          <w:pgMar w:left="240" w:top="122" w:right="239" w:bottom="1440" w:gutter="0" w:footer="0" w:header="0"/>
        </w:sectPr>
      </w:pP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ectPr>
          <w:pgSz w:w="11900" w:h="16838" w:orient="portrait"/>
          <w:cols w:equalWidth="0" w:num="1">
            <w:col w:w="11420"/>
          </w:cols>
          <w:pgMar w:left="240" w:top="122" w:right="239" w:bottom="1440" w:gutter="0" w:footer="0" w:header="0"/>
          <w:type w:val="continuous"/>
        </w:sectPr>
      </w:pPr>
    </w:p>
    <w:bookmarkStart w:id="44" w:name="page45"/>
    <w:bookmarkEnd w:id="44"/>
    <w:p>
      <w:pPr>
        <w:jc w:val="center"/>
        <w:spacing w:after="0"/>
        <w:rPr>
          <w:sz w:val="20"/>
          <w:szCs w:val="20"/>
          <w:color w:val="auto"/>
        </w:rPr>
      </w:pPr>
      <w:r>
        <w:rPr>
          <w:rFonts w:ascii="Times New Roman" w:cs="Times New Roman" w:eastAsia="Times New Roman" w:hAnsi="Times New Roman"/>
          <w:sz w:val="22"/>
          <w:szCs w:val="22"/>
          <w:b w:val="1"/>
          <w:bCs w:val="1"/>
          <w:color w:val="auto"/>
        </w:rPr>
        <w:t>NOTES TO UNAUDITED PRO FORMA CONDENSED COMBINED FINANCIAL STATEMENTS</w:t>
      </w:r>
    </w:p>
    <w:p>
      <w:pPr>
        <w:spacing w:after="0" w:line="246" w:lineRule="exact"/>
        <w:rPr>
          <w:sz w:val="20"/>
          <w:szCs w:val="20"/>
          <w:color w:val="auto"/>
        </w:rPr>
      </w:pPr>
    </w:p>
    <w:p>
      <w:pPr>
        <w:jc w:val="both"/>
        <w:ind w:left="340" w:hanging="332"/>
        <w:spacing w:after="0" w:line="261" w:lineRule="auto"/>
        <w:tabs>
          <w:tab w:leader="none" w:pos="34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Adjustment to state acquired property, plant and equipment at their preliminary fair values and to adjust depreciation expense accordingly. The fair values approximate the current cost of replacing an asset with another asset of equivalent economic utility adjusted further for obsolescence and physical depreciation. The estimated useful lives of property, plant and equipment range from 1 to 16 years. The following table presents information about the acquired property, plant and equipment:</w:t>
      </w:r>
    </w:p>
    <w:p>
      <w:pPr>
        <w:spacing w:after="0" w:line="119" w:lineRule="exact"/>
        <w:rPr>
          <w:sz w:val="20"/>
          <w:szCs w:val="20"/>
          <w:color w:val="auto"/>
        </w:rPr>
      </w:pPr>
    </w:p>
    <w:tbl>
      <w:tblPr>
        <w:tblLayout w:type="fixed"/>
        <w:tblInd w:w="0" w:type="dxa"/>
        <w:tblCellMar>
          <w:top w:w="0" w:type="dxa"/>
          <w:left w:w="0" w:type="dxa"/>
          <w:bottom w:w="0" w:type="dxa"/>
          <w:right w:w="0" w:type="dxa"/>
        </w:tblCellMar>
      </w:tblPr>
      <w:tr>
        <w:trPr>
          <w:trHeight w:val="226"/>
        </w:trPr>
        <w:tc>
          <w:tcPr>
            <w:tcW w:w="48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840" w:type="dxa"/>
            <w:vAlign w:val="bottom"/>
            <w:gridSpan w:val="4"/>
          </w:tcPr>
          <w:p>
            <w:pPr>
              <w:jc w:val="right"/>
              <w:ind w:right="1115"/>
              <w:spacing w:after="0"/>
              <w:rPr>
                <w:sz w:val="20"/>
                <w:szCs w:val="20"/>
                <w:color w:val="auto"/>
              </w:rPr>
            </w:pPr>
            <w:r>
              <w:rPr>
                <w:rFonts w:ascii="Times New Roman" w:cs="Times New Roman" w:eastAsia="Times New Roman" w:hAnsi="Times New Roman"/>
                <w:sz w:val="17"/>
                <w:szCs w:val="17"/>
                <w:b w:val="1"/>
                <w:bCs w:val="1"/>
                <w:color w:val="auto"/>
              </w:rPr>
              <w:t>Depreciation expense</w:t>
            </w:r>
          </w:p>
        </w:tc>
        <w:tc>
          <w:tcPr>
            <w:tcW w:w="0" w:type="dxa"/>
            <w:vAlign w:val="bottom"/>
          </w:tcPr>
          <w:p>
            <w:pPr>
              <w:spacing w:after="0"/>
              <w:rPr>
                <w:sz w:val="1"/>
                <w:szCs w:val="1"/>
                <w:color w:val="auto"/>
              </w:rPr>
            </w:pPr>
          </w:p>
        </w:tc>
      </w:tr>
      <w:tr>
        <w:trPr>
          <w:trHeight w:val="43"/>
        </w:trPr>
        <w:tc>
          <w:tcPr>
            <w:tcW w:w="484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60" w:type="dxa"/>
            <w:vAlign w:val="bottom"/>
          </w:tcPr>
          <w:p>
            <w:pPr>
              <w:spacing w:after="0"/>
              <w:rPr>
                <w:sz w:val="3"/>
                <w:szCs w:val="3"/>
                <w:color w:val="auto"/>
              </w:rPr>
            </w:pPr>
          </w:p>
        </w:tc>
        <w:tc>
          <w:tcPr>
            <w:tcW w:w="200" w:type="dxa"/>
            <w:vAlign w:val="bottom"/>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1940" w:type="dxa"/>
            <w:vAlign w:val="bottom"/>
            <w:tcBorders>
              <w:bottom w:val="single" w:sz="8" w:color="auto"/>
            </w:tcBorders>
            <w:gridSpan w:val="2"/>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70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48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940" w:type="dxa"/>
            <w:vAlign w:val="bottom"/>
            <w:gridSpan w:val="2"/>
          </w:tcPr>
          <w:p>
            <w:pPr>
              <w:jc w:val="center"/>
              <w:ind w:right="360"/>
              <w:spacing w:after="0"/>
              <w:rPr>
                <w:sz w:val="20"/>
                <w:szCs w:val="20"/>
                <w:color w:val="auto"/>
              </w:rPr>
            </w:pPr>
            <w:r>
              <w:rPr>
                <w:rFonts w:ascii="Times New Roman" w:cs="Times New Roman" w:eastAsia="Times New Roman" w:hAnsi="Times New Roman"/>
                <w:sz w:val="17"/>
                <w:szCs w:val="17"/>
                <w:b w:val="1"/>
                <w:bCs w:val="1"/>
                <w:color w:val="auto"/>
              </w:rPr>
              <w:t>Three months ended</w:t>
            </w:r>
          </w:p>
        </w:tc>
        <w:tc>
          <w:tcPr>
            <w:tcW w:w="200" w:type="dxa"/>
            <w:vAlign w:val="bottom"/>
          </w:tcPr>
          <w:p>
            <w:pPr>
              <w:spacing w:after="0"/>
              <w:rPr>
                <w:sz w:val="19"/>
                <w:szCs w:val="19"/>
                <w:color w:val="auto"/>
              </w:rPr>
            </w:pPr>
          </w:p>
        </w:tc>
        <w:tc>
          <w:tcPr>
            <w:tcW w:w="1700" w:type="dxa"/>
            <w:vAlign w:val="bottom"/>
          </w:tcPr>
          <w:p>
            <w:pPr>
              <w:jc w:val="right"/>
              <w:ind w:right="455"/>
              <w:spacing w:after="0"/>
              <w:rPr>
                <w:sz w:val="20"/>
                <w:szCs w:val="20"/>
                <w:color w:val="auto"/>
              </w:rPr>
            </w:pPr>
            <w:r>
              <w:rPr>
                <w:rFonts w:ascii="Times New Roman" w:cs="Times New Roman" w:eastAsia="Times New Roman" w:hAnsi="Times New Roman"/>
                <w:sz w:val="17"/>
                <w:szCs w:val="17"/>
                <w:b w:val="1"/>
                <w:bCs w:val="1"/>
                <w:color w:val="auto"/>
              </w:rPr>
              <w:t>Year ended</w:t>
            </w:r>
          </w:p>
        </w:tc>
        <w:tc>
          <w:tcPr>
            <w:tcW w:w="0" w:type="dxa"/>
            <w:vAlign w:val="bottom"/>
          </w:tcPr>
          <w:p>
            <w:pPr>
              <w:spacing w:after="0"/>
              <w:rPr>
                <w:sz w:val="1"/>
                <w:szCs w:val="1"/>
                <w:color w:val="auto"/>
              </w:rPr>
            </w:pPr>
          </w:p>
        </w:tc>
      </w:tr>
      <w:tr>
        <w:trPr>
          <w:trHeight w:val="284"/>
        </w:trPr>
        <w:tc>
          <w:tcPr>
            <w:tcW w:w="4840" w:type="dxa"/>
            <w:vAlign w:val="bottom"/>
          </w:tcPr>
          <w:p>
            <w:pPr>
              <w:ind w:left="40"/>
              <w:spacing w:after="0"/>
              <w:rPr>
                <w:sz w:val="20"/>
                <w:szCs w:val="20"/>
                <w:color w:val="auto"/>
              </w:rPr>
            </w:pPr>
            <w:r>
              <w:rPr>
                <w:rFonts w:ascii="Times New Roman" w:cs="Times New Roman" w:eastAsia="Times New Roman" w:hAnsi="Times New Roman"/>
                <w:sz w:val="17"/>
                <w:szCs w:val="17"/>
                <w:i w:val="1"/>
                <w:iCs w:val="1"/>
                <w:color w:val="auto"/>
              </w:rPr>
              <w:t>(in thousands)</w:t>
            </w:r>
          </w:p>
        </w:tc>
        <w:tc>
          <w:tcPr>
            <w:tcW w:w="300" w:type="dxa"/>
            <w:vAlign w:val="bottom"/>
          </w:tcPr>
          <w:p>
            <w:pPr>
              <w:spacing w:after="0"/>
              <w:rPr>
                <w:sz w:val="24"/>
                <w:szCs w:val="24"/>
                <w:color w:val="auto"/>
              </w:rPr>
            </w:pPr>
          </w:p>
        </w:tc>
        <w:tc>
          <w:tcPr>
            <w:tcW w:w="1460" w:type="dxa"/>
            <w:vAlign w:val="bottom"/>
            <w:gridSpan w:val="2"/>
          </w:tcPr>
          <w:p>
            <w:pPr>
              <w:ind w:left="100"/>
              <w:spacing w:after="0"/>
              <w:rPr>
                <w:sz w:val="20"/>
                <w:szCs w:val="20"/>
                <w:color w:val="auto"/>
              </w:rPr>
            </w:pPr>
            <w:r>
              <w:rPr>
                <w:rFonts w:ascii="Times New Roman" w:cs="Times New Roman" w:eastAsia="Times New Roman" w:hAnsi="Times New Roman"/>
                <w:sz w:val="17"/>
                <w:szCs w:val="17"/>
                <w:b w:val="1"/>
                <w:bCs w:val="1"/>
                <w:color w:val="auto"/>
              </w:rPr>
              <w:t>Fair value</w:t>
            </w:r>
          </w:p>
        </w:tc>
        <w:tc>
          <w:tcPr>
            <w:tcW w:w="160" w:type="dxa"/>
            <w:vAlign w:val="bottom"/>
          </w:tcPr>
          <w:p>
            <w:pPr>
              <w:spacing w:after="0"/>
              <w:rPr>
                <w:sz w:val="24"/>
                <w:szCs w:val="24"/>
                <w:color w:val="auto"/>
              </w:rPr>
            </w:pPr>
          </w:p>
        </w:tc>
        <w:tc>
          <w:tcPr>
            <w:tcW w:w="1940" w:type="dxa"/>
            <w:vAlign w:val="bottom"/>
            <w:gridSpan w:val="2"/>
          </w:tcPr>
          <w:p>
            <w:pPr>
              <w:jc w:val="center"/>
              <w:ind w:right="360"/>
              <w:spacing w:after="0"/>
              <w:rPr>
                <w:sz w:val="20"/>
                <w:szCs w:val="20"/>
                <w:color w:val="auto"/>
              </w:rPr>
            </w:pPr>
            <w:r>
              <w:rPr>
                <w:rFonts w:ascii="Times New Roman" w:cs="Times New Roman" w:eastAsia="Times New Roman" w:hAnsi="Times New Roman"/>
                <w:sz w:val="17"/>
                <w:szCs w:val="17"/>
                <w:b w:val="1"/>
                <w:bCs w:val="1"/>
                <w:color w:val="auto"/>
              </w:rPr>
              <w:t>March 31, 2018</w:t>
            </w:r>
          </w:p>
        </w:tc>
        <w:tc>
          <w:tcPr>
            <w:tcW w:w="200" w:type="dxa"/>
            <w:vAlign w:val="bottom"/>
          </w:tcPr>
          <w:p>
            <w:pPr>
              <w:spacing w:after="0"/>
              <w:rPr>
                <w:sz w:val="24"/>
                <w:szCs w:val="24"/>
                <w:color w:val="auto"/>
              </w:rPr>
            </w:pPr>
          </w:p>
        </w:tc>
        <w:tc>
          <w:tcPr>
            <w:tcW w:w="1700" w:type="dxa"/>
            <w:vAlign w:val="bottom"/>
          </w:tcPr>
          <w:p>
            <w:pPr>
              <w:jc w:val="right"/>
              <w:ind w:right="175"/>
              <w:spacing w:after="0"/>
              <w:rPr>
                <w:sz w:val="20"/>
                <w:szCs w:val="20"/>
                <w:color w:val="auto"/>
              </w:rPr>
            </w:pPr>
            <w:r>
              <w:rPr>
                <w:rFonts w:ascii="Times New Roman" w:cs="Times New Roman" w:eastAsia="Times New Roman" w:hAnsi="Times New Roman"/>
                <w:sz w:val="17"/>
                <w:szCs w:val="17"/>
                <w:b w:val="1"/>
                <w:bCs w:val="1"/>
                <w:color w:val="auto"/>
              </w:rPr>
              <w:t>December 31, 2017</w:t>
            </w:r>
          </w:p>
        </w:tc>
        <w:tc>
          <w:tcPr>
            <w:tcW w:w="0" w:type="dxa"/>
            <w:vAlign w:val="bottom"/>
          </w:tcPr>
          <w:p>
            <w:pPr>
              <w:spacing w:after="0"/>
              <w:rPr>
                <w:sz w:val="1"/>
                <w:szCs w:val="1"/>
                <w:color w:val="auto"/>
              </w:rPr>
            </w:pPr>
          </w:p>
        </w:tc>
      </w:tr>
      <w:tr>
        <w:trPr>
          <w:trHeight w:val="29"/>
        </w:trPr>
        <w:tc>
          <w:tcPr>
            <w:tcW w:w="48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Land</w:t>
            </w:r>
          </w:p>
        </w:tc>
        <w:tc>
          <w:tcPr>
            <w:tcW w:w="3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1"/>
        </w:trPr>
        <w:tc>
          <w:tcPr>
            <w:tcW w:w="4840" w:type="dxa"/>
            <w:vAlign w:val="bottom"/>
            <w:vMerge w:val="continue"/>
          </w:tcPr>
          <w:p>
            <w:pPr>
              <w:spacing w:after="0"/>
              <w:rPr>
                <w:sz w:val="19"/>
                <w:szCs w:val="19"/>
                <w:color w:val="auto"/>
              </w:rPr>
            </w:pPr>
          </w:p>
        </w:tc>
        <w:tc>
          <w:tcPr>
            <w:tcW w:w="3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w:t>
            </w:r>
          </w:p>
        </w:tc>
        <w:tc>
          <w:tcPr>
            <w:tcW w:w="12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13,840</w:t>
            </w:r>
          </w:p>
        </w:tc>
        <w:tc>
          <w:tcPr>
            <w:tcW w:w="20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940" w:type="dxa"/>
            <w:vAlign w:val="bottom"/>
            <w:gridSpan w:val="2"/>
          </w:tcPr>
          <w:p>
            <w:pPr>
              <w:jc w:val="right"/>
              <w:ind w:right="300"/>
              <w:spacing w:after="0"/>
              <w:rPr>
                <w:sz w:val="20"/>
                <w:szCs w:val="20"/>
                <w:color w:val="auto"/>
              </w:rPr>
            </w:pPr>
            <w:r>
              <w:rPr>
                <w:rFonts w:ascii="Times New Roman" w:cs="Times New Roman" w:eastAsia="Times New Roman" w:hAnsi="Times New Roman"/>
                <w:sz w:val="17"/>
                <w:szCs w:val="17"/>
                <w:color w:val="auto"/>
              </w:rPr>
              <w:t>—</w:t>
            </w:r>
          </w:p>
        </w:tc>
        <w:tc>
          <w:tcPr>
            <w:tcW w:w="2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7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9"/>
        </w:trPr>
        <w:tc>
          <w:tcPr>
            <w:tcW w:w="48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840" w:type="dxa"/>
            <w:vAlign w:val="bottom"/>
            <w:shd w:val="clear" w:color="auto" w:fill="CCEEFF"/>
          </w:tcPr>
          <w:p>
            <w:pPr>
              <w:ind w:left="40"/>
              <w:spacing w:after="0" w:line="270" w:lineRule="exact"/>
              <w:rPr>
                <w:sz w:val="20"/>
                <w:szCs w:val="20"/>
                <w:color w:val="auto"/>
              </w:rPr>
            </w:pPr>
            <w:r>
              <w:rPr>
                <w:rFonts w:ascii="Times New Roman" w:cs="Times New Roman" w:eastAsia="Times New Roman" w:hAnsi="Times New Roman"/>
                <w:sz w:val="17"/>
                <w:szCs w:val="17"/>
                <w:color w:val="auto"/>
              </w:rPr>
              <w:t>Other real property</w:t>
            </w:r>
            <w:r>
              <w:rPr>
                <w:rFonts w:ascii="Times New Roman" w:cs="Times New Roman" w:eastAsia="Times New Roman" w:hAnsi="Times New Roman"/>
                <w:sz w:val="28"/>
                <w:szCs w:val="28"/>
                <w:color w:val="auto"/>
                <w:vertAlign w:val="superscript"/>
              </w:rPr>
              <w:t>(1)</w:t>
            </w:r>
          </w:p>
        </w:tc>
        <w:tc>
          <w:tcPr>
            <w:tcW w:w="300" w:type="dxa"/>
            <w:vAlign w:val="bottom"/>
            <w:shd w:val="clear" w:color="auto" w:fill="CCEEFF"/>
          </w:tcPr>
          <w:p>
            <w:pPr>
              <w:spacing w:after="0"/>
              <w:rPr>
                <w:sz w:val="23"/>
                <w:szCs w:val="23"/>
                <w:color w:val="auto"/>
              </w:rPr>
            </w:pPr>
          </w:p>
        </w:tc>
        <w:tc>
          <w:tcPr>
            <w:tcW w:w="1260" w:type="dxa"/>
            <w:vAlign w:val="bottom"/>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16,676</w:t>
            </w:r>
          </w:p>
        </w:tc>
        <w:tc>
          <w:tcPr>
            <w:tcW w:w="2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740" w:type="dxa"/>
            <w:vAlign w:val="bottom"/>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359</w:t>
            </w:r>
          </w:p>
        </w:tc>
        <w:tc>
          <w:tcPr>
            <w:tcW w:w="2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1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1,438</w:t>
            </w:r>
          </w:p>
        </w:tc>
        <w:tc>
          <w:tcPr>
            <w:tcW w:w="0" w:type="dxa"/>
            <w:vAlign w:val="bottom"/>
          </w:tcPr>
          <w:p>
            <w:pPr>
              <w:spacing w:after="0"/>
              <w:rPr>
                <w:sz w:val="1"/>
                <w:szCs w:val="1"/>
                <w:color w:val="auto"/>
              </w:rPr>
            </w:pPr>
          </w:p>
        </w:tc>
      </w:tr>
      <w:tr>
        <w:trPr>
          <w:trHeight w:val="270"/>
        </w:trPr>
        <w:tc>
          <w:tcPr>
            <w:tcW w:w="4840" w:type="dxa"/>
            <w:vAlign w:val="bottom"/>
          </w:tcPr>
          <w:p>
            <w:pPr>
              <w:ind w:left="40"/>
              <w:spacing w:after="0" w:line="270" w:lineRule="exact"/>
              <w:rPr>
                <w:sz w:val="20"/>
                <w:szCs w:val="20"/>
                <w:color w:val="auto"/>
              </w:rPr>
            </w:pPr>
            <w:r>
              <w:rPr>
                <w:rFonts w:ascii="Times New Roman" w:cs="Times New Roman" w:eastAsia="Times New Roman" w:hAnsi="Times New Roman"/>
                <w:sz w:val="17"/>
                <w:szCs w:val="17"/>
                <w:color w:val="auto"/>
              </w:rPr>
              <w:t>Personal property</w:t>
            </w:r>
            <w:r>
              <w:rPr>
                <w:rFonts w:ascii="Times New Roman" w:cs="Times New Roman" w:eastAsia="Times New Roman" w:hAnsi="Times New Roman"/>
                <w:sz w:val="28"/>
                <w:szCs w:val="28"/>
                <w:color w:val="auto"/>
                <w:vertAlign w:val="superscript"/>
              </w:rPr>
              <w:t>(1)</w:t>
            </w:r>
          </w:p>
        </w:tc>
        <w:tc>
          <w:tcPr>
            <w:tcW w:w="300" w:type="dxa"/>
            <w:vAlign w:val="bottom"/>
          </w:tcPr>
          <w:p>
            <w:pPr>
              <w:spacing w:after="0"/>
              <w:rPr>
                <w:sz w:val="23"/>
                <w:szCs w:val="23"/>
                <w:color w:val="auto"/>
              </w:rPr>
            </w:pPr>
          </w:p>
        </w:tc>
        <w:tc>
          <w:tcPr>
            <w:tcW w:w="12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42,017</w:t>
            </w:r>
          </w:p>
        </w:tc>
        <w:tc>
          <w:tcPr>
            <w:tcW w:w="2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74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2,562</w:t>
            </w:r>
          </w:p>
        </w:tc>
        <w:tc>
          <w:tcPr>
            <w:tcW w:w="2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10,248</w:t>
            </w:r>
          </w:p>
        </w:tc>
        <w:tc>
          <w:tcPr>
            <w:tcW w:w="0" w:type="dxa"/>
            <w:vAlign w:val="bottom"/>
          </w:tcPr>
          <w:p>
            <w:pPr>
              <w:spacing w:after="0"/>
              <w:rPr>
                <w:sz w:val="1"/>
                <w:szCs w:val="1"/>
                <w:color w:val="auto"/>
              </w:rPr>
            </w:pPr>
          </w:p>
        </w:tc>
      </w:tr>
      <w:tr>
        <w:trPr>
          <w:trHeight w:val="270"/>
        </w:trPr>
        <w:tc>
          <w:tcPr>
            <w:tcW w:w="48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Construction in progress</w:t>
            </w:r>
          </w:p>
        </w:tc>
        <w:tc>
          <w:tcPr>
            <w:tcW w:w="3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8,432</w:t>
            </w:r>
          </w:p>
        </w:tc>
        <w:tc>
          <w:tcPr>
            <w:tcW w:w="2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94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7"/>
                <w:szCs w:val="17"/>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0" w:type="dxa"/>
            <w:vAlign w:val="bottom"/>
          </w:tcPr>
          <w:p>
            <w:pPr>
              <w:spacing w:after="0"/>
              <w:rPr>
                <w:sz w:val="1"/>
                <w:szCs w:val="1"/>
                <w:color w:val="auto"/>
              </w:rPr>
            </w:pPr>
          </w:p>
        </w:tc>
      </w:tr>
      <w:tr>
        <w:trPr>
          <w:trHeight w:val="221"/>
        </w:trPr>
        <w:tc>
          <w:tcPr>
            <w:tcW w:w="484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Total acquired property, plant and equipment</w:t>
            </w:r>
          </w:p>
        </w:tc>
        <w:tc>
          <w:tcPr>
            <w:tcW w:w="300" w:type="dxa"/>
            <w:vAlign w:val="bottom"/>
            <w:tcBorders>
              <w:top w:val="single" w:sz="8" w:color="auto"/>
            </w:tcBorders>
          </w:tcPr>
          <w:p>
            <w:pPr>
              <w:spacing w:after="0"/>
              <w:rPr>
                <w:sz w:val="19"/>
                <w:szCs w:val="19"/>
                <w:color w:val="auto"/>
              </w:rPr>
            </w:pPr>
          </w:p>
        </w:tc>
        <w:tc>
          <w:tcPr>
            <w:tcW w:w="1260" w:type="dxa"/>
            <w:vAlign w:val="bottom"/>
            <w:tcBorders>
              <w:top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color w:val="auto"/>
              </w:rPr>
              <w:t>80,965</w:t>
            </w:r>
          </w:p>
        </w:tc>
        <w:tc>
          <w:tcPr>
            <w:tcW w:w="20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1740" w:type="dxa"/>
            <w:vAlign w:val="bottom"/>
            <w:tcBorders>
              <w:top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color w:val="auto"/>
              </w:rPr>
              <w:t>2,921</w:t>
            </w:r>
          </w:p>
        </w:tc>
        <w:tc>
          <w:tcPr>
            <w:tcW w:w="2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7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11,686</w:t>
            </w:r>
          </w:p>
        </w:tc>
        <w:tc>
          <w:tcPr>
            <w:tcW w:w="0" w:type="dxa"/>
            <w:vAlign w:val="bottom"/>
          </w:tcPr>
          <w:p>
            <w:pPr>
              <w:spacing w:after="0"/>
              <w:rPr>
                <w:sz w:val="1"/>
                <w:szCs w:val="1"/>
                <w:color w:val="auto"/>
              </w:rPr>
            </w:pPr>
          </w:p>
        </w:tc>
      </w:tr>
      <w:tr>
        <w:trPr>
          <w:trHeight w:val="29"/>
        </w:trPr>
        <w:tc>
          <w:tcPr>
            <w:tcW w:w="48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8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Less: Impax’s historical property, plant and equipment</w:t>
            </w:r>
          </w:p>
        </w:tc>
        <w:tc>
          <w:tcPr>
            <w:tcW w:w="3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(123,288)</w:t>
            </w:r>
          </w:p>
        </w:tc>
        <w:tc>
          <w:tcPr>
            <w:tcW w:w="2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(3,503)</w:t>
            </w:r>
          </w:p>
        </w:tc>
        <w:tc>
          <w:tcPr>
            <w:tcW w:w="2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(41,074)</w:t>
            </w:r>
          </w:p>
        </w:tc>
        <w:tc>
          <w:tcPr>
            <w:tcW w:w="0" w:type="dxa"/>
            <w:vAlign w:val="bottom"/>
          </w:tcPr>
          <w:p>
            <w:pPr>
              <w:spacing w:after="0"/>
              <w:rPr>
                <w:sz w:val="1"/>
                <w:szCs w:val="1"/>
                <w:color w:val="auto"/>
              </w:rPr>
            </w:pPr>
          </w:p>
        </w:tc>
      </w:tr>
      <w:tr>
        <w:trPr>
          <w:trHeight w:val="248"/>
        </w:trPr>
        <w:tc>
          <w:tcPr>
            <w:tcW w:w="4840" w:type="dxa"/>
            <w:vAlign w:val="bottom"/>
          </w:tcPr>
          <w:p>
            <w:pPr>
              <w:ind w:left="240"/>
              <w:spacing w:after="0"/>
              <w:rPr>
                <w:sz w:val="20"/>
                <w:szCs w:val="20"/>
                <w:color w:val="auto"/>
              </w:rPr>
            </w:pPr>
            <w:r>
              <w:rPr>
                <w:rFonts w:ascii="Times New Roman" w:cs="Times New Roman" w:eastAsia="Times New Roman" w:hAnsi="Times New Roman"/>
                <w:sz w:val="17"/>
                <w:szCs w:val="17"/>
                <w:b w:val="1"/>
                <w:bCs w:val="1"/>
                <w:color w:val="auto"/>
              </w:rPr>
              <w:t>Pro forma adjustment</w:t>
            </w:r>
          </w:p>
        </w:tc>
        <w:tc>
          <w:tcPr>
            <w:tcW w:w="300" w:type="dxa"/>
            <w:vAlign w:val="bottom"/>
            <w:tcBorders>
              <w:top w:val="single" w:sz="8" w:color="auto"/>
            </w:tcBorders>
          </w:tcPr>
          <w:p>
            <w:pPr>
              <w:jc w:val="right"/>
              <w:ind w:right="95"/>
              <w:spacing w:after="0"/>
              <w:rPr>
                <w:sz w:val="20"/>
                <w:szCs w:val="20"/>
                <w:color w:val="auto"/>
              </w:rPr>
            </w:pPr>
            <w:r>
              <w:rPr>
                <w:rFonts w:ascii="Times New Roman" w:cs="Times New Roman" w:eastAsia="Times New Roman" w:hAnsi="Times New Roman"/>
                <w:sz w:val="17"/>
                <w:szCs w:val="17"/>
                <w:color w:val="auto"/>
              </w:rPr>
              <w:t>$</w:t>
            </w:r>
          </w:p>
        </w:tc>
        <w:tc>
          <w:tcPr>
            <w:tcW w:w="12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(42,323)</w:t>
            </w:r>
          </w:p>
        </w:tc>
        <w:tc>
          <w:tcPr>
            <w:tcW w:w="200" w:type="dxa"/>
            <w:vAlign w:val="bottom"/>
          </w:tcPr>
          <w:p>
            <w:pPr>
              <w:spacing w:after="0"/>
              <w:rPr>
                <w:sz w:val="21"/>
                <w:szCs w:val="21"/>
                <w:color w:val="auto"/>
              </w:rPr>
            </w:pPr>
          </w:p>
        </w:tc>
        <w:tc>
          <w:tcPr>
            <w:tcW w:w="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7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(582)</w:t>
            </w:r>
          </w:p>
        </w:tc>
        <w:tc>
          <w:tcPr>
            <w:tcW w:w="200" w:type="dxa"/>
            <w:vAlign w:val="bottom"/>
          </w:tcPr>
          <w:p>
            <w:pPr>
              <w:spacing w:after="0"/>
              <w:rPr>
                <w:sz w:val="21"/>
                <w:szCs w:val="21"/>
                <w:color w:val="auto"/>
              </w:rPr>
            </w:pPr>
          </w:p>
        </w:tc>
        <w:tc>
          <w:tcPr>
            <w:tcW w:w="2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7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(29,388)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6732270" cy="3003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6732270" cy="300355"/>
                    </a:xfrm>
                    <a:prstGeom prst="rect">
                      <a:avLst/>
                    </a:prstGeom>
                    <a:noFill/>
                  </pic:spPr>
                </pic:pic>
              </a:graphicData>
            </a:graphic>
          </wp:anchor>
        </w:drawing>
      </w:r>
    </w:p>
    <w:p>
      <w:pPr>
        <w:spacing w:after="0" w:line="14" w:lineRule="exact"/>
        <w:rPr>
          <w:sz w:val="20"/>
          <w:szCs w:val="20"/>
          <w:color w:val="auto"/>
        </w:rPr>
      </w:pPr>
    </w:p>
    <w:p>
      <w:pPr>
        <w:ind w:left="40" w:right="920" w:hanging="5"/>
        <w:spacing w:after="0" w:line="281" w:lineRule="auto"/>
        <w:tabs>
          <w:tab w:leader="none" w:pos="282" w:val="left"/>
        </w:tabs>
        <w:numPr>
          <w:ilvl w:val="1"/>
          <w:numId w:val="2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adjustment to depreciation expense was determined using the straight line method over a weighted-average estimated useful life of 11.6 years for other real property and 4.1 years for personal property.</w:t>
      </w:r>
    </w:p>
    <w:p>
      <w:pPr>
        <w:spacing w:after="0" w:line="189" w:lineRule="exact"/>
        <w:rPr>
          <w:rFonts w:ascii="Times New Roman" w:cs="Times New Roman" w:eastAsia="Times New Roman" w:hAnsi="Times New Roman"/>
          <w:sz w:val="17"/>
          <w:szCs w:val="17"/>
          <w:color w:val="auto"/>
        </w:rPr>
      </w:pPr>
    </w:p>
    <w:p>
      <w:pPr>
        <w:ind w:left="320" w:hanging="312"/>
        <w:spacing w:after="0"/>
        <w:tabs>
          <w:tab w:leader="none" w:pos="320" w:val="left"/>
        </w:tabs>
        <w:numPr>
          <w:ilvl w:val="0"/>
          <w:numId w:val="2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FINANCING AND OTHER RELATED PRO FORMA ADJUSTMENTS</w:t>
      </w:r>
    </w:p>
    <w:p>
      <w:pPr>
        <w:spacing w:after="0" w:line="229" w:lineRule="exact"/>
        <w:rPr>
          <w:sz w:val="20"/>
          <w:szCs w:val="20"/>
          <w:color w:val="auto"/>
        </w:rPr>
      </w:pPr>
    </w:p>
    <w:p>
      <w:pPr>
        <w:ind w:right="340"/>
        <w:spacing w:after="0" w:line="282" w:lineRule="auto"/>
        <w:rPr>
          <w:sz w:val="20"/>
          <w:szCs w:val="20"/>
          <w:color w:val="auto"/>
        </w:rPr>
      </w:pPr>
      <w:r>
        <w:rPr>
          <w:rFonts w:ascii="Times New Roman" w:cs="Times New Roman" w:eastAsia="Times New Roman" w:hAnsi="Times New Roman"/>
          <w:sz w:val="18"/>
          <w:szCs w:val="18"/>
          <w:color w:val="auto"/>
        </w:rPr>
        <w:t>The unaudited pro forma condensed combined financial statements reflect the following adjustments related to the Financing, the proceeds of which were used in part to fund the Combination:</w:t>
      </w:r>
    </w:p>
    <w:p>
      <w:pPr>
        <w:sectPr>
          <w:pgSz w:w="11900" w:h="16838" w:orient="portrait"/>
          <w:cols w:equalWidth="0" w:num="1">
            <w:col w:w="11420"/>
          </w:cols>
          <w:pgMar w:left="240" w:top="122" w:right="239" w:bottom="1440" w:gutter="0" w:footer="0" w:header="0"/>
        </w:sectPr>
      </w:pP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Adjustment to cash represents the following:</w:t>
      </w:r>
    </w:p>
    <w:p>
      <w:pPr>
        <w:spacing w:after="0" w:line="200" w:lineRule="exact"/>
        <w:rPr>
          <w:sz w:val="20"/>
          <w:szCs w:val="20"/>
          <w:color w:val="auto"/>
        </w:rPr>
      </w:pPr>
    </w:p>
    <w:p>
      <w:pPr>
        <w:spacing w:after="0" w:line="24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7"/>
          <w:szCs w:val="17"/>
          <w:i w:val="1"/>
          <w:iCs w:val="1"/>
          <w:color w:val="auto"/>
        </w:rPr>
        <w:t>(in thousands)</w:t>
      </w:r>
    </w:p>
    <w:p>
      <w:pPr>
        <w:spacing w:after="0" w:line="92"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7"/>
          <w:szCs w:val="17"/>
          <w:color w:val="auto"/>
        </w:rPr>
        <w:t>Repayment of Amneal’s historical debt obligations including accrued and unpaid interest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35560</wp:posOffset>
            </wp:positionV>
            <wp:extent cx="6491605" cy="1714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6491605" cy="171450"/>
                    </a:xfrm>
                    <a:prstGeom prst="rect">
                      <a:avLst/>
                    </a:prstGeom>
                    <a:noFill/>
                  </pic:spPr>
                </pic:pic>
              </a:graphicData>
            </a:graphic>
          </wp:anchor>
        </w:drawing>
      </w:r>
    </w:p>
    <w:p>
      <w:pPr>
        <w:spacing w:after="0" w:line="55"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7"/>
          <w:szCs w:val="17"/>
          <w:color w:val="auto"/>
        </w:rPr>
        <w:t>Amounts borrowed under the New Term Facility</w:t>
      </w:r>
    </w:p>
    <w:p>
      <w:pPr>
        <w:spacing w:after="0" w:line="6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7"/>
          <w:szCs w:val="17"/>
          <w:color w:val="auto"/>
        </w:rPr>
        <w:t>Cash paid for fees related to the New Term Facility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43815</wp:posOffset>
            </wp:positionV>
            <wp:extent cx="6491605" cy="1714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6491605" cy="171450"/>
                    </a:xfrm>
                    <a:prstGeom prst="rect">
                      <a:avLst/>
                    </a:prstGeom>
                    <a:noFill/>
                  </pic:spPr>
                </pic:pic>
              </a:graphicData>
            </a:graphic>
          </wp:anchor>
        </w:drawing>
      </w:r>
    </w:p>
    <w:p>
      <w:pPr>
        <w:spacing w:after="0" w:line="55"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7"/>
          <w:szCs w:val="17"/>
          <w:color w:val="auto"/>
        </w:rPr>
        <w:t>Cash paid for fees related to the New ABL Facility</w:t>
      </w:r>
    </w:p>
    <w:p>
      <w:pPr>
        <w:spacing w:after="0" w:line="88"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7"/>
          <w:szCs w:val="17"/>
          <w:color w:val="auto"/>
        </w:rPr>
        <w:t>Cash distribution to Existing Amneal Members’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35560</wp:posOffset>
            </wp:positionV>
            <wp:extent cx="6491605" cy="18859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6491605" cy="188595"/>
                    </a:xfrm>
                    <a:prstGeom prst="rect">
                      <a:avLst/>
                    </a:prstGeom>
                    <a:noFill/>
                  </pic:spPr>
                </pic:pic>
              </a:graphicData>
            </a:graphic>
          </wp:anchor>
        </w:drawing>
      </w:r>
    </w:p>
    <w:p>
      <w:pPr>
        <w:spacing w:after="0" w:line="78"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7"/>
          <w:szCs w:val="17"/>
          <w:b w:val="1"/>
          <w:bCs w:val="1"/>
          <w:color w:val="auto"/>
        </w:rPr>
        <w:t>Total adjustment to cash</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26" w:lineRule="exact"/>
        <w:rPr>
          <w:sz w:val="20"/>
          <w:szCs w:val="20"/>
          <w:color w:val="auto"/>
        </w:rPr>
      </w:pPr>
    </w:p>
    <w:p>
      <w:pPr>
        <w:jc w:val="center"/>
        <w:ind w:right="1088"/>
        <w:spacing w:after="0"/>
        <w:rPr>
          <w:sz w:val="20"/>
          <w:szCs w:val="20"/>
          <w:color w:val="auto"/>
        </w:rPr>
      </w:pPr>
      <w:r>
        <w:rPr>
          <w:rFonts w:ascii="Times New Roman" w:cs="Times New Roman" w:eastAsia="Times New Roman" w:hAnsi="Times New Roman"/>
          <w:sz w:val="17"/>
          <w:szCs w:val="17"/>
          <w:b w:val="1"/>
          <w:bCs w:val="1"/>
          <w:color w:val="auto"/>
        </w:rPr>
        <w:t>As of</w:t>
      </w:r>
    </w:p>
    <w:p>
      <w:pPr>
        <w:spacing w:after="0" w:line="75" w:lineRule="exact"/>
        <w:rPr>
          <w:sz w:val="20"/>
          <w:szCs w:val="20"/>
          <w:color w:val="auto"/>
        </w:rPr>
      </w:pPr>
    </w:p>
    <w:p>
      <w:pPr>
        <w:jc w:val="center"/>
        <w:ind w:right="1088"/>
        <w:spacing w:after="0"/>
        <w:rPr>
          <w:sz w:val="20"/>
          <w:szCs w:val="20"/>
          <w:color w:val="auto"/>
        </w:rPr>
      </w:pPr>
      <w:r>
        <w:rPr>
          <w:rFonts w:ascii="Times New Roman" w:cs="Times New Roman" w:eastAsia="Times New Roman" w:hAnsi="Times New Roman"/>
          <w:sz w:val="17"/>
          <w:szCs w:val="17"/>
          <w:b w:val="1"/>
          <w:bCs w:val="1"/>
          <w:color w:val="auto"/>
        </w:rPr>
        <w:t>March 31,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-16510</wp:posOffset>
            </wp:positionH>
            <wp:positionV relativeFrom="paragraph">
              <wp:posOffset>38100</wp:posOffset>
            </wp:positionV>
            <wp:extent cx="117475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174750" cy="8890"/>
                    </a:xfrm>
                    <a:prstGeom prst="rect">
                      <a:avLst/>
                    </a:prstGeom>
                    <a:noFill/>
                  </pic:spPr>
                </pic:pic>
              </a:graphicData>
            </a:graphic>
          </wp:anchor>
        </w:drawing>
      </w:r>
    </w:p>
    <w:p>
      <w:pPr>
        <w:spacing w:after="0" w:line="59" w:lineRule="exact"/>
        <w:rPr>
          <w:sz w:val="20"/>
          <w:szCs w:val="20"/>
          <w:color w:val="auto"/>
        </w:rPr>
      </w:pPr>
    </w:p>
    <w:p>
      <w:pPr>
        <w:ind w:left="992" w:hanging="992"/>
        <w:spacing w:after="0"/>
        <w:tabs>
          <w:tab w:leader="none" w:pos="992" w:val="left"/>
        </w:tabs>
        <w:numPr>
          <w:ilvl w:val="0"/>
          <w:numId w:val="3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(1,450,409)</w:t>
      </w:r>
    </w:p>
    <w:p>
      <w:pPr>
        <w:spacing w:after="0" w:line="88" w:lineRule="exact"/>
        <w:rPr>
          <w:rFonts w:ascii="Times New Roman" w:cs="Times New Roman" w:eastAsia="Times New Roman" w:hAnsi="Times New Roman"/>
          <w:sz w:val="17"/>
          <w:szCs w:val="17"/>
          <w:color w:val="auto"/>
        </w:rPr>
      </w:pPr>
    </w:p>
    <w:p>
      <w:pPr>
        <w:ind w:left="1052"/>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2,700,000</w:t>
      </w:r>
    </w:p>
    <w:p>
      <w:pPr>
        <w:spacing w:after="0" w:line="74" w:lineRule="exact"/>
        <w:rPr>
          <w:rFonts w:ascii="Times New Roman" w:cs="Times New Roman" w:eastAsia="Times New Roman" w:hAnsi="Times New Roman"/>
          <w:sz w:val="17"/>
          <w:szCs w:val="17"/>
          <w:color w:val="auto"/>
        </w:rPr>
      </w:pPr>
    </w:p>
    <w:p>
      <w:pPr>
        <w:ind w:left="1152"/>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(49,872)</w:t>
      </w:r>
    </w:p>
    <w:p>
      <w:pPr>
        <w:spacing w:after="0" w:line="74" w:lineRule="exact"/>
        <w:rPr>
          <w:rFonts w:ascii="Times New Roman" w:cs="Times New Roman" w:eastAsia="Times New Roman" w:hAnsi="Times New Roman"/>
          <w:sz w:val="17"/>
          <w:szCs w:val="17"/>
          <w:color w:val="auto"/>
        </w:rPr>
      </w:pPr>
    </w:p>
    <w:p>
      <w:pPr>
        <w:ind w:left="1232"/>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(3,194)</w:t>
      </w:r>
    </w:p>
    <w:p>
      <w:pPr>
        <w:spacing w:after="0" w:line="74" w:lineRule="exact"/>
        <w:rPr>
          <w:rFonts w:ascii="Times New Roman" w:cs="Times New Roman" w:eastAsia="Times New Roman" w:hAnsi="Times New Roman"/>
          <w:sz w:val="17"/>
          <w:szCs w:val="17"/>
          <w:color w:val="auto"/>
        </w:rPr>
      </w:pPr>
    </w:p>
    <w:p>
      <w:pPr>
        <w:ind w:left="1072"/>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(116,448)</w:t>
      </w:r>
    </w:p>
    <w:p>
      <w:pPr>
        <w:spacing w:after="0" w:line="75" w:lineRule="exact"/>
        <w:rPr>
          <w:sz w:val="20"/>
          <w:szCs w:val="20"/>
          <w:color w:val="auto"/>
        </w:rPr>
      </w:pPr>
    </w:p>
    <w:p>
      <w:pPr>
        <w:ind w:left="1052" w:hanging="1052"/>
        <w:spacing w:after="0"/>
        <w:tabs>
          <w:tab w:leader="none" w:pos="1052" w:val="left"/>
        </w:tabs>
        <w:numPr>
          <w:ilvl w:val="0"/>
          <w:numId w:val="3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1,080,077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-16510</wp:posOffset>
            </wp:positionH>
            <wp:positionV relativeFrom="paragraph">
              <wp:posOffset>60960</wp:posOffset>
            </wp:positionV>
            <wp:extent cx="117475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174750" cy="8890"/>
                    </a:xfrm>
                    <a:prstGeom prst="rect">
                      <a:avLst/>
                    </a:prstGeom>
                    <a:noFill/>
                  </pic:spPr>
                </pic:pic>
              </a:graphicData>
            </a:graphic>
          </wp:anchor>
        </w:drawing>
      </w:r>
    </w:p>
    <w:p>
      <w:pPr>
        <w:spacing w:after="0" w:line="223" w:lineRule="exact"/>
        <w:rPr>
          <w:sz w:val="20"/>
          <w:szCs w:val="20"/>
          <w:color w:val="auto"/>
        </w:rPr>
      </w:pPr>
    </w:p>
    <w:p>
      <w:pPr>
        <w:sectPr>
          <w:pgSz w:w="11900" w:h="16838" w:orient="portrait"/>
          <w:cols w:equalWidth="0" w:num="2">
            <w:col w:w="7688" w:space="720"/>
            <w:col w:w="3012"/>
          </w:cols>
          <w:pgMar w:left="240" w:top="122" w:right="239" w:bottom="1440" w:gutter="0" w:footer="0" w:header="0"/>
          <w:type w:val="continuous"/>
        </w:sectPr>
      </w:pPr>
    </w:p>
    <w:p>
      <w:pPr>
        <w:spacing w:after="0" w:line="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 Adjustment to debt represents the following:</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226"/>
        </w:trPr>
        <w:tc>
          <w:tcPr>
            <w:tcW w:w="83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0" w:type="dxa"/>
            <w:vAlign w:val="bottom"/>
          </w:tcPr>
          <w:p>
            <w:pPr>
              <w:jc w:val="right"/>
              <w:ind w:right="595"/>
              <w:spacing w:after="0"/>
              <w:rPr>
                <w:sz w:val="20"/>
                <w:szCs w:val="20"/>
                <w:color w:val="auto"/>
              </w:rPr>
            </w:pPr>
            <w:r>
              <w:rPr>
                <w:rFonts w:ascii="Times New Roman" w:cs="Times New Roman" w:eastAsia="Times New Roman" w:hAnsi="Times New Roman"/>
                <w:sz w:val="17"/>
                <w:szCs w:val="17"/>
                <w:b w:val="1"/>
                <w:bCs w:val="1"/>
                <w:color w:val="auto"/>
              </w:rPr>
              <w:t>As of</w:t>
            </w:r>
          </w:p>
        </w:tc>
        <w:tc>
          <w:tcPr>
            <w:tcW w:w="0" w:type="dxa"/>
            <w:vAlign w:val="bottom"/>
          </w:tcPr>
          <w:p>
            <w:pPr>
              <w:spacing w:after="0"/>
              <w:rPr>
                <w:sz w:val="1"/>
                <w:szCs w:val="1"/>
                <w:color w:val="auto"/>
              </w:rPr>
            </w:pPr>
          </w:p>
        </w:tc>
      </w:tr>
      <w:tr>
        <w:trPr>
          <w:trHeight w:val="270"/>
        </w:trPr>
        <w:tc>
          <w:tcPr>
            <w:tcW w:w="8380" w:type="dxa"/>
            <w:vAlign w:val="bottom"/>
          </w:tcPr>
          <w:p>
            <w:pPr>
              <w:ind w:left="40"/>
              <w:spacing w:after="0"/>
              <w:rPr>
                <w:sz w:val="20"/>
                <w:szCs w:val="20"/>
                <w:color w:val="auto"/>
              </w:rPr>
            </w:pPr>
            <w:r>
              <w:rPr>
                <w:rFonts w:ascii="Times New Roman" w:cs="Times New Roman" w:eastAsia="Times New Roman" w:hAnsi="Times New Roman"/>
                <w:sz w:val="17"/>
                <w:szCs w:val="17"/>
                <w:i w:val="1"/>
                <w:iCs w:val="1"/>
                <w:color w:val="auto"/>
              </w:rPr>
              <w:t>(in thousands)</w:t>
            </w:r>
          </w:p>
        </w:tc>
        <w:tc>
          <w:tcPr>
            <w:tcW w:w="260" w:type="dxa"/>
            <w:vAlign w:val="bottom"/>
          </w:tcPr>
          <w:p>
            <w:pPr>
              <w:spacing w:after="0"/>
              <w:rPr>
                <w:sz w:val="23"/>
                <w:szCs w:val="23"/>
                <w:color w:val="auto"/>
              </w:rPr>
            </w:pPr>
          </w:p>
        </w:tc>
        <w:tc>
          <w:tcPr>
            <w:tcW w:w="1600" w:type="dxa"/>
            <w:vAlign w:val="bottom"/>
          </w:tcPr>
          <w:p>
            <w:pPr>
              <w:jc w:val="right"/>
              <w:ind w:right="215"/>
              <w:spacing w:after="0"/>
              <w:rPr>
                <w:sz w:val="20"/>
                <w:szCs w:val="20"/>
                <w:color w:val="auto"/>
              </w:rPr>
            </w:pPr>
            <w:r>
              <w:rPr>
                <w:rFonts w:ascii="Times New Roman" w:cs="Times New Roman" w:eastAsia="Times New Roman" w:hAnsi="Times New Roman"/>
                <w:sz w:val="17"/>
                <w:szCs w:val="17"/>
                <w:b w:val="1"/>
                <w:bCs w:val="1"/>
                <w:color w:val="auto"/>
              </w:rPr>
              <w:t>March 31, 2018</w:t>
            </w:r>
          </w:p>
        </w:tc>
        <w:tc>
          <w:tcPr>
            <w:tcW w:w="0" w:type="dxa"/>
            <w:vAlign w:val="bottom"/>
          </w:tcPr>
          <w:p>
            <w:pPr>
              <w:spacing w:after="0"/>
              <w:rPr>
                <w:sz w:val="1"/>
                <w:szCs w:val="1"/>
                <w:color w:val="auto"/>
              </w:rPr>
            </w:pPr>
          </w:p>
        </w:tc>
      </w:tr>
      <w:tr>
        <w:trPr>
          <w:trHeight w:val="29"/>
        </w:trPr>
        <w:tc>
          <w:tcPr>
            <w:tcW w:w="8380" w:type="dxa"/>
            <w:vAlign w:val="bottom"/>
            <w:vMerge w:val="restart"/>
          </w:tcPr>
          <w:p>
            <w:pPr>
              <w:ind w:left="40"/>
              <w:spacing w:after="0"/>
              <w:rPr>
                <w:sz w:val="20"/>
                <w:szCs w:val="20"/>
                <w:color w:val="auto"/>
              </w:rPr>
            </w:pPr>
            <w:r>
              <w:rPr>
                <w:rFonts w:ascii="Times New Roman" w:cs="Times New Roman" w:eastAsia="Times New Roman" w:hAnsi="Times New Roman"/>
                <w:sz w:val="17"/>
                <w:szCs w:val="17"/>
                <w:b w:val="1"/>
                <w:bCs w:val="1"/>
                <w:color w:val="auto"/>
              </w:rPr>
              <w:t>Current portion of debt:</w:t>
            </w:r>
          </w:p>
        </w:tc>
        <w:tc>
          <w:tcPr>
            <w:tcW w:w="26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5"/>
        </w:trPr>
        <w:tc>
          <w:tcPr>
            <w:tcW w:w="8380" w:type="dxa"/>
            <w:vAlign w:val="bottom"/>
            <w:vMerge w:val="continue"/>
          </w:tcPr>
          <w:p>
            <w:pPr>
              <w:spacing w:after="0"/>
              <w:rPr>
                <w:sz w:val="20"/>
                <w:szCs w:val="20"/>
                <w:color w:val="auto"/>
              </w:rPr>
            </w:pPr>
          </w:p>
        </w:tc>
        <w:tc>
          <w:tcPr>
            <w:tcW w:w="26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83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Extinguishment of Amneal’s historical current debt obligations</w:t>
            </w:r>
          </w:p>
        </w:tc>
        <w:tc>
          <w:tcPr>
            <w:tcW w:w="260" w:type="dxa"/>
            <w:vAlign w:val="bottom"/>
          </w:tcPr>
          <w:p>
            <w:pPr>
              <w:jc w:val="right"/>
              <w:ind w:right="55"/>
              <w:spacing w:after="0"/>
              <w:rPr>
                <w:sz w:val="20"/>
                <w:szCs w:val="20"/>
                <w:color w:val="auto"/>
              </w:rPr>
            </w:pPr>
            <w:r>
              <w:rPr>
                <w:rFonts w:ascii="Times New Roman" w:cs="Times New Roman" w:eastAsia="Times New Roman" w:hAnsi="Times New Roman"/>
                <w:sz w:val="17"/>
                <w:szCs w:val="17"/>
                <w:color w:val="auto"/>
              </w:rPr>
              <w:t>$</w:t>
            </w:r>
          </w:p>
        </w:tc>
        <w:tc>
          <w:tcPr>
            <w:tcW w:w="16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(89,171)</w:t>
            </w:r>
          </w:p>
        </w:tc>
        <w:tc>
          <w:tcPr>
            <w:tcW w:w="0" w:type="dxa"/>
            <w:vAlign w:val="bottom"/>
          </w:tcPr>
          <w:p>
            <w:pPr>
              <w:spacing w:after="0"/>
              <w:rPr>
                <w:sz w:val="1"/>
                <w:szCs w:val="1"/>
                <w:color w:val="auto"/>
              </w:rPr>
            </w:pPr>
          </w:p>
        </w:tc>
      </w:tr>
      <w:tr>
        <w:trPr>
          <w:trHeight w:val="29"/>
        </w:trPr>
        <w:tc>
          <w:tcPr>
            <w:tcW w:w="8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80" w:type="dxa"/>
            <w:vAlign w:val="bottom"/>
            <w:shd w:val="clear" w:color="auto" w:fill="CCEEFF"/>
          </w:tcPr>
          <w:p>
            <w:pPr>
              <w:ind w:left="40"/>
              <w:spacing w:after="0" w:line="270" w:lineRule="exact"/>
              <w:rPr>
                <w:sz w:val="20"/>
                <w:szCs w:val="20"/>
                <w:color w:val="auto"/>
              </w:rPr>
            </w:pPr>
            <w:r>
              <w:rPr>
                <w:rFonts w:ascii="Times New Roman" w:cs="Times New Roman" w:eastAsia="Times New Roman" w:hAnsi="Times New Roman"/>
                <w:sz w:val="17"/>
                <w:szCs w:val="17"/>
                <w:color w:val="auto"/>
              </w:rPr>
              <w:t>Record current portion of the New Term Facility</w:t>
            </w:r>
            <w:r>
              <w:rPr>
                <w:rFonts w:ascii="Times New Roman" w:cs="Times New Roman" w:eastAsia="Times New Roman" w:hAnsi="Times New Roman"/>
                <w:sz w:val="28"/>
                <w:szCs w:val="28"/>
                <w:color w:val="auto"/>
                <w:vertAlign w:val="superscript"/>
              </w:rPr>
              <w:t>(1)</w:t>
            </w:r>
          </w:p>
        </w:tc>
        <w:tc>
          <w:tcPr>
            <w:tcW w:w="260" w:type="dxa"/>
            <w:vAlign w:val="bottom"/>
            <w:tcBorders>
              <w:bottom w:val="single" w:sz="8" w:color="auto"/>
            </w:tcBorders>
            <w:shd w:val="clear" w:color="auto" w:fill="CCEEFF"/>
          </w:tcPr>
          <w:p>
            <w:pPr>
              <w:spacing w:after="0"/>
              <w:rPr>
                <w:sz w:val="23"/>
                <w:szCs w:val="23"/>
                <w:color w:val="auto"/>
              </w:rPr>
            </w:pPr>
          </w:p>
        </w:tc>
        <w:tc>
          <w:tcPr>
            <w:tcW w:w="1600" w:type="dxa"/>
            <w:vAlign w:val="bottom"/>
            <w:tcBorders>
              <w:bottom w:val="single" w:sz="8" w:color="auto"/>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27,000</w:t>
            </w:r>
          </w:p>
        </w:tc>
        <w:tc>
          <w:tcPr>
            <w:tcW w:w="0" w:type="dxa"/>
            <w:vAlign w:val="bottom"/>
          </w:tcPr>
          <w:p>
            <w:pPr>
              <w:spacing w:after="0"/>
              <w:rPr>
                <w:sz w:val="1"/>
                <w:szCs w:val="1"/>
                <w:color w:val="auto"/>
              </w:rPr>
            </w:pPr>
          </w:p>
        </w:tc>
      </w:tr>
      <w:tr>
        <w:trPr>
          <w:trHeight w:val="297"/>
        </w:trPr>
        <w:tc>
          <w:tcPr>
            <w:tcW w:w="8380" w:type="dxa"/>
            <w:vAlign w:val="bottom"/>
            <w:tcBorders>
              <w:bottom w:val="single" w:sz="8" w:color="CCEEFF"/>
            </w:tcBorders>
          </w:tcPr>
          <w:p>
            <w:pPr>
              <w:ind w:left="500"/>
              <w:spacing w:after="0"/>
              <w:rPr>
                <w:sz w:val="20"/>
                <w:szCs w:val="20"/>
                <w:color w:val="auto"/>
              </w:rPr>
            </w:pPr>
            <w:r>
              <w:rPr>
                <w:rFonts w:ascii="Times New Roman" w:cs="Times New Roman" w:eastAsia="Times New Roman" w:hAnsi="Times New Roman"/>
                <w:sz w:val="17"/>
                <w:szCs w:val="17"/>
                <w:b w:val="1"/>
                <w:bCs w:val="1"/>
                <w:color w:val="auto"/>
              </w:rPr>
              <w:t>Total adjustment to current portion of debt</w:t>
            </w:r>
          </w:p>
        </w:tc>
        <w:tc>
          <w:tcPr>
            <w:tcW w:w="26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color w:val="auto"/>
              </w:rPr>
              <w:t>$</w:t>
            </w:r>
          </w:p>
        </w:tc>
        <w:tc>
          <w:tcPr>
            <w:tcW w:w="1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(62,171)</w:t>
            </w:r>
          </w:p>
        </w:tc>
        <w:tc>
          <w:tcPr>
            <w:tcW w:w="0" w:type="dxa"/>
            <w:vAlign w:val="bottom"/>
          </w:tcPr>
          <w:p>
            <w:pPr>
              <w:spacing w:after="0"/>
              <w:rPr>
                <w:sz w:val="1"/>
                <w:szCs w:val="1"/>
                <w:color w:val="auto"/>
              </w:rPr>
            </w:pPr>
          </w:p>
        </w:tc>
      </w:tr>
      <w:tr>
        <w:trPr>
          <w:trHeight w:val="237"/>
        </w:trPr>
        <w:tc>
          <w:tcPr>
            <w:tcW w:w="83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b w:val="1"/>
                <w:bCs w:val="1"/>
                <w:color w:val="auto"/>
              </w:rPr>
              <w:t>Debt, net of current portion:</w:t>
            </w:r>
          </w:p>
        </w:tc>
        <w:tc>
          <w:tcPr>
            <w:tcW w:w="26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1"/>
        </w:trPr>
        <w:tc>
          <w:tcPr>
            <w:tcW w:w="83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Extinguishment of Amneal’s historical long-term debt obligations</w:t>
            </w:r>
          </w:p>
        </w:tc>
        <w:tc>
          <w:tcPr>
            <w:tcW w:w="260" w:type="dxa"/>
            <w:vAlign w:val="bottom"/>
          </w:tcPr>
          <w:p>
            <w:pPr>
              <w:jc w:val="right"/>
              <w:ind w:right="55"/>
              <w:spacing w:after="0"/>
              <w:rPr>
                <w:sz w:val="20"/>
                <w:szCs w:val="20"/>
                <w:color w:val="auto"/>
              </w:rPr>
            </w:pPr>
            <w:r>
              <w:rPr>
                <w:rFonts w:ascii="Times New Roman" w:cs="Times New Roman" w:eastAsia="Times New Roman" w:hAnsi="Times New Roman"/>
                <w:sz w:val="17"/>
                <w:szCs w:val="17"/>
                <w:color w:val="auto"/>
              </w:rPr>
              <w:t>$</w:t>
            </w:r>
          </w:p>
        </w:tc>
        <w:tc>
          <w:tcPr>
            <w:tcW w:w="16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(1,358,477)</w:t>
            </w:r>
          </w:p>
        </w:tc>
        <w:tc>
          <w:tcPr>
            <w:tcW w:w="0" w:type="dxa"/>
            <w:vAlign w:val="bottom"/>
          </w:tcPr>
          <w:p>
            <w:pPr>
              <w:spacing w:after="0"/>
              <w:rPr>
                <w:sz w:val="1"/>
                <w:szCs w:val="1"/>
                <w:color w:val="auto"/>
              </w:rPr>
            </w:pPr>
          </w:p>
        </w:tc>
      </w:tr>
      <w:tr>
        <w:trPr>
          <w:trHeight w:val="29"/>
        </w:trPr>
        <w:tc>
          <w:tcPr>
            <w:tcW w:w="8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80" w:type="dxa"/>
            <w:vAlign w:val="bottom"/>
            <w:shd w:val="clear" w:color="auto" w:fill="CCEEFF"/>
          </w:tcPr>
          <w:p>
            <w:pPr>
              <w:ind w:left="40"/>
              <w:spacing w:after="0" w:line="270" w:lineRule="exact"/>
              <w:rPr>
                <w:sz w:val="20"/>
                <w:szCs w:val="20"/>
                <w:color w:val="auto"/>
              </w:rPr>
            </w:pPr>
            <w:r>
              <w:rPr>
                <w:rFonts w:ascii="Times New Roman" w:cs="Times New Roman" w:eastAsia="Times New Roman" w:hAnsi="Times New Roman"/>
                <w:sz w:val="17"/>
                <w:szCs w:val="17"/>
                <w:color w:val="auto"/>
              </w:rPr>
              <w:t>Record noncurrent portion of the New Term Facility</w:t>
            </w:r>
            <w:r>
              <w:rPr>
                <w:rFonts w:ascii="Times New Roman" w:cs="Times New Roman" w:eastAsia="Times New Roman" w:hAnsi="Times New Roman"/>
                <w:sz w:val="28"/>
                <w:szCs w:val="28"/>
                <w:color w:val="auto"/>
                <w:vertAlign w:val="superscript"/>
              </w:rPr>
              <w:t>(1)</w:t>
            </w:r>
          </w:p>
        </w:tc>
        <w:tc>
          <w:tcPr>
            <w:tcW w:w="260" w:type="dxa"/>
            <w:vAlign w:val="bottom"/>
            <w:shd w:val="clear" w:color="auto" w:fill="CCEEFF"/>
          </w:tcPr>
          <w:p>
            <w:pPr>
              <w:spacing w:after="0"/>
              <w:rPr>
                <w:sz w:val="23"/>
                <w:szCs w:val="23"/>
                <w:color w:val="auto"/>
              </w:rPr>
            </w:pPr>
          </w:p>
        </w:tc>
        <w:tc>
          <w:tcPr>
            <w:tcW w:w="1600" w:type="dxa"/>
            <w:vAlign w:val="bottom"/>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2,673,000</w:t>
            </w:r>
          </w:p>
        </w:tc>
        <w:tc>
          <w:tcPr>
            <w:tcW w:w="0" w:type="dxa"/>
            <w:vAlign w:val="bottom"/>
          </w:tcPr>
          <w:p>
            <w:pPr>
              <w:spacing w:after="0"/>
              <w:rPr>
                <w:sz w:val="1"/>
                <w:szCs w:val="1"/>
                <w:color w:val="auto"/>
              </w:rPr>
            </w:pPr>
          </w:p>
        </w:tc>
      </w:tr>
      <w:tr>
        <w:trPr>
          <w:trHeight w:val="241"/>
        </w:trPr>
        <w:tc>
          <w:tcPr>
            <w:tcW w:w="838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Less: financing fees</w:t>
            </w:r>
          </w:p>
        </w:tc>
        <w:tc>
          <w:tcPr>
            <w:tcW w:w="260" w:type="dxa"/>
            <w:vAlign w:val="bottom"/>
          </w:tcPr>
          <w:p>
            <w:pPr>
              <w:spacing w:after="0"/>
              <w:rPr>
                <w:sz w:val="20"/>
                <w:szCs w:val="20"/>
                <w:color w:val="auto"/>
              </w:rPr>
            </w:pPr>
          </w:p>
        </w:tc>
        <w:tc>
          <w:tcPr>
            <w:tcW w:w="160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(33,179)</w:t>
            </w:r>
          </w:p>
        </w:tc>
        <w:tc>
          <w:tcPr>
            <w:tcW w:w="0" w:type="dxa"/>
            <w:vAlign w:val="bottom"/>
          </w:tcPr>
          <w:p>
            <w:pPr>
              <w:spacing w:after="0"/>
              <w:rPr>
                <w:sz w:val="1"/>
                <w:szCs w:val="1"/>
                <w:color w:val="auto"/>
              </w:rPr>
            </w:pPr>
          </w:p>
        </w:tc>
      </w:tr>
      <w:tr>
        <w:trPr>
          <w:trHeight w:val="29"/>
        </w:trPr>
        <w:tc>
          <w:tcPr>
            <w:tcW w:w="83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38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7"/>
                <w:szCs w:val="17"/>
                <w:b w:val="1"/>
                <w:bCs w:val="1"/>
                <w:color w:val="auto"/>
              </w:rPr>
              <w:t>Total adjustment to debt, net of current portion</w:t>
            </w:r>
          </w:p>
        </w:tc>
        <w:tc>
          <w:tcPr>
            <w:tcW w:w="260" w:type="dxa"/>
            <w:vAlign w:val="bottom"/>
            <w:tcBorders>
              <w:bottom w:val="single" w:sz="8" w:color="auto"/>
            </w:tcBorders>
            <w:shd w:val="clear" w:color="auto" w:fill="CCEEFF"/>
          </w:tcPr>
          <w:p>
            <w:pPr>
              <w:jc w:val="right"/>
              <w:ind w:right="55"/>
              <w:spacing w:after="0"/>
              <w:rPr>
                <w:sz w:val="20"/>
                <w:szCs w:val="20"/>
                <w:color w:val="auto"/>
              </w:rPr>
            </w:pPr>
            <w:r>
              <w:rPr>
                <w:rFonts w:ascii="Times New Roman" w:cs="Times New Roman" w:eastAsia="Times New Roman" w:hAnsi="Times New Roman"/>
                <w:sz w:val="17"/>
                <w:szCs w:val="17"/>
                <w:color w:val="auto"/>
              </w:rPr>
              <w:t>$</w:t>
            </w:r>
          </w:p>
        </w:tc>
        <w:tc>
          <w:tcPr>
            <w:tcW w:w="1600" w:type="dxa"/>
            <w:vAlign w:val="bottom"/>
            <w:tcBorders>
              <w:bottom w:val="single" w:sz="8" w:color="auto"/>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1,281,344</w:t>
            </w:r>
          </w:p>
        </w:tc>
        <w:tc>
          <w:tcPr>
            <w:tcW w:w="0" w:type="dxa"/>
            <w:vAlign w:val="bottom"/>
          </w:tcPr>
          <w:p>
            <w:pPr>
              <w:spacing w:after="0"/>
              <w:rPr>
                <w:sz w:val="1"/>
                <w:szCs w:val="1"/>
                <w:color w:val="auto"/>
              </w:rPr>
            </w:pPr>
          </w:p>
        </w:tc>
      </w:tr>
    </w:tbl>
    <w:p>
      <w:pPr>
        <w:spacing w:after="0" w:line="5" w:lineRule="exact"/>
        <w:rPr>
          <w:sz w:val="20"/>
          <w:szCs w:val="20"/>
          <w:color w:val="auto"/>
        </w:rPr>
      </w:pPr>
    </w:p>
    <w:p>
      <w:pPr>
        <w:ind w:left="40" w:right="1780" w:hanging="5"/>
        <w:spacing w:after="0" w:line="281" w:lineRule="auto"/>
        <w:tabs>
          <w:tab w:leader="none" w:pos="282" w:val="left"/>
        </w:tabs>
        <w:numPr>
          <w:ilvl w:val="1"/>
          <w:numId w:val="3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Pursuant to the terms of the New Term Facility, Amneal is required to repay amounts borrowed under the New Term Facility in quarterly installments of 0.25% of the total principal amount through the maturity date, at which time the remaining principal balance will be due.</w:t>
      </w:r>
    </w:p>
    <w:p>
      <w:pPr>
        <w:spacing w:after="0" w:line="193" w:lineRule="exact"/>
        <w:rPr>
          <w:rFonts w:ascii="Times New Roman" w:cs="Times New Roman" w:eastAsia="Times New Roman" w:hAnsi="Times New Roman"/>
          <w:sz w:val="17"/>
          <w:szCs w:val="17"/>
          <w:color w:val="auto"/>
        </w:rPr>
      </w:pPr>
    </w:p>
    <w:p>
      <w:pPr>
        <w:ind w:left="340" w:hanging="332"/>
        <w:spacing w:after="0"/>
        <w:tabs>
          <w:tab w:leader="none" w:pos="34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Adjustment to eliminate $0.8 million of accrued interest associated with Amneal’s historical debt obligations.</w:t>
      </w:r>
    </w:p>
    <w:p>
      <w:pPr>
        <w:spacing w:after="0" w:line="22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Adjustment to record the new deferred financing fee asset of $3.2 million associated with New ABL Facility.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5321935</wp:posOffset>
            </wp:positionH>
            <wp:positionV relativeFrom="paragraph">
              <wp:posOffset>-814070</wp:posOffset>
            </wp:positionV>
            <wp:extent cx="117475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174750" cy="8890"/>
                    </a:xfrm>
                    <a:prstGeom prst="rect">
                      <a:avLst/>
                    </a:prstGeom>
                    <a:noFill/>
                  </pic:spPr>
                </pic:pic>
              </a:graphicData>
            </a:graphic>
          </wp:anchor>
        </w:drawing>
      </w:r>
    </w:p>
    <w:p>
      <w:pPr>
        <w:sectPr>
          <w:pgSz w:w="11900" w:h="16838" w:orient="portrait"/>
          <w:cols w:equalWidth="0" w:num="1">
            <w:col w:w="11420"/>
          </w:cols>
          <w:pgMar w:left="240" w:top="122" w:right="239" w:bottom="1440" w:gutter="0" w:footer="0" w:header="0"/>
          <w:type w:val="continuous"/>
        </w:sect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11420"/>
          </w:cols>
          <w:pgMar w:left="240" w:top="122" w:right="239" w:bottom="1440" w:gutter="0" w:footer="0" w:header="0"/>
          <w:type w:val="continuous"/>
        </w:sectPr>
      </w:pPr>
    </w:p>
    <w:bookmarkStart w:id="45" w:name="page46"/>
    <w:bookmarkEnd w:id="45"/>
    <w:p>
      <w:pPr>
        <w:jc w:val="center"/>
        <w:spacing w:after="0"/>
        <w:rPr>
          <w:sz w:val="20"/>
          <w:szCs w:val="20"/>
          <w:color w:val="auto"/>
        </w:rPr>
      </w:pPr>
      <w:r>
        <w:rPr>
          <w:rFonts w:ascii="Times New Roman" w:cs="Times New Roman" w:eastAsia="Times New Roman" w:hAnsi="Times New Roman"/>
          <w:sz w:val="22"/>
          <w:szCs w:val="22"/>
          <w:b w:val="1"/>
          <w:bCs w:val="1"/>
          <w:color w:val="auto"/>
        </w:rPr>
        <w:t>NOTES TO UNAUDITED PRO FORMA CONDENSED COMBINED FINANCIAL STATEMENTS</w:t>
      </w:r>
    </w:p>
    <w:p>
      <w:pPr>
        <w:spacing w:after="0" w:line="246" w:lineRule="exact"/>
        <w:rPr>
          <w:sz w:val="20"/>
          <w:szCs w:val="20"/>
          <w:color w:val="auto"/>
        </w:rPr>
      </w:pPr>
    </w:p>
    <w:p>
      <w:pPr>
        <w:jc w:val="both"/>
        <w:ind w:left="340" w:hanging="332"/>
        <w:spacing w:after="0" w:line="255" w:lineRule="auto"/>
        <w:tabs>
          <w:tab w:leader="none" w:pos="34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New Amneal is subject to U.S. federal and state income taxes and will file consolidated income tax returns for U.S. federal and certain state jurisdictions. All tax attributes and related tax adjustments are recorded based on New Amneal’s tax basis in its Amneal partnership interest in comparison to New Amneal’s proportionate share of the GAAP basis in assets held directly by Amneal (a tax-transparent entity). Represents an adjustment of $48.1 million as of March 31, 2018 to the unaudited pro forma condensed combined balance sheet. The adjustment records the historical taxes associated with the tax basis of assets held directly by Impax and contributed by New Amneal to Amneal in comparison to New Amneal’s proportionate 25% ownership interests of the GAAP basis of all assets held directly by Amneal using an estimated statutory rate of 23.5% (based on recently enacted U.S. tax law), net of valuation allowance. This rate does not reflect New Amneal’s effective tax rate, which includes other items and may be significantly different than the rates assumed for purposes of preparing these statements.</w:t>
      </w:r>
    </w:p>
    <w:p>
      <w:pPr>
        <w:spacing w:after="0" w:line="185" w:lineRule="exact"/>
        <w:rPr>
          <w:rFonts w:ascii="Times New Roman" w:cs="Times New Roman" w:eastAsia="Times New Roman" w:hAnsi="Times New Roman"/>
          <w:sz w:val="18"/>
          <w:szCs w:val="18"/>
          <w:color w:val="auto"/>
        </w:rPr>
      </w:pPr>
    </w:p>
    <w:p>
      <w:pPr>
        <w:jc w:val="both"/>
        <w:ind w:left="340" w:hanging="332"/>
        <w:spacing w:after="0" w:line="255" w:lineRule="auto"/>
        <w:tabs>
          <w:tab w:leader="none" w:pos="34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New Amneal is subject to U.S. federal and state income taxes and will file consolidated income tax returns for U.S. federal and certain state jurisdictions. All tax attributes and related tax adjustments are recorded based on New Amneal’s tax basis in its Amneal partnership interest in comparison to New Amneal’s proportionate share of the GAAP basis in assets held directly by Amneal (a tax-transparent entity). Represents an adjustment of $1.6 million for the three months ended March 31, 2018 and $5.6 million for the year ended December 31, 2017. The adjustments record the historical taxes associated with the tax basis of assets held directly by Impax and contributed by New Amneal to Amneal in comparison to New Amneal’s proportionate 25% ownership interests of the GAAP basis of all assets held directly by Amneal using an estimated statutory rate of 23.5% and 37.1% for the three months ended March 31, 2018 and the year ended December 31, 2017, respectively. These rates do not reflect New Amneal’s effective tax rate, which includes other items and may be significantly different than the rates assumed for purposes of preparing these statements.</w:t>
      </w:r>
    </w:p>
    <w:p>
      <w:pPr>
        <w:spacing w:after="0" w:line="18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Adjustment to the components of New Amneal equity represent the following:</w:t>
      </w:r>
    </w:p>
    <w:p>
      <w:pPr>
        <w:spacing w:after="0" w:line="380" w:lineRule="exact"/>
        <w:rPr>
          <w:sz w:val="20"/>
          <w:szCs w:val="20"/>
          <w:color w:val="auto"/>
        </w:rPr>
      </w:pPr>
    </w:p>
    <w:tbl>
      <w:tblPr>
        <w:tblLayout w:type="fixed"/>
        <w:tblInd w:w="0" w:type="dxa"/>
        <w:tblCellMar>
          <w:top w:w="0" w:type="dxa"/>
          <w:left w:w="0" w:type="dxa"/>
          <w:bottom w:w="0" w:type="dxa"/>
          <w:right w:w="0" w:type="dxa"/>
        </w:tblCellMar>
      </w:tblPr>
      <w:tr>
        <w:trPr>
          <w:trHeight w:val="226"/>
        </w:trPr>
        <w:tc>
          <w:tcPr>
            <w:tcW w:w="43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020" w:type="dxa"/>
            <w:vAlign w:val="bottom"/>
            <w:gridSpan w:val="5"/>
          </w:tcPr>
          <w:p>
            <w:pPr>
              <w:ind w:left="720"/>
              <w:spacing w:after="0"/>
              <w:rPr>
                <w:sz w:val="20"/>
                <w:szCs w:val="20"/>
                <w:color w:val="auto"/>
              </w:rPr>
            </w:pPr>
            <w:r>
              <w:rPr>
                <w:rFonts w:ascii="Times New Roman" w:cs="Times New Roman" w:eastAsia="Times New Roman" w:hAnsi="Times New Roman"/>
                <w:sz w:val="17"/>
                <w:szCs w:val="17"/>
                <w:b w:val="1"/>
                <w:bCs w:val="1"/>
                <w:color w:val="auto"/>
              </w:rPr>
              <w:t>As of March 31, 2018</w:t>
            </w:r>
          </w:p>
        </w:tc>
        <w:tc>
          <w:tcPr>
            <w:tcW w:w="400" w:type="dxa"/>
            <w:vAlign w:val="bottom"/>
          </w:tcPr>
          <w:p>
            <w:pPr>
              <w:spacing w:after="0"/>
              <w:rPr>
                <w:sz w:val="19"/>
                <w:szCs w:val="19"/>
                <w:color w:val="auto"/>
              </w:rPr>
            </w:pPr>
          </w:p>
        </w:tc>
        <w:tc>
          <w:tcPr>
            <w:tcW w:w="1360" w:type="dxa"/>
            <w:vAlign w:val="bottom"/>
          </w:tcPr>
          <w:p>
            <w:pPr>
              <w:spacing w:after="0"/>
              <w:rPr>
                <w:sz w:val="19"/>
                <w:szCs w:val="19"/>
                <w:color w:val="auto"/>
              </w:rPr>
            </w:pPr>
          </w:p>
        </w:tc>
      </w:tr>
      <w:tr>
        <w:trPr>
          <w:trHeight w:val="43"/>
        </w:trPr>
        <w:tc>
          <w:tcPr>
            <w:tcW w:w="4360" w:type="dxa"/>
            <w:vAlign w:val="bottom"/>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380" w:type="dxa"/>
            <w:vAlign w:val="bottom"/>
            <w:tcBorders>
              <w:bottom w:val="single" w:sz="8" w:color="auto"/>
            </w:tcBorders>
            <w:gridSpan w:val="2"/>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1380" w:type="dxa"/>
            <w:vAlign w:val="bottom"/>
            <w:tcBorders>
              <w:bottom w:val="single" w:sz="8" w:color="auto"/>
            </w:tcBorders>
            <w:gridSpan w:val="2"/>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1480" w:type="dxa"/>
            <w:vAlign w:val="bottom"/>
            <w:tcBorders>
              <w:bottom w:val="single" w:sz="8" w:color="auto"/>
            </w:tcBorders>
            <w:gridSpan w:val="2"/>
          </w:tcPr>
          <w:p>
            <w:pPr>
              <w:spacing w:after="0"/>
              <w:rPr>
                <w:sz w:val="3"/>
                <w:szCs w:val="3"/>
                <w:color w:val="auto"/>
              </w:rPr>
            </w:pPr>
          </w:p>
        </w:tc>
        <w:tc>
          <w:tcPr>
            <w:tcW w:w="400" w:type="dxa"/>
            <w:vAlign w:val="bottom"/>
            <w:tcBorders>
              <w:bottom w:val="single" w:sz="8" w:color="auto"/>
            </w:tcBorders>
          </w:tcPr>
          <w:p>
            <w:pPr>
              <w:spacing w:after="0"/>
              <w:rPr>
                <w:sz w:val="3"/>
                <w:szCs w:val="3"/>
                <w:color w:val="auto"/>
              </w:rPr>
            </w:pPr>
          </w:p>
        </w:tc>
        <w:tc>
          <w:tcPr>
            <w:tcW w:w="1360" w:type="dxa"/>
            <w:vAlign w:val="bottom"/>
            <w:tcBorders>
              <w:bottom w:val="single" w:sz="8" w:color="auto"/>
            </w:tcBorders>
          </w:tcPr>
          <w:p>
            <w:pPr>
              <w:spacing w:after="0"/>
              <w:rPr>
                <w:sz w:val="3"/>
                <w:szCs w:val="3"/>
                <w:color w:val="auto"/>
              </w:rPr>
            </w:pPr>
          </w:p>
        </w:tc>
      </w:tr>
      <w:tr>
        <w:trPr>
          <w:trHeight w:val="235"/>
        </w:trPr>
        <w:tc>
          <w:tcPr>
            <w:tcW w:w="4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80" w:type="dxa"/>
            <w:vAlign w:val="bottom"/>
            <w:gridSpan w:val="2"/>
          </w:tcPr>
          <w:p>
            <w:pPr>
              <w:jc w:val="center"/>
              <w:ind w:right="260"/>
              <w:spacing w:after="0"/>
              <w:rPr>
                <w:sz w:val="20"/>
                <w:szCs w:val="20"/>
                <w:color w:val="auto"/>
              </w:rPr>
            </w:pPr>
            <w:r>
              <w:rPr>
                <w:rFonts w:ascii="Times New Roman" w:cs="Times New Roman" w:eastAsia="Times New Roman" w:hAnsi="Times New Roman"/>
                <w:sz w:val="17"/>
                <w:szCs w:val="17"/>
                <w:b w:val="1"/>
                <w:bCs w:val="1"/>
                <w:color w:val="auto"/>
              </w:rPr>
              <w:t>Distribution to</w:t>
            </w:r>
          </w:p>
        </w:tc>
        <w:tc>
          <w:tcPr>
            <w:tcW w:w="280" w:type="dxa"/>
            <w:vAlign w:val="bottom"/>
          </w:tcPr>
          <w:p>
            <w:pPr>
              <w:spacing w:after="0"/>
              <w:rPr>
                <w:sz w:val="20"/>
                <w:szCs w:val="20"/>
                <w:color w:val="auto"/>
              </w:rPr>
            </w:pPr>
          </w:p>
        </w:tc>
        <w:tc>
          <w:tcPr>
            <w:tcW w:w="1380" w:type="dxa"/>
            <w:vAlign w:val="bottom"/>
            <w:gridSpan w:val="2"/>
          </w:tcPr>
          <w:p>
            <w:pPr>
              <w:jc w:val="center"/>
              <w:ind w:right="400"/>
              <w:spacing w:after="0"/>
              <w:rPr>
                <w:sz w:val="20"/>
                <w:szCs w:val="20"/>
                <w:color w:val="auto"/>
              </w:rPr>
            </w:pPr>
            <w:r>
              <w:rPr>
                <w:rFonts w:ascii="Times New Roman" w:cs="Times New Roman" w:eastAsia="Times New Roman" w:hAnsi="Times New Roman"/>
                <w:sz w:val="17"/>
                <w:szCs w:val="17"/>
                <w:b w:val="1"/>
                <w:bCs w:val="1"/>
                <w:color w:val="auto"/>
                <w:w w:val="99"/>
              </w:rPr>
              <w:t>Rollover</w:t>
            </w:r>
          </w:p>
        </w:tc>
        <w:tc>
          <w:tcPr>
            <w:tcW w:w="160" w:type="dxa"/>
            <w:vAlign w:val="bottom"/>
          </w:tcPr>
          <w:p>
            <w:pPr>
              <w:spacing w:after="0"/>
              <w:rPr>
                <w:sz w:val="20"/>
                <w:szCs w:val="20"/>
                <w:color w:val="auto"/>
              </w:rPr>
            </w:pPr>
          </w:p>
        </w:tc>
        <w:tc>
          <w:tcPr>
            <w:tcW w:w="1480" w:type="dxa"/>
            <w:vAlign w:val="bottom"/>
            <w:gridSpan w:val="2"/>
          </w:tcPr>
          <w:p>
            <w:pPr>
              <w:jc w:val="center"/>
              <w:ind w:right="280"/>
              <w:spacing w:after="0"/>
              <w:rPr>
                <w:sz w:val="20"/>
                <w:szCs w:val="20"/>
                <w:color w:val="auto"/>
              </w:rPr>
            </w:pPr>
            <w:r>
              <w:rPr>
                <w:rFonts w:ascii="Times New Roman" w:cs="Times New Roman" w:eastAsia="Times New Roman" w:hAnsi="Times New Roman"/>
                <w:sz w:val="17"/>
                <w:szCs w:val="17"/>
                <w:b w:val="1"/>
                <w:bCs w:val="1"/>
                <w:color w:val="auto"/>
              </w:rPr>
              <w:t>Other</w:t>
            </w:r>
          </w:p>
        </w:tc>
        <w:tc>
          <w:tcPr>
            <w:tcW w:w="400" w:type="dxa"/>
            <w:vAlign w:val="bottom"/>
          </w:tcPr>
          <w:p>
            <w:pPr>
              <w:spacing w:after="0"/>
              <w:rPr>
                <w:sz w:val="20"/>
                <w:szCs w:val="20"/>
                <w:color w:val="auto"/>
              </w:rPr>
            </w:pPr>
          </w:p>
        </w:tc>
        <w:tc>
          <w:tcPr>
            <w:tcW w:w="1360" w:type="dxa"/>
            <w:vAlign w:val="bottom"/>
          </w:tcPr>
          <w:p>
            <w:pPr>
              <w:jc w:val="right"/>
              <w:ind w:right="615"/>
              <w:spacing w:after="0"/>
              <w:rPr>
                <w:sz w:val="20"/>
                <w:szCs w:val="20"/>
                <w:color w:val="auto"/>
              </w:rPr>
            </w:pPr>
            <w:r>
              <w:rPr>
                <w:rFonts w:ascii="Times New Roman" w:cs="Times New Roman" w:eastAsia="Times New Roman" w:hAnsi="Times New Roman"/>
                <w:sz w:val="17"/>
                <w:szCs w:val="17"/>
                <w:b w:val="1"/>
                <w:bCs w:val="1"/>
                <w:color w:val="auto"/>
              </w:rPr>
              <w:t>Total</w:t>
            </w:r>
          </w:p>
        </w:tc>
      </w:tr>
      <w:tr>
        <w:trPr>
          <w:trHeight w:val="233"/>
        </w:trPr>
        <w:tc>
          <w:tcPr>
            <w:tcW w:w="4360" w:type="dxa"/>
            <w:vAlign w:val="bottom"/>
          </w:tcPr>
          <w:p>
            <w:pPr>
              <w:spacing w:after="0"/>
              <w:rPr>
                <w:sz w:val="20"/>
                <w:szCs w:val="20"/>
                <w:color w:val="auto"/>
              </w:rPr>
            </w:pPr>
          </w:p>
        </w:tc>
        <w:tc>
          <w:tcPr>
            <w:tcW w:w="1520" w:type="dxa"/>
            <w:vAlign w:val="bottom"/>
            <w:gridSpan w:val="3"/>
          </w:tcPr>
          <w:p>
            <w:pPr>
              <w:jc w:val="center"/>
              <w:ind w:right="100"/>
              <w:spacing w:after="0"/>
              <w:rPr>
                <w:sz w:val="20"/>
                <w:szCs w:val="20"/>
                <w:color w:val="auto"/>
              </w:rPr>
            </w:pPr>
            <w:r>
              <w:rPr>
                <w:rFonts w:ascii="Times New Roman" w:cs="Times New Roman" w:eastAsia="Times New Roman" w:hAnsi="Times New Roman"/>
                <w:sz w:val="17"/>
                <w:szCs w:val="17"/>
                <w:b w:val="1"/>
                <w:bCs w:val="1"/>
                <w:color w:val="auto"/>
              </w:rPr>
              <w:t>Existing Amneal</w:t>
            </w:r>
          </w:p>
        </w:tc>
        <w:tc>
          <w:tcPr>
            <w:tcW w:w="1660" w:type="dxa"/>
            <w:vAlign w:val="bottom"/>
            <w:gridSpan w:val="3"/>
          </w:tcPr>
          <w:p>
            <w:pPr>
              <w:jc w:val="center"/>
              <w:ind w:right="120"/>
              <w:spacing w:after="0"/>
              <w:rPr>
                <w:sz w:val="20"/>
                <w:szCs w:val="20"/>
                <w:color w:val="auto"/>
              </w:rPr>
            </w:pPr>
            <w:r>
              <w:rPr>
                <w:rFonts w:ascii="Times New Roman" w:cs="Times New Roman" w:eastAsia="Times New Roman" w:hAnsi="Times New Roman"/>
                <w:sz w:val="17"/>
                <w:szCs w:val="17"/>
                <w:b w:val="1"/>
                <w:bCs w:val="1"/>
                <w:color w:val="auto"/>
              </w:rPr>
              <w:t>Historical Amneal</w:t>
            </w:r>
          </w:p>
        </w:tc>
        <w:tc>
          <w:tcPr>
            <w:tcW w:w="160" w:type="dxa"/>
            <w:vAlign w:val="bottom"/>
          </w:tcPr>
          <w:p>
            <w:pPr>
              <w:spacing w:after="0"/>
              <w:rPr>
                <w:sz w:val="20"/>
                <w:szCs w:val="20"/>
                <w:color w:val="auto"/>
              </w:rPr>
            </w:pPr>
          </w:p>
        </w:tc>
        <w:tc>
          <w:tcPr>
            <w:tcW w:w="1480" w:type="dxa"/>
            <w:vAlign w:val="bottom"/>
            <w:gridSpan w:val="2"/>
          </w:tcPr>
          <w:p>
            <w:pPr>
              <w:jc w:val="center"/>
              <w:ind w:right="280"/>
              <w:spacing w:after="0"/>
              <w:rPr>
                <w:sz w:val="20"/>
                <w:szCs w:val="20"/>
                <w:color w:val="auto"/>
              </w:rPr>
            </w:pPr>
            <w:r>
              <w:rPr>
                <w:rFonts w:ascii="Times New Roman" w:cs="Times New Roman" w:eastAsia="Times New Roman" w:hAnsi="Times New Roman"/>
                <w:sz w:val="17"/>
                <w:szCs w:val="17"/>
                <w:b w:val="1"/>
                <w:bCs w:val="1"/>
                <w:color w:val="auto"/>
                <w:w w:val="97"/>
              </w:rPr>
              <w:t>Equity</w:t>
            </w:r>
          </w:p>
        </w:tc>
        <w:tc>
          <w:tcPr>
            <w:tcW w:w="1760" w:type="dxa"/>
            <w:vAlign w:val="bottom"/>
            <w:gridSpan w:val="2"/>
          </w:tcPr>
          <w:p>
            <w:pPr>
              <w:ind w:left="20"/>
              <w:spacing w:after="0"/>
              <w:rPr>
                <w:sz w:val="20"/>
                <w:szCs w:val="20"/>
                <w:color w:val="auto"/>
              </w:rPr>
            </w:pPr>
            <w:r>
              <w:rPr>
                <w:rFonts w:ascii="Times New Roman" w:cs="Times New Roman" w:eastAsia="Times New Roman" w:hAnsi="Times New Roman"/>
                <w:sz w:val="17"/>
                <w:szCs w:val="17"/>
                <w:b w:val="1"/>
                <w:bCs w:val="1"/>
                <w:color w:val="auto"/>
              </w:rPr>
              <w:t>Pro Forma Adjustment</w:t>
            </w:r>
          </w:p>
        </w:tc>
      </w:tr>
      <w:tr>
        <w:trPr>
          <w:trHeight w:val="255"/>
        </w:trPr>
        <w:tc>
          <w:tcPr>
            <w:tcW w:w="4360" w:type="dxa"/>
            <w:vAlign w:val="bottom"/>
          </w:tcPr>
          <w:p>
            <w:pPr>
              <w:ind w:left="40"/>
              <w:spacing w:after="0"/>
              <w:rPr>
                <w:sz w:val="20"/>
                <w:szCs w:val="20"/>
                <w:color w:val="auto"/>
              </w:rPr>
            </w:pPr>
            <w:r>
              <w:rPr>
                <w:rFonts w:ascii="Times New Roman" w:cs="Times New Roman" w:eastAsia="Times New Roman" w:hAnsi="Times New Roman"/>
                <w:sz w:val="17"/>
                <w:szCs w:val="17"/>
                <w:i w:val="1"/>
                <w:iCs w:val="1"/>
                <w:color w:val="auto"/>
              </w:rPr>
              <w:t>(in thousands)</w:t>
            </w:r>
          </w:p>
        </w:tc>
        <w:tc>
          <w:tcPr>
            <w:tcW w:w="14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center"/>
              <w:ind w:right="55"/>
              <w:spacing w:after="0" w:line="255" w:lineRule="exact"/>
              <w:rPr>
                <w:sz w:val="20"/>
                <w:szCs w:val="20"/>
                <w:color w:val="auto"/>
              </w:rPr>
            </w:pPr>
            <w:r>
              <w:rPr>
                <w:rFonts w:ascii="Times New Roman" w:cs="Times New Roman" w:eastAsia="Times New Roman" w:hAnsi="Times New Roman"/>
                <w:sz w:val="17"/>
                <w:szCs w:val="17"/>
                <w:b w:val="1"/>
                <w:bCs w:val="1"/>
                <w:color w:val="auto"/>
                <w:w w:val="94"/>
              </w:rPr>
              <w:t>Members</w:t>
            </w:r>
            <w:r>
              <w:rPr>
                <w:rFonts w:ascii="Times New Roman" w:cs="Times New Roman" w:eastAsia="Times New Roman" w:hAnsi="Times New Roman"/>
                <w:sz w:val="28"/>
                <w:szCs w:val="28"/>
                <w:b w:val="1"/>
                <w:bCs w:val="1"/>
                <w:color w:val="auto"/>
                <w:w w:val="94"/>
                <w:vertAlign w:val="superscript"/>
              </w:rPr>
              <w:t>(1)</w:t>
            </w:r>
          </w:p>
        </w:tc>
        <w:tc>
          <w:tcPr>
            <w:tcW w:w="100" w:type="dxa"/>
            <w:vAlign w:val="bottom"/>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jc w:val="center"/>
              <w:ind w:right="195"/>
              <w:spacing w:after="0" w:line="255" w:lineRule="exact"/>
              <w:rPr>
                <w:sz w:val="20"/>
                <w:szCs w:val="20"/>
                <w:color w:val="auto"/>
              </w:rPr>
            </w:pPr>
            <w:r>
              <w:rPr>
                <w:rFonts w:ascii="Times New Roman" w:cs="Times New Roman" w:eastAsia="Times New Roman" w:hAnsi="Times New Roman"/>
                <w:sz w:val="17"/>
                <w:szCs w:val="17"/>
                <w:b w:val="1"/>
                <w:bCs w:val="1"/>
                <w:color w:val="auto"/>
                <w:w w:val="93"/>
              </w:rPr>
              <w:t>Equity</w:t>
            </w:r>
            <w:r>
              <w:rPr>
                <w:rFonts w:ascii="Times New Roman" w:cs="Times New Roman" w:eastAsia="Times New Roman" w:hAnsi="Times New Roman"/>
                <w:sz w:val="28"/>
                <w:szCs w:val="28"/>
                <w:b w:val="1"/>
                <w:bCs w:val="1"/>
                <w:color w:val="auto"/>
                <w:w w:val="93"/>
                <w:vertAlign w:val="superscript"/>
              </w:rPr>
              <w:t>(2)</w:t>
            </w:r>
          </w:p>
        </w:tc>
        <w:tc>
          <w:tcPr>
            <w:tcW w:w="12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380" w:type="dxa"/>
            <w:vAlign w:val="bottom"/>
            <w:tcBorders>
              <w:bottom w:val="single" w:sz="8" w:color="auto"/>
            </w:tcBorders>
          </w:tcPr>
          <w:p>
            <w:pPr>
              <w:jc w:val="center"/>
              <w:ind w:right="95"/>
              <w:spacing w:after="0" w:line="255" w:lineRule="exact"/>
              <w:rPr>
                <w:sz w:val="20"/>
                <w:szCs w:val="20"/>
                <w:color w:val="auto"/>
              </w:rPr>
            </w:pPr>
            <w:r>
              <w:rPr>
                <w:rFonts w:ascii="Times New Roman" w:cs="Times New Roman" w:eastAsia="Times New Roman" w:hAnsi="Times New Roman"/>
                <w:sz w:val="17"/>
                <w:szCs w:val="17"/>
                <w:b w:val="1"/>
                <w:bCs w:val="1"/>
                <w:color w:val="auto"/>
                <w:w w:val="94"/>
              </w:rPr>
              <w:t>Adjustments</w:t>
            </w:r>
            <w:r>
              <w:rPr>
                <w:rFonts w:ascii="Times New Roman" w:cs="Times New Roman" w:eastAsia="Times New Roman" w:hAnsi="Times New Roman"/>
                <w:sz w:val="28"/>
                <w:szCs w:val="28"/>
                <w:b w:val="1"/>
                <w:bCs w:val="1"/>
                <w:color w:val="auto"/>
                <w:w w:val="94"/>
                <w:vertAlign w:val="superscript"/>
              </w:rPr>
              <w:t>(3)</w:t>
            </w:r>
          </w:p>
        </w:tc>
        <w:tc>
          <w:tcPr>
            <w:tcW w:w="100" w:type="dxa"/>
            <w:vAlign w:val="bottom"/>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360" w:type="dxa"/>
            <w:vAlign w:val="bottom"/>
            <w:tcBorders>
              <w:bottom w:val="single" w:sz="8" w:color="auto"/>
            </w:tcBorders>
          </w:tcPr>
          <w:p>
            <w:pPr>
              <w:spacing w:after="0"/>
              <w:rPr>
                <w:sz w:val="22"/>
                <w:szCs w:val="22"/>
                <w:color w:val="auto"/>
              </w:rPr>
            </w:pPr>
          </w:p>
        </w:tc>
      </w:tr>
      <w:tr>
        <w:trPr>
          <w:trHeight w:val="221"/>
        </w:trPr>
        <w:tc>
          <w:tcPr>
            <w:tcW w:w="436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Members’ equity</w:t>
            </w:r>
          </w:p>
        </w:tc>
        <w:tc>
          <w:tcPr>
            <w:tcW w:w="14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(116,448)</w:t>
            </w:r>
          </w:p>
        </w:tc>
        <w:tc>
          <w:tcPr>
            <w:tcW w:w="100" w:type="dxa"/>
            <w:vAlign w:val="bottom"/>
          </w:tcPr>
          <w:p>
            <w:pPr>
              <w:spacing w:after="0"/>
              <w:rPr>
                <w:sz w:val="19"/>
                <w:szCs w:val="19"/>
                <w:color w:val="auto"/>
              </w:rPr>
            </w:pPr>
          </w:p>
        </w:tc>
        <w:tc>
          <w:tcPr>
            <w:tcW w:w="280" w:type="dxa"/>
            <w:vAlign w:val="bottom"/>
          </w:tcPr>
          <w:p>
            <w:pPr>
              <w:jc w:val="right"/>
              <w:ind w:right="75"/>
              <w:spacing w:after="0"/>
              <w:rPr>
                <w:sz w:val="20"/>
                <w:szCs w:val="20"/>
                <w:color w:val="auto"/>
              </w:rPr>
            </w:pPr>
            <w:r>
              <w:rPr>
                <w:rFonts w:ascii="Times New Roman" w:cs="Times New Roman" w:eastAsia="Times New Roman" w:hAnsi="Times New Roman"/>
                <w:sz w:val="17"/>
                <w:szCs w:val="17"/>
                <w:color w:val="auto"/>
              </w:rPr>
              <w:t>$</w:t>
            </w:r>
          </w:p>
        </w:tc>
        <w:tc>
          <w:tcPr>
            <w:tcW w:w="126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113,732</w:t>
            </w:r>
          </w:p>
        </w:tc>
        <w:tc>
          <w:tcPr>
            <w:tcW w:w="12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48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40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(2,716)</w:t>
            </w:r>
          </w:p>
        </w:tc>
      </w:tr>
      <w:tr>
        <w:trPr>
          <w:trHeight w:val="29"/>
        </w:trPr>
        <w:tc>
          <w:tcPr>
            <w:tcW w:w="4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43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Preferred stock</w:t>
            </w:r>
          </w:p>
        </w:tc>
        <w:tc>
          <w:tcPr>
            <w:tcW w:w="1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4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w:t>
            </w:r>
          </w:p>
        </w:tc>
      </w:tr>
      <w:tr>
        <w:trPr>
          <w:trHeight w:val="241"/>
        </w:trPr>
        <w:tc>
          <w:tcPr>
            <w:tcW w:w="436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Class A common stock</w:t>
            </w:r>
          </w:p>
        </w:tc>
        <w:tc>
          <w:tcPr>
            <w:tcW w:w="140" w:type="dxa"/>
            <w:vAlign w:val="bottom"/>
          </w:tcPr>
          <w:p>
            <w:pPr>
              <w:spacing w:after="0"/>
              <w:rPr>
                <w:sz w:val="20"/>
                <w:szCs w:val="20"/>
                <w:color w:val="auto"/>
              </w:rPr>
            </w:pPr>
          </w:p>
        </w:tc>
        <w:tc>
          <w:tcPr>
            <w:tcW w:w="138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80" w:type="dxa"/>
            <w:vAlign w:val="bottom"/>
          </w:tcPr>
          <w:p>
            <w:pPr>
              <w:spacing w:after="0"/>
              <w:rPr>
                <w:sz w:val="20"/>
                <w:szCs w:val="20"/>
                <w:color w:val="auto"/>
              </w:rPr>
            </w:pPr>
          </w:p>
        </w:tc>
        <w:tc>
          <w:tcPr>
            <w:tcW w:w="138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160" w:type="dxa"/>
            <w:vAlign w:val="bottom"/>
          </w:tcPr>
          <w:p>
            <w:pPr>
              <w:spacing w:after="0"/>
              <w:rPr>
                <w:sz w:val="20"/>
                <w:szCs w:val="20"/>
                <w:color w:val="auto"/>
              </w:rPr>
            </w:pPr>
          </w:p>
        </w:tc>
        <w:tc>
          <w:tcPr>
            <w:tcW w:w="148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400" w:type="dxa"/>
            <w:vAlign w:val="bottom"/>
          </w:tcPr>
          <w:p>
            <w:pPr>
              <w:spacing w:after="0"/>
              <w:rPr>
                <w:sz w:val="20"/>
                <w:szCs w:val="20"/>
                <w:color w:val="auto"/>
              </w:rPr>
            </w:pPr>
          </w:p>
        </w:tc>
        <w:tc>
          <w:tcPr>
            <w:tcW w:w="136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w:t>
            </w:r>
          </w:p>
        </w:tc>
      </w:tr>
      <w:tr>
        <w:trPr>
          <w:trHeight w:val="29"/>
        </w:trPr>
        <w:tc>
          <w:tcPr>
            <w:tcW w:w="4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43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Class B common stock</w:t>
            </w:r>
          </w:p>
        </w:tc>
        <w:tc>
          <w:tcPr>
            <w:tcW w:w="1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2,199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4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2,199</w:t>
            </w:r>
          </w:p>
        </w:tc>
      </w:tr>
      <w:tr>
        <w:trPr>
          <w:trHeight w:val="241"/>
        </w:trPr>
        <w:tc>
          <w:tcPr>
            <w:tcW w:w="436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Treasury stock, at cost</w:t>
            </w:r>
          </w:p>
        </w:tc>
        <w:tc>
          <w:tcPr>
            <w:tcW w:w="140" w:type="dxa"/>
            <w:vAlign w:val="bottom"/>
          </w:tcPr>
          <w:p>
            <w:pPr>
              <w:spacing w:after="0"/>
              <w:rPr>
                <w:sz w:val="20"/>
                <w:szCs w:val="20"/>
                <w:color w:val="auto"/>
              </w:rPr>
            </w:pPr>
          </w:p>
        </w:tc>
        <w:tc>
          <w:tcPr>
            <w:tcW w:w="138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80" w:type="dxa"/>
            <w:vAlign w:val="bottom"/>
          </w:tcPr>
          <w:p>
            <w:pPr>
              <w:spacing w:after="0"/>
              <w:rPr>
                <w:sz w:val="20"/>
                <w:szCs w:val="20"/>
                <w:color w:val="auto"/>
              </w:rPr>
            </w:pPr>
          </w:p>
        </w:tc>
        <w:tc>
          <w:tcPr>
            <w:tcW w:w="138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160" w:type="dxa"/>
            <w:vAlign w:val="bottom"/>
          </w:tcPr>
          <w:p>
            <w:pPr>
              <w:spacing w:after="0"/>
              <w:rPr>
                <w:sz w:val="20"/>
                <w:szCs w:val="20"/>
                <w:color w:val="auto"/>
              </w:rPr>
            </w:pPr>
          </w:p>
        </w:tc>
        <w:tc>
          <w:tcPr>
            <w:tcW w:w="148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400" w:type="dxa"/>
            <w:vAlign w:val="bottom"/>
          </w:tcPr>
          <w:p>
            <w:pPr>
              <w:spacing w:after="0"/>
              <w:rPr>
                <w:sz w:val="20"/>
                <w:szCs w:val="20"/>
                <w:color w:val="auto"/>
              </w:rPr>
            </w:pPr>
          </w:p>
        </w:tc>
        <w:tc>
          <w:tcPr>
            <w:tcW w:w="136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w:t>
            </w:r>
          </w:p>
        </w:tc>
      </w:tr>
      <w:tr>
        <w:trPr>
          <w:trHeight w:val="29"/>
        </w:trPr>
        <w:tc>
          <w:tcPr>
            <w:tcW w:w="4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43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Additional paid-in capital</w:t>
            </w:r>
          </w:p>
        </w:tc>
        <w:tc>
          <w:tcPr>
            <w:tcW w:w="1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(115,931)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48,077</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(67,854)</w:t>
            </w:r>
          </w:p>
        </w:tc>
      </w:tr>
      <w:tr>
        <w:trPr>
          <w:trHeight w:val="241"/>
        </w:trPr>
        <w:tc>
          <w:tcPr>
            <w:tcW w:w="436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Accumulated other comprehensive loss</w:t>
            </w:r>
          </w:p>
        </w:tc>
        <w:tc>
          <w:tcPr>
            <w:tcW w:w="140" w:type="dxa"/>
            <w:vAlign w:val="bottom"/>
          </w:tcPr>
          <w:p>
            <w:pPr>
              <w:spacing w:after="0"/>
              <w:rPr>
                <w:sz w:val="20"/>
                <w:szCs w:val="20"/>
                <w:color w:val="auto"/>
              </w:rPr>
            </w:pPr>
          </w:p>
        </w:tc>
        <w:tc>
          <w:tcPr>
            <w:tcW w:w="138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80" w:type="dxa"/>
            <w:vAlign w:val="bottom"/>
          </w:tcPr>
          <w:p>
            <w:pPr>
              <w:spacing w:after="0"/>
              <w:rPr>
                <w:sz w:val="20"/>
                <w:szCs w:val="20"/>
                <w:color w:val="auto"/>
              </w:rPr>
            </w:pPr>
          </w:p>
        </w:tc>
        <w:tc>
          <w:tcPr>
            <w:tcW w:w="138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160" w:type="dxa"/>
            <w:vAlign w:val="bottom"/>
          </w:tcPr>
          <w:p>
            <w:pPr>
              <w:spacing w:after="0"/>
              <w:rPr>
                <w:sz w:val="20"/>
                <w:szCs w:val="20"/>
                <w:color w:val="auto"/>
              </w:rPr>
            </w:pPr>
          </w:p>
        </w:tc>
        <w:tc>
          <w:tcPr>
            <w:tcW w:w="148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400" w:type="dxa"/>
            <w:vAlign w:val="bottom"/>
          </w:tcPr>
          <w:p>
            <w:pPr>
              <w:spacing w:after="0"/>
              <w:rPr>
                <w:sz w:val="20"/>
                <w:szCs w:val="20"/>
                <w:color w:val="auto"/>
              </w:rPr>
            </w:pPr>
          </w:p>
        </w:tc>
        <w:tc>
          <w:tcPr>
            <w:tcW w:w="136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w:t>
            </w:r>
          </w:p>
        </w:tc>
      </w:tr>
      <w:tr>
        <w:trPr>
          <w:trHeight w:val="29"/>
        </w:trPr>
        <w:tc>
          <w:tcPr>
            <w:tcW w:w="4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70"/>
        </w:trPr>
        <w:tc>
          <w:tcPr>
            <w:tcW w:w="43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(Accumulated deficit) retained earnings</w:t>
            </w:r>
          </w:p>
        </w:tc>
        <w:tc>
          <w:tcPr>
            <w:tcW w:w="14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8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(18,662)</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(18,662)</w:t>
            </w:r>
          </w:p>
        </w:tc>
      </w:tr>
      <w:tr>
        <w:trPr>
          <w:trHeight w:val="235"/>
        </w:trPr>
        <w:tc>
          <w:tcPr>
            <w:tcW w:w="4360" w:type="dxa"/>
            <w:vAlign w:val="bottom"/>
          </w:tcPr>
          <w:p>
            <w:pPr>
              <w:ind w:left="240"/>
              <w:spacing w:after="0"/>
              <w:rPr>
                <w:sz w:val="20"/>
                <w:szCs w:val="20"/>
                <w:color w:val="auto"/>
              </w:rPr>
            </w:pPr>
            <w:r>
              <w:rPr>
                <w:rFonts w:ascii="Times New Roman" w:cs="Times New Roman" w:eastAsia="Times New Roman" w:hAnsi="Times New Roman"/>
                <w:sz w:val="17"/>
                <w:szCs w:val="17"/>
                <w:color w:val="auto"/>
              </w:rPr>
              <w:t>Subtotal – stockholders’ (deficit) equity</w:t>
            </w:r>
          </w:p>
        </w:tc>
        <w:tc>
          <w:tcPr>
            <w:tcW w:w="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2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(116,448)</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5"/>
              <w:spacing w:after="0"/>
              <w:rPr>
                <w:sz w:val="20"/>
                <w:szCs w:val="20"/>
                <w:color w:val="auto"/>
              </w:rPr>
            </w:pPr>
            <w:r>
              <w:rPr>
                <w:rFonts w:ascii="Times New Roman" w:cs="Times New Roman" w:eastAsia="Times New Roman" w:hAnsi="Times New Roman"/>
                <w:sz w:val="17"/>
                <w:szCs w:val="17"/>
                <w:color w:val="auto"/>
              </w:rPr>
              <w:t>$</w:t>
            </w:r>
          </w:p>
        </w:tc>
        <w:tc>
          <w:tcPr>
            <w:tcW w:w="1260" w:type="dxa"/>
            <w:vAlign w:val="bottom"/>
            <w:tcBorders>
              <w:top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12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1380" w:type="dxa"/>
            <w:vAlign w:val="bottom"/>
            <w:tcBorders>
              <w:top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rPr>
              <w:t>29,415</w:t>
            </w:r>
          </w:p>
        </w:tc>
        <w:tc>
          <w:tcPr>
            <w:tcW w:w="100" w:type="dxa"/>
            <w:vAlign w:val="bottom"/>
          </w:tcPr>
          <w:p>
            <w:pPr>
              <w:spacing w:after="0"/>
              <w:rPr>
                <w:sz w:val="20"/>
                <w:szCs w:val="20"/>
                <w:color w:val="auto"/>
              </w:rPr>
            </w:pPr>
          </w:p>
        </w:tc>
        <w:tc>
          <w:tcPr>
            <w:tcW w:w="40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17"/>
                <w:szCs w:val="17"/>
                <w:color w:val="auto"/>
              </w:rPr>
              <w:t>$</w:t>
            </w:r>
          </w:p>
        </w:tc>
        <w:tc>
          <w:tcPr>
            <w:tcW w:w="13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(87,033)</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6938010" cy="3003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6938010" cy="300355"/>
                    </a:xfrm>
                    <a:prstGeom prst="rect">
                      <a:avLst/>
                    </a:prstGeom>
                    <a:noFill/>
                  </pic:spPr>
                </pic:pic>
              </a:graphicData>
            </a:graphic>
          </wp:anchor>
        </w:drawing>
      </w:r>
    </w:p>
    <w:p>
      <w:pPr>
        <w:spacing w:after="0" w:line="14" w:lineRule="exact"/>
        <w:rPr>
          <w:sz w:val="20"/>
          <w:szCs w:val="20"/>
          <w:color w:val="auto"/>
        </w:rPr>
      </w:pPr>
    </w:p>
    <w:p>
      <w:pPr>
        <w:ind w:left="40" w:right="560" w:hanging="5"/>
        <w:spacing w:after="0" w:line="281" w:lineRule="auto"/>
        <w:tabs>
          <w:tab w:leader="none" w:pos="282" w:val="left"/>
        </w:tabs>
        <w:numPr>
          <w:ilvl w:val="0"/>
          <w:numId w:val="3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Represents the distribution of all historical cash and cash equivalents of Amneal and its subsidiaries to the Existing Amneal Members immediately prior to the closing of the Transactions.</w:t>
      </w:r>
    </w:p>
    <w:p>
      <w:pPr>
        <w:spacing w:after="0" w:line="1" w:lineRule="exact"/>
        <w:rPr>
          <w:rFonts w:ascii="Times New Roman" w:cs="Times New Roman" w:eastAsia="Times New Roman" w:hAnsi="Times New Roman"/>
          <w:sz w:val="17"/>
          <w:szCs w:val="17"/>
          <w:color w:val="auto"/>
        </w:rPr>
      </w:pPr>
    </w:p>
    <w:p>
      <w:pPr>
        <w:ind w:left="40" w:right="540" w:hanging="5"/>
        <w:spacing w:after="0" w:line="281" w:lineRule="auto"/>
        <w:tabs>
          <w:tab w:leader="none" w:pos="282" w:val="left"/>
        </w:tabs>
        <w:numPr>
          <w:ilvl w:val="0"/>
          <w:numId w:val="3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Represents the reclassification of member’s deficit to Class B common stock and additional paid in capital to reflect the impact of the new capital structure of New Amneal</w:t>
      </w:r>
    </w:p>
    <w:p>
      <w:pPr>
        <w:spacing w:after="0" w:line="1" w:lineRule="exact"/>
        <w:rPr>
          <w:rFonts w:ascii="Times New Roman" w:cs="Times New Roman" w:eastAsia="Times New Roman" w:hAnsi="Times New Roman"/>
          <w:sz w:val="17"/>
          <w:szCs w:val="17"/>
          <w:color w:val="auto"/>
        </w:rPr>
      </w:pPr>
    </w:p>
    <w:p>
      <w:pPr>
        <w:ind w:left="40" w:right="640" w:hanging="5"/>
        <w:spacing w:after="0" w:line="259" w:lineRule="auto"/>
        <w:tabs>
          <w:tab w:leader="none" w:pos="282" w:val="left"/>
        </w:tabs>
        <w:numPr>
          <w:ilvl w:val="0"/>
          <w:numId w:val="3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Includes the following (i) $18.7 million loss on debt extinguishment related to Amneal’s historical debt obligations. The loss is recorded against accumulated deficit solely for the purposes of this presentation. As there is no continuing impact of the write-off on New Amneal’s results, the fees are not included in the unaudited pro forma condensed combined statements of operations, and (ii) the $48.1 million impact of recording the historical Amneal taxes that are allocable to New Amneal based on its proportionate 25% ownership interest in assets held directly by Amneal.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-538480</wp:posOffset>
            </wp:positionV>
            <wp:extent cx="6938010" cy="5486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6938010" cy="548640"/>
                    </a:xfrm>
                    <a:prstGeom prst="rect">
                      <a:avLst/>
                    </a:prstGeom>
                    <a:noFill/>
                  </pic:spPr>
                </pic:pic>
              </a:graphicData>
            </a:graphic>
          </wp:anchor>
        </w:drawing>
      </w:r>
    </w:p>
    <w:p>
      <w:pPr>
        <w:sectPr>
          <w:pgSz w:w="11900" w:h="16838" w:orient="portrait"/>
          <w:cols w:equalWidth="0" w:num="1">
            <w:col w:w="11420"/>
          </w:cols>
          <w:pgMar w:left="240" w:top="122" w:right="239" w:bottom="1440" w:gutter="0" w:footer="0" w:header="0"/>
        </w:sectPr>
      </w:pPr>
    </w:p>
    <w:p>
      <w:pPr>
        <w:spacing w:after="0" w:line="2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 Adjustment to interest expense consists of the following:</w:t>
      </w:r>
    </w:p>
    <w:p>
      <w:pPr>
        <w:spacing w:after="0" w:line="200" w:lineRule="exact"/>
        <w:rPr>
          <w:sz w:val="20"/>
          <w:szCs w:val="20"/>
          <w:color w:val="auto"/>
        </w:rPr>
      </w:pPr>
    </w:p>
    <w:p>
      <w:pPr>
        <w:spacing w:after="0" w:line="24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7"/>
          <w:szCs w:val="17"/>
          <w:i w:val="1"/>
          <w:iCs w:val="1"/>
          <w:color w:val="auto"/>
        </w:rPr>
        <w:t>(in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6852285" cy="1714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6852285" cy="171450"/>
                    </a:xfrm>
                    <a:prstGeom prst="rect">
                      <a:avLst/>
                    </a:prstGeom>
                    <a:noFill/>
                  </pic:spPr>
                </pic:pic>
              </a:graphicData>
            </a:graphic>
          </wp:anchor>
        </w:drawing>
      </w:r>
    </w:p>
    <w:p>
      <w:pPr>
        <w:spacing w:after="0" w:line="59"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7"/>
          <w:szCs w:val="17"/>
          <w:color w:val="auto"/>
        </w:rPr>
        <w:t>Eliminate historical Amneal interest expense</w:t>
      </w:r>
    </w:p>
    <w:p>
      <w:pPr>
        <w:spacing w:after="0" w:line="4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7"/>
          <w:szCs w:val="17"/>
          <w:color w:val="auto"/>
        </w:rPr>
        <w:t>Interest expense related to new borrowings</w:t>
      </w:r>
      <w:r>
        <w:rPr>
          <w:rFonts w:ascii="Times New Roman" w:cs="Times New Roman" w:eastAsia="Times New Roman" w:hAnsi="Times New Roman"/>
          <w:sz w:val="28"/>
          <w:szCs w:val="28"/>
          <w:color w:val="auto"/>
          <w:vertAlign w:val="superscript"/>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-22860</wp:posOffset>
            </wp:positionV>
            <wp:extent cx="6852285" cy="1714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852285" cy="171450"/>
                    </a:xfrm>
                    <a:prstGeom prst="rect">
                      <a:avLst/>
                    </a:prstGeom>
                    <a:noFill/>
                  </pic:spPr>
                </pic:pic>
              </a:graphicData>
            </a:graphic>
          </wp:anchor>
        </w:drawing>
      </w:r>
    </w:p>
    <w:p>
      <w:pPr>
        <w:ind w:left="40"/>
        <w:spacing w:after="0"/>
        <w:rPr>
          <w:sz w:val="20"/>
          <w:szCs w:val="20"/>
          <w:color w:val="auto"/>
        </w:rPr>
      </w:pPr>
      <w:r>
        <w:rPr>
          <w:rFonts w:ascii="Times New Roman" w:cs="Times New Roman" w:eastAsia="Times New Roman" w:hAnsi="Times New Roman"/>
          <w:sz w:val="17"/>
          <w:szCs w:val="17"/>
          <w:color w:val="auto"/>
        </w:rPr>
        <w:t>Amortization of deferred financing fees</w:t>
      </w:r>
    </w:p>
    <w:p>
      <w:pPr>
        <w:spacing w:after="0" w:line="66"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7"/>
          <w:szCs w:val="17"/>
          <w:b w:val="1"/>
          <w:bCs w:val="1"/>
          <w:color w:val="auto"/>
        </w:rPr>
        <w:t>Pro forma adjustment to interest expense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64" w:lineRule="exact"/>
        <w:rPr>
          <w:sz w:val="20"/>
          <w:szCs w:val="20"/>
          <w:color w:val="auto"/>
        </w:rPr>
      </w:pPr>
    </w:p>
    <w:p>
      <w:pPr>
        <w:jc w:val="right"/>
        <w:ind w:right="80"/>
        <w:spacing w:after="0"/>
        <w:rPr>
          <w:sz w:val="20"/>
          <w:szCs w:val="20"/>
          <w:color w:val="auto"/>
        </w:rPr>
      </w:pPr>
      <w:r>
        <w:rPr>
          <w:rFonts w:ascii="Times New Roman" w:cs="Times New Roman" w:eastAsia="Times New Roman" w:hAnsi="Times New Roman"/>
          <w:sz w:val="17"/>
          <w:szCs w:val="17"/>
          <w:b w:val="1"/>
          <w:bCs w:val="1"/>
          <w:color w:val="auto"/>
        </w:rPr>
        <w:t>Three months ended</w:t>
      </w:r>
    </w:p>
    <w:p>
      <w:pPr>
        <w:spacing w:after="0" w:line="75" w:lineRule="exact"/>
        <w:rPr>
          <w:sz w:val="20"/>
          <w:szCs w:val="20"/>
          <w:color w:val="auto"/>
        </w:rPr>
      </w:pPr>
    </w:p>
    <w:p>
      <w:pPr>
        <w:jc w:val="right"/>
        <w:ind w:right="60"/>
        <w:spacing w:after="0"/>
        <w:rPr>
          <w:sz w:val="20"/>
          <w:szCs w:val="20"/>
          <w:color w:val="auto"/>
        </w:rPr>
      </w:pPr>
      <w:r>
        <w:rPr>
          <w:rFonts w:ascii="Times New Roman" w:cs="Times New Roman" w:eastAsia="Times New Roman" w:hAnsi="Times New Roman"/>
          <w:sz w:val="17"/>
          <w:szCs w:val="17"/>
          <w:b w:val="1"/>
          <w:bCs w:val="1"/>
          <w:color w:val="auto"/>
        </w:rPr>
        <w:t>March 31, 2018</w:t>
      </w:r>
    </w:p>
    <w:p>
      <w:pPr>
        <w:spacing w:after="0" w:line="92" w:lineRule="exact"/>
        <w:rPr>
          <w:sz w:val="20"/>
          <w:szCs w:val="20"/>
          <w:color w:val="auto"/>
        </w:rPr>
      </w:pPr>
    </w:p>
    <w:p>
      <w:pPr>
        <w:ind w:left="1080" w:hanging="1077"/>
        <w:spacing w:after="0"/>
        <w:tabs>
          <w:tab w:leader="none" w:pos="1080" w:val="left"/>
        </w:tabs>
        <w:numPr>
          <w:ilvl w:val="0"/>
          <w:numId w:val="3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(21,051)</w:t>
      </w:r>
    </w:p>
    <w:p>
      <w:pPr>
        <w:spacing w:after="0" w:line="72" w:lineRule="exact"/>
        <w:rPr>
          <w:rFonts w:ascii="Times New Roman" w:cs="Times New Roman" w:eastAsia="Times New Roman" w:hAnsi="Times New Roman"/>
          <w:sz w:val="16"/>
          <w:szCs w:val="16"/>
          <w:color w:val="auto"/>
        </w:rPr>
      </w:pPr>
    </w:p>
    <w:p>
      <w:pPr>
        <w:ind w:left="1120"/>
        <w:spacing w:after="0"/>
        <w:rPr>
          <w:rFonts w:ascii="Times New Roman" w:cs="Times New Roman" w:eastAsia="Times New Roman" w:hAnsi="Times New Roman"/>
          <w:sz w:val="16"/>
          <w:szCs w:val="16"/>
          <w:color w:val="auto"/>
        </w:rPr>
      </w:pPr>
      <w:r>
        <w:rPr>
          <w:rFonts w:ascii="Times New Roman" w:cs="Times New Roman" w:eastAsia="Times New Roman" w:hAnsi="Times New Roman"/>
          <w:sz w:val="17"/>
          <w:szCs w:val="17"/>
          <w:color w:val="auto"/>
        </w:rPr>
        <w:t>38,058</w:t>
      </w:r>
    </w:p>
    <w:p>
      <w:pPr>
        <w:spacing w:after="0" w:line="74" w:lineRule="exact"/>
        <w:rPr>
          <w:rFonts w:ascii="Times New Roman" w:cs="Times New Roman" w:eastAsia="Times New Roman" w:hAnsi="Times New Roman"/>
          <w:sz w:val="16"/>
          <w:szCs w:val="16"/>
          <w:color w:val="auto"/>
        </w:rPr>
      </w:pPr>
    </w:p>
    <w:p>
      <w:pPr>
        <w:ind w:left="1220"/>
        <w:spacing w:after="0"/>
        <w:rPr>
          <w:rFonts w:ascii="Times New Roman" w:cs="Times New Roman" w:eastAsia="Times New Roman" w:hAnsi="Times New Roman"/>
          <w:sz w:val="16"/>
          <w:szCs w:val="16"/>
          <w:color w:val="auto"/>
        </w:rPr>
      </w:pPr>
      <w:r>
        <w:rPr>
          <w:rFonts w:ascii="Times New Roman" w:cs="Times New Roman" w:eastAsia="Times New Roman" w:hAnsi="Times New Roman"/>
          <w:sz w:val="17"/>
          <w:szCs w:val="17"/>
          <w:color w:val="auto"/>
        </w:rPr>
        <w:t>1,572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-14605</wp:posOffset>
            </wp:positionH>
            <wp:positionV relativeFrom="paragraph">
              <wp:posOffset>43815</wp:posOffset>
            </wp:positionV>
            <wp:extent cx="1089025"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089025" cy="8890"/>
                    </a:xfrm>
                    <a:prstGeom prst="rect">
                      <a:avLst/>
                    </a:prstGeom>
                    <a:noFill/>
                  </pic:spPr>
                </pic:pic>
              </a:graphicData>
            </a:graphic>
          </wp:anchor>
        </w:drawing>
      </w:r>
    </w:p>
    <w:p>
      <w:pPr>
        <w:spacing w:after="0" w:line="68" w:lineRule="exact"/>
        <w:rPr>
          <w:sz w:val="20"/>
          <w:szCs w:val="20"/>
          <w:color w:val="auto"/>
        </w:rPr>
      </w:pPr>
    </w:p>
    <w:p>
      <w:pPr>
        <w:ind w:left="1120" w:hanging="1117"/>
        <w:spacing w:after="0"/>
        <w:tabs>
          <w:tab w:leader="none" w:pos="1120" w:val="left"/>
        </w:tabs>
        <w:numPr>
          <w:ilvl w:val="0"/>
          <w:numId w:val="3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18,579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-14605</wp:posOffset>
            </wp:positionH>
            <wp:positionV relativeFrom="paragraph">
              <wp:posOffset>35560</wp:posOffset>
            </wp:positionV>
            <wp:extent cx="1089025"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089025"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77"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17"/>
          <w:szCs w:val="17"/>
          <w:b w:val="1"/>
          <w:bCs w:val="1"/>
          <w:color w:val="auto"/>
        </w:rPr>
        <w:t>Year ended</w:t>
      </w:r>
    </w:p>
    <w:p>
      <w:pPr>
        <w:spacing w:after="0" w:line="6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7"/>
          <w:szCs w:val="17"/>
          <w:b w:val="1"/>
          <w:bCs w:val="1"/>
          <w:color w:val="auto"/>
        </w:rPr>
        <w:t>December 31, 2017</w:t>
      </w:r>
    </w:p>
    <w:p>
      <w:pPr>
        <w:spacing w:after="0" w:line="92" w:lineRule="exact"/>
        <w:rPr>
          <w:sz w:val="20"/>
          <w:szCs w:val="20"/>
          <w:color w:val="auto"/>
        </w:rPr>
      </w:pPr>
    </w:p>
    <w:p>
      <w:pPr>
        <w:ind w:left="1400" w:hanging="1394"/>
        <w:spacing w:after="0"/>
        <w:tabs>
          <w:tab w:leader="none" w:pos="1400" w:val="left"/>
        </w:tabs>
        <w:numPr>
          <w:ilvl w:val="0"/>
          <w:numId w:val="38"/>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(71,108)</w:t>
      </w:r>
    </w:p>
    <w:p>
      <w:pPr>
        <w:spacing w:after="0" w:line="72" w:lineRule="exact"/>
        <w:rPr>
          <w:rFonts w:ascii="Times New Roman" w:cs="Times New Roman" w:eastAsia="Times New Roman" w:hAnsi="Times New Roman"/>
          <w:sz w:val="16"/>
          <w:szCs w:val="16"/>
          <w:color w:val="auto"/>
        </w:rPr>
      </w:pPr>
    </w:p>
    <w:p>
      <w:pPr>
        <w:ind w:left="1360"/>
        <w:spacing w:after="0"/>
        <w:rPr>
          <w:rFonts w:ascii="Times New Roman" w:cs="Times New Roman" w:eastAsia="Times New Roman" w:hAnsi="Times New Roman"/>
          <w:sz w:val="16"/>
          <w:szCs w:val="16"/>
          <w:color w:val="auto"/>
        </w:rPr>
      </w:pPr>
      <w:r>
        <w:rPr>
          <w:rFonts w:ascii="Times New Roman" w:cs="Times New Roman" w:eastAsia="Times New Roman" w:hAnsi="Times New Roman"/>
          <w:sz w:val="17"/>
          <w:szCs w:val="17"/>
          <w:color w:val="auto"/>
        </w:rPr>
        <w:t>153,180</w:t>
      </w:r>
    </w:p>
    <w:p>
      <w:pPr>
        <w:spacing w:after="0" w:line="74" w:lineRule="exact"/>
        <w:rPr>
          <w:rFonts w:ascii="Times New Roman" w:cs="Times New Roman" w:eastAsia="Times New Roman" w:hAnsi="Times New Roman"/>
          <w:sz w:val="16"/>
          <w:szCs w:val="16"/>
          <w:color w:val="auto"/>
        </w:rPr>
      </w:pPr>
    </w:p>
    <w:p>
      <w:pPr>
        <w:ind w:left="1540"/>
        <w:spacing w:after="0"/>
        <w:rPr>
          <w:rFonts w:ascii="Times New Roman" w:cs="Times New Roman" w:eastAsia="Times New Roman" w:hAnsi="Times New Roman"/>
          <w:sz w:val="16"/>
          <w:szCs w:val="16"/>
          <w:color w:val="auto"/>
        </w:rPr>
      </w:pPr>
      <w:r>
        <w:rPr>
          <w:rFonts w:ascii="Times New Roman" w:cs="Times New Roman" w:eastAsia="Times New Roman" w:hAnsi="Times New Roman"/>
          <w:sz w:val="17"/>
          <w:szCs w:val="17"/>
          <w:color w:val="auto"/>
        </w:rPr>
        <w:t>6,315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-12700</wp:posOffset>
            </wp:positionH>
            <wp:positionV relativeFrom="paragraph">
              <wp:posOffset>43815</wp:posOffset>
            </wp:positionV>
            <wp:extent cx="1294765"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1294765" cy="8890"/>
                    </a:xfrm>
                    <a:prstGeom prst="rect">
                      <a:avLst/>
                    </a:prstGeom>
                    <a:noFill/>
                  </pic:spPr>
                </pic:pic>
              </a:graphicData>
            </a:graphic>
          </wp:anchor>
        </w:drawing>
      </w:r>
    </w:p>
    <w:p>
      <w:pPr>
        <w:spacing w:after="0" w:line="68" w:lineRule="exact"/>
        <w:rPr>
          <w:sz w:val="20"/>
          <w:szCs w:val="20"/>
          <w:color w:val="auto"/>
        </w:rPr>
      </w:pPr>
    </w:p>
    <w:p>
      <w:pPr>
        <w:spacing w:after="0"/>
        <w:tabs>
          <w:tab w:leader="none" w:pos="1440" w:val="left"/>
        </w:tabs>
        <w:rPr>
          <w:sz w:val="20"/>
          <w:szCs w:val="20"/>
          <w:color w:val="auto"/>
        </w:rPr>
      </w:pPr>
      <w:r>
        <w:rPr>
          <w:rFonts w:ascii="Times New Roman" w:cs="Times New Roman" w:eastAsia="Times New Roman" w:hAnsi="Times New Roman"/>
          <w:sz w:val="17"/>
          <w:szCs w:val="17"/>
          <w:color w:val="auto"/>
        </w:rPr>
        <w:t>$</w:t>
      </w:r>
      <w:r>
        <w:rPr>
          <w:sz w:val="20"/>
          <w:szCs w:val="20"/>
          <w:color w:val="auto"/>
        </w:rPr>
        <w:tab/>
      </w:r>
      <w:r>
        <w:rPr>
          <w:rFonts w:ascii="Times New Roman" w:cs="Times New Roman" w:eastAsia="Times New Roman" w:hAnsi="Times New Roman"/>
          <w:sz w:val="17"/>
          <w:szCs w:val="17"/>
          <w:color w:val="auto"/>
        </w:rPr>
        <w:t>88,387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-12700</wp:posOffset>
            </wp:positionH>
            <wp:positionV relativeFrom="paragraph">
              <wp:posOffset>35560</wp:posOffset>
            </wp:positionV>
            <wp:extent cx="1294765"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1294765" cy="8890"/>
                    </a:xfrm>
                    <a:prstGeom prst="rect">
                      <a:avLst/>
                    </a:prstGeom>
                    <a:noFill/>
                  </pic:spPr>
                </pic:pic>
              </a:graphicData>
            </a:graphic>
          </wp:anchor>
        </w:drawing>
      </w:r>
    </w:p>
    <w:p>
      <w:pPr>
        <w:spacing w:after="0" w:line="74" w:lineRule="exact"/>
        <w:rPr>
          <w:sz w:val="20"/>
          <w:szCs w:val="20"/>
          <w:color w:val="auto"/>
        </w:rPr>
      </w:pPr>
    </w:p>
    <w:p>
      <w:pPr>
        <w:sectPr>
          <w:pgSz w:w="11900" w:h="16838" w:orient="portrait"/>
          <w:cols w:equalWidth="0" w:num="3">
            <w:col w:w="6240" w:space="720"/>
            <w:col w:w="1660" w:space="160"/>
            <w:col w:w="2640"/>
          </w:cols>
          <w:pgMar w:left="240" w:top="122" w:right="239" w:bottom="1440" w:gutter="0" w:footer="0" w:header="0"/>
          <w:type w:val="continuous"/>
        </w:sectPr>
      </w:pPr>
    </w:p>
    <w:p>
      <w:pPr>
        <w:ind w:left="40" w:right="700" w:hanging="5"/>
        <w:spacing w:after="0" w:line="281" w:lineRule="auto"/>
        <w:tabs>
          <w:tab w:leader="none" w:pos="282" w:val="left"/>
        </w:tabs>
        <w:numPr>
          <w:ilvl w:val="0"/>
          <w:numId w:val="3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Comprised of interest expense related to the New Term Facility and New ABL Facility. The weighted average cash interest rate, calculated including the effects of quarterly principal payments under the New Term Facility, is approximately 5.63%.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4404360</wp:posOffset>
            </wp:positionH>
            <wp:positionV relativeFrom="paragraph">
              <wp:posOffset>-284480</wp:posOffset>
            </wp:positionV>
            <wp:extent cx="245237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2452370" cy="8890"/>
                    </a:xfrm>
                    <a:prstGeom prst="rect">
                      <a:avLst/>
                    </a:prstGeom>
                    <a:noFill/>
                  </pic:spPr>
                </pic:pic>
              </a:graphicData>
            </a:graphic>
          </wp:anchor>
        </w:drawing>
      </w:r>
    </w:p>
    <w:p>
      <w:pPr>
        <w:spacing w:after="0" w:line="20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14</w:t>
      </w:r>
    </w:p>
    <w:p>
      <w:pPr>
        <w:sectPr>
          <w:pgSz w:w="11900" w:h="16838" w:orient="portrait"/>
          <w:cols w:equalWidth="0" w:num="1">
            <w:col w:w="11420"/>
          </w:cols>
          <w:pgMar w:left="240" w:top="122" w:right="239" w:bottom="1440" w:gutter="0" w:footer="0" w:header="0"/>
          <w:type w:val="continuous"/>
        </w:sectPr>
      </w:pPr>
    </w:p>
    <w:bookmarkStart w:id="46" w:name="page47"/>
    <w:bookmarkEnd w:id="46"/>
    <w:p>
      <w:pPr>
        <w:jc w:val="center"/>
        <w:spacing w:after="0"/>
        <w:rPr>
          <w:sz w:val="20"/>
          <w:szCs w:val="20"/>
          <w:color w:val="auto"/>
        </w:rPr>
      </w:pPr>
      <w:r>
        <w:rPr>
          <w:rFonts w:ascii="Times New Roman" w:cs="Times New Roman" w:eastAsia="Times New Roman" w:hAnsi="Times New Roman"/>
          <w:sz w:val="22"/>
          <w:szCs w:val="22"/>
          <w:b w:val="1"/>
          <w:bCs w:val="1"/>
          <w:color w:val="auto"/>
        </w:rPr>
        <w:t>NOTES TO UNAUDITED PRO FORMA CONDENSED COMBINED FINANCIAL STATEMENTS</w:t>
      </w:r>
    </w:p>
    <w:p>
      <w:pPr>
        <w:spacing w:after="0" w:line="200" w:lineRule="exact"/>
        <w:rPr>
          <w:sz w:val="20"/>
          <w:szCs w:val="20"/>
          <w:color w:val="auto"/>
        </w:rPr>
      </w:pPr>
    </w:p>
    <w:p>
      <w:pPr>
        <w:spacing w:after="0" w:line="262" w:lineRule="exact"/>
        <w:rPr>
          <w:sz w:val="20"/>
          <w:szCs w:val="20"/>
          <w:color w:val="auto"/>
        </w:rPr>
      </w:pPr>
    </w:p>
    <w:p>
      <w:pPr>
        <w:ind w:left="340"/>
        <w:spacing w:after="0" w:line="282" w:lineRule="auto"/>
        <w:rPr>
          <w:sz w:val="20"/>
          <w:szCs w:val="20"/>
          <w:color w:val="auto"/>
        </w:rPr>
      </w:pPr>
      <w:r>
        <w:rPr>
          <w:rFonts w:ascii="Times New Roman" w:cs="Times New Roman" w:eastAsia="Times New Roman" w:hAnsi="Times New Roman"/>
          <w:sz w:val="18"/>
          <w:szCs w:val="18"/>
          <w:color w:val="auto"/>
        </w:rPr>
        <w:t>A 0.125% change in the estimated interest rates on the variable rate indebtedness of $2,700.0 million at the closing of the Transactions, comprised of the New Term Facility, would result in an increase or decrease in the pro forma annual interest expense of approximately $3.4 million annually.</w:t>
      </w:r>
    </w:p>
    <w:p>
      <w:pPr>
        <w:spacing w:after="0" w:line="158" w:lineRule="exact"/>
        <w:rPr>
          <w:sz w:val="20"/>
          <w:szCs w:val="20"/>
          <w:color w:val="auto"/>
        </w:rPr>
      </w:pPr>
    </w:p>
    <w:p>
      <w:pPr>
        <w:spacing w:after="0"/>
        <w:tabs>
          <w:tab w:leader="none" w:pos="300" w:val="left"/>
        </w:tabs>
        <w:rPr>
          <w:sz w:val="20"/>
          <w:szCs w:val="20"/>
          <w:color w:val="auto"/>
        </w:rPr>
      </w:pPr>
      <w:r>
        <w:rPr>
          <w:rFonts w:ascii="Times New Roman" w:cs="Times New Roman" w:eastAsia="Times New Roman" w:hAnsi="Times New Roman"/>
          <w:sz w:val="18"/>
          <w:szCs w:val="18"/>
          <w:b w:val="1"/>
          <w:bCs w:val="1"/>
          <w:color w:val="auto"/>
        </w:rPr>
        <w:t>7.</w:t>
        <w:tab/>
        <w:t>NON-CONTROLLING INTEREST ADJUSTMENTS</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Immediately upon the consummation of the Transactions, the Existing Amneal Members owned a majority interest in New Amneal with an effective voting interest of approximately 75% on a fully diluted and as converted basis through their ownership of Class B Common Stock. The Existing Amneal Members also held a corresponding number of Amneal Common Units which will entitle them to approximately 75% of the economic interests in the combined businesses of Impax and Amneal. New Amneal owned an interest in Amneal of approximately 25% and is its managing member. As a result, New Amneal will consolidate the financial results of Amneal and will report a non-controlling interest related to the Amneal Common Units held by the Existing Amneal Members in the consolidated financial statements. Upon closing, the Amneal Common Units became redeemable at the option of the holder for shares of Class A Common Stock or, in the case of the PIPE Investment, Class B-1 Common Stock on a one-for-one basis or, at New Amneal’s election, their per-share cash equivalent.</w:t>
      </w:r>
    </w:p>
    <w:p>
      <w:pPr>
        <w:spacing w:after="0" w:line="18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The non-controlling interest adjustments to the unaudited pro forma condensed combined balance sheet reflect the cumulative impact to New Amneal’s consolidated shareholders’ deficit as a result of non-controlling interests holding approximately 75% of the ownership rights of Amneal, as well as the corresponding impact to net loss attributable to non-controlling interests on the unaudited pro forma condensed combined statements of operations. As a result of the PIPE Investment and Closing Date Redemption (following the distribution of such shares), the voting and economic interest of approximately 75% held by Existing Amneal Members immediately upon closing, were reduced by approximately 18%. As such, the overall interest percentage held by non-controlling interest holders upon the consummation of the Combination and PIPE Investment and Closing Date Redemption (following the distribution of such shares) was approximately 57%. Refer to “Note 8. PIPE Investment &amp; Closing Date Redemption Related Pro Forma Adjustments” for information regarding the impact of the PIPE Investment and Closing Date Redemption on non-controlling interests. All non-controlling interest adjustments have been calculated on a pre-tax basis due to the fact that all tax attributes reflected in the unaudited pro forma condensed combined financial statements represent New Amneal’s proportionate ownership share in assets held directly by Amneal. Accordingly, income taxes associated with assets held directly by Amneal are only reflected in the consolidated financial statements of New Amneal to the extent of its 25% ownership interest in Amneal.</w:t>
      </w:r>
    </w:p>
    <w:p>
      <w:pPr>
        <w:spacing w:after="0" w:line="189" w:lineRule="exact"/>
        <w:rPr>
          <w:sz w:val="20"/>
          <w:szCs w:val="20"/>
          <w:color w:val="auto"/>
        </w:rPr>
      </w:pPr>
    </w:p>
    <w:p>
      <w:pPr>
        <w:spacing w:after="0"/>
        <w:tabs>
          <w:tab w:leader="none" w:pos="300" w:val="left"/>
        </w:tabs>
        <w:rPr>
          <w:sz w:val="20"/>
          <w:szCs w:val="20"/>
          <w:color w:val="auto"/>
        </w:rPr>
      </w:pPr>
      <w:r>
        <w:rPr>
          <w:rFonts w:ascii="Times New Roman" w:cs="Times New Roman" w:eastAsia="Times New Roman" w:hAnsi="Times New Roman"/>
          <w:sz w:val="18"/>
          <w:szCs w:val="18"/>
          <w:b w:val="1"/>
          <w:bCs w:val="1"/>
          <w:color w:val="auto"/>
        </w:rPr>
        <w:t>8.</w:t>
      </w:r>
      <w:r>
        <w:rPr>
          <w:sz w:val="20"/>
          <w:szCs w:val="20"/>
          <w:color w:val="auto"/>
        </w:rPr>
        <w:tab/>
      </w:r>
      <w:r>
        <w:rPr>
          <w:rFonts w:ascii="Times New Roman" w:cs="Times New Roman" w:eastAsia="Times New Roman" w:hAnsi="Times New Roman"/>
          <w:sz w:val="17"/>
          <w:szCs w:val="17"/>
          <w:b w:val="1"/>
          <w:bCs w:val="1"/>
          <w:color w:val="auto"/>
        </w:rPr>
        <w:t>PIPE INVESTMENT &amp; CLOSING DATE REDEMPTION RELATED PRO FORMA ADJUSTMENTS</w:t>
      </w:r>
    </w:p>
    <w:p>
      <w:pPr>
        <w:spacing w:after="0" w:line="22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unaudited pro forma condensed combined financial statements reflect the following adjustments related to the PIPE Investment and Closing Date Redemption:</w:t>
      </w:r>
    </w:p>
    <w:p>
      <w:pPr>
        <w:spacing w:after="0" w:line="162" w:lineRule="exact"/>
        <w:rPr>
          <w:sz w:val="20"/>
          <w:szCs w:val="20"/>
          <w:color w:val="auto"/>
        </w:rPr>
      </w:pPr>
    </w:p>
    <w:p>
      <w:pPr>
        <w:jc w:val="both"/>
        <w:ind w:left="340" w:hanging="332"/>
        <w:spacing w:after="0" w:line="261" w:lineRule="auto"/>
        <w:tabs>
          <w:tab w:leader="none" w:pos="34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New Amneal is subject to U.S. federal and state income taxes and will file consolidated income tax returns for U.S. federal and certain state jurisdictions. These adjustments reflect the recognition of additional deferred taxes in connection with the Transactions related to historical temporary differences in the GAAP basis as compared to the tax basis of assets held directly by Amneal that are now allocable to New Amneal, as well as the impact of the Transactions on New Amneal’s tax attributes.</w:t>
      </w:r>
    </w:p>
    <w:p>
      <w:pPr>
        <w:spacing w:after="0" w:line="180" w:lineRule="exact"/>
        <w:rPr>
          <w:rFonts w:ascii="Times New Roman" w:cs="Times New Roman" w:eastAsia="Times New Roman" w:hAnsi="Times New Roman"/>
          <w:sz w:val="18"/>
          <w:szCs w:val="18"/>
          <w:color w:val="auto"/>
        </w:rPr>
      </w:pPr>
    </w:p>
    <w:p>
      <w:pPr>
        <w:jc w:val="both"/>
        <w:ind w:left="340"/>
        <w:spacing w:after="0" w:line="26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addition, New Amneal is a party to the Tax Receivable Agreement pursuant to which, New Amneal is required to pay to the Existing Amneal Members 85% of the applicable cash savings, if any, in U.S. federal and state income tax that are realized in certain circumstances as a result of certain tax attributes of their Amneal Common Units sold to New Amneal and that are created as a result of (i) the redemptions of their Amneal Common Units, and (ii) tax benefits attributable to payments made under the Tax Receivable Agreement.</w:t>
      </w:r>
    </w:p>
    <w:p>
      <w:pPr>
        <w:spacing w:after="0" w:line="180" w:lineRule="exact"/>
        <w:rPr>
          <w:rFonts w:ascii="Times New Roman" w:cs="Times New Roman" w:eastAsia="Times New Roman" w:hAnsi="Times New Roman"/>
          <w:sz w:val="18"/>
          <w:szCs w:val="18"/>
          <w:color w:val="auto"/>
        </w:rPr>
      </w:pPr>
    </w:p>
    <w:p>
      <w:pPr>
        <w:jc w:val="both"/>
        <w:ind w:left="340"/>
        <w:spacing w:after="0" w:line="25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net deferred tax asset adjustment of $235.8 million, resulting from the PIPE Investment and Closing Date Redemption, and the $200.4 million adjustment to recognize the liability related to the Tax Receivable Agreement are assuming: (1) only the redemptions associated with the PIPE Investment and Closing Date Redemption, (2) a share price equal to $18.25 per share for the PIPE Investment and $18.30 for the Closing Date Redemption, (3) an estimated 23.5% effective tax rate (based on recently enacted U.S. tax law), (4) no material changes in tax law, (5) the ability to utilize some tax attributes associated with New Amneal’s U.S. operations, (6) the inability to utilize tax attributes associated with New Amneal’s non U.S. operations resulting in a full valuation allowance on these tax attributes and (7) future Tax Receivable Agreement and exchange agreement payments.</w:t>
      </w:r>
    </w:p>
    <w:p>
      <w:pPr>
        <w:spacing w:after="0" w:line="189" w:lineRule="exact"/>
        <w:rPr>
          <w:rFonts w:ascii="Times New Roman" w:cs="Times New Roman" w:eastAsia="Times New Roman" w:hAnsi="Times New Roman"/>
          <w:sz w:val="18"/>
          <w:szCs w:val="18"/>
          <w:color w:val="auto"/>
        </w:rPr>
      </w:pPr>
    </w:p>
    <w:p>
      <w:pPr>
        <w:jc w:val="both"/>
        <w:ind w:left="340"/>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net impact of the adjustments to net deferred taxes and the liability for the Tax Receivable Agreement have been recorded as an increase to additional paid in capital, as these adjustments arise from equity transactions of New Amneal. Additionally, because the amounts under the Tax Receivable Agreement are the sole obligation of New Amneal, no amount is allocated to non-controlling interests.</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ectPr>
          <w:pgSz w:w="11900" w:h="16838" w:orient="portrait"/>
          <w:cols w:equalWidth="0" w:num="1">
            <w:col w:w="11420"/>
          </w:cols>
          <w:pgMar w:left="240" w:top="122" w:right="239" w:bottom="1440" w:gutter="0" w:footer="0" w:header="0"/>
        </w:sectPr>
      </w:pPr>
    </w:p>
    <w:bookmarkStart w:id="47" w:name="page48"/>
    <w:bookmarkEnd w:id="47"/>
    <w:p>
      <w:pPr>
        <w:jc w:val="center"/>
        <w:spacing w:after="0"/>
        <w:rPr>
          <w:sz w:val="20"/>
          <w:szCs w:val="20"/>
          <w:color w:val="auto"/>
        </w:rPr>
      </w:pPr>
      <w:r>
        <w:rPr>
          <w:rFonts w:ascii="Times New Roman" w:cs="Times New Roman" w:eastAsia="Times New Roman" w:hAnsi="Times New Roman"/>
          <w:sz w:val="22"/>
          <w:szCs w:val="22"/>
          <w:b w:val="1"/>
          <w:bCs w:val="1"/>
          <w:color w:val="auto"/>
        </w:rPr>
        <w:t>NOTES TO UNAUDITED PRO FORMA CONDENSED COMBINED FINANCIAL STATEMENTS</w:t>
      </w:r>
    </w:p>
    <w:p>
      <w:pPr>
        <w:spacing w:after="0" w:line="246" w:lineRule="exact"/>
        <w:rPr>
          <w:sz w:val="20"/>
          <w:szCs w:val="20"/>
          <w:color w:val="auto"/>
        </w:rPr>
      </w:pPr>
    </w:p>
    <w:p>
      <w:pPr>
        <w:jc w:val="both"/>
        <w:ind w:left="340"/>
        <w:spacing w:after="0" w:line="258" w:lineRule="auto"/>
        <w:rPr>
          <w:sz w:val="20"/>
          <w:szCs w:val="20"/>
          <w:color w:val="auto"/>
        </w:rPr>
      </w:pPr>
      <w:r>
        <w:rPr>
          <w:rFonts w:ascii="Times New Roman" w:cs="Times New Roman" w:eastAsia="Times New Roman" w:hAnsi="Times New Roman"/>
          <w:sz w:val="18"/>
          <w:szCs w:val="18"/>
          <w:color w:val="auto"/>
        </w:rPr>
        <w:t>We anticipate that we will account for the income tax effects resulting from future taxable redemptions of Amneal Common Units by Existing Amneal Members for shares of Class A Common Stock or, in the case of the PIPE Investment, Class B-1 Common Stock or cash by recognizing an increase in deferred tax assets, based on the enacted tax rates at the date of each exchange. Further, management will evaluate the likelihood that New Amneal will realize the benefit represented by the deferred tax asset, and, to the extent it is estimated that it is more likely than not that New Amneal will not realize the benefit, the carrying amount of the deferred tax asset will be reduced by a valuation allowance.</w:t>
      </w:r>
    </w:p>
    <w:p>
      <w:pPr>
        <w:spacing w:after="0" w:line="184" w:lineRule="exact"/>
        <w:rPr>
          <w:sz w:val="20"/>
          <w:szCs w:val="20"/>
          <w:color w:val="auto"/>
        </w:rPr>
      </w:pPr>
    </w:p>
    <w:p>
      <w:pPr>
        <w:jc w:val="both"/>
        <w:ind w:left="340" w:hanging="332"/>
        <w:spacing w:after="0" w:line="266" w:lineRule="auto"/>
        <w:tabs>
          <w:tab w:leader="none" w:pos="34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Adjustment to record an $0.5 million increase in par value of issued and outstanding Class A Common Stock and Class B-1 common stock, along with a corresponding decrease in par value of issued and outstanding Class B Common Stock, as a result of the cancellation of the number of shares of Class B Common Stock delivered to New Amneal by Existing Amneal Members as part of the Redemption.</w:t>
      </w:r>
    </w:p>
    <w:p>
      <w:pPr>
        <w:spacing w:after="0" w:line="176" w:lineRule="exact"/>
        <w:rPr>
          <w:rFonts w:ascii="Times New Roman" w:cs="Times New Roman" w:eastAsia="Times New Roman" w:hAnsi="Times New Roman"/>
          <w:sz w:val="18"/>
          <w:szCs w:val="18"/>
          <w:color w:val="auto"/>
        </w:rPr>
      </w:pPr>
    </w:p>
    <w:p>
      <w:pPr>
        <w:jc w:val="both"/>
        <w:ind w:left="340" w:hanging="332"/>
        <w:spacing w:after="0" w:line="258" w:lineRule="auto"/>
        <w:tabs>
          <w:tab w:leader="none" w:pos="34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impact of the PIPE Investment and Closing Date Redemption on non-controlling interest and net loss allocable to non-controlling interest. The percentage of non-controlling interest is expected to decrease from 75% to approximately 57% as a result of the redemptions. All non-controlling interest adjustments have been calculated on a pre-tax basis due to the fact that all tax attributes reflected in the unaudited pro forma condensed combined financial statements represent New Amneal’s proportionate ownership share of Amneal. Accordingly, income taxes associated with assets held directly by Amneal are only reflected in the financial statements of New Amneal to the extent of its 43% membership interest in Amneal.</w:t>
      </w:r>
    </w:p>
    <w:p>
      <w:pPr>
        <w:spacing w:after="0" w:line="183" w:lineRule="exact"/>
        <w:rPr>
          <w:rFonts w:ascii="Times New Roman" w:cs="Times New Roman" w:eastAsia="Times New Roman" w:hAnsi="Times New Roman"/>
          <w:sz w:val="18"/>
          <w:szCs w:val="18"/>
          <w:color w:val="auto"/>
        </w:rPr>
      </w:pPr>
    </w:p>
    <w:p>
      <w:pPr>
        <w:jc w:val="both"/>
        <w:ind w:left="340" w:hanging="332"/>
        <w:spacing w:after="0" w:line="256" w:lineRule="auto"/>
        <w:tabs>
          <w:tab w:leader="none" w:pos="34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a $22.2 million net deferred tax liability adjustment (which is being netted against deferred tax assets for presentation purposes) as of March 31, 2018 to the unaudited pro forma condensed combined balance sheet and corresponding adjustment to the unaudited pro forma condensed combined statements of operations of $0.9 million and $14.3 million for the three months ended March 31, 2018 and the year ended December 31, 2017, respectively. The adjustments record the additional 18% of historical taxes associated with assets held directly by Amneal that will be allocable to New Amneal due to the increase in their ownership interest of Amneal to approximately 43% as a result of the PIPE Investment and Closing Date Redemption.</w:t>
      </w:r>
    </w:p>
    <w:p>
      <w:pPr>
        <w:spacing w:after="0" w:line="184" w:lineRule="exact"/>
        <w:rPr>
          <w:sz w:val="20"/>
          <w:szCs w:val="20"/>
          <w:color w:val="auto"/>
        </w:rPr>
      </w:pPr>
    </w:p>
    <w:p>
      <w:pPr>
        <w:spacing w:after="0"/>
        <w:tabs>
          <w:tab w:leader="none" w:pos="300" w:val="left"/>
        </w:tabs>
        <w:rPr>
          <w:sz w:val="20"/>
          <w:szCs w:val="20"/>
          <w:color w:val="auto"/>
        </w:rPr>
      </w:pPr>
      <w:r>
        <w:rPr>
          <w:rFonts w:ascii="Times New Roman" w:cs="Times New Roman" w:eastAsia="Times New Roman" w:hAnsi="Times New Roman"/>
          <w:sz w:val="18"/>
          <w:szCs w:val="18"/>
          <w:b w:val="1"/>
          <w:bCs w:val="1"/>
          <w:color w:val="auto"/>
        </w:rPr>
        <w:t>9.</w:t>
      </w:r>
      <w:r>
        <w:rPr>
          <w:sz w:val="20"/>
          <w:szCs w:val="20"/>
          <w:color w:val="auto"/>
        </w:rPr>
        <w:tab/>
      </w:r>
      <w:r>
        <w:rPr>
          <w:rFonts w:ascii="Times New Roman" w:cs="Times New Roman" w:eastAsia="Times New Roman" w:hAnsi="Times New Roman"/>
          <w:sz w:val="17"/>
          <w:szCs w:val="17"/>
          <w:b w:val="1"/>
          <w:bCs w:val="1"/>
          <w:color w:val="auto"/>
        </w:rPr>
        <w:t>NEW AMNEAL EARNINGS PER SHARE INFORMATION</w:t>
      </w:r>
    </w:p>
    <w:p>
      <w:pPr>
        <w:spacing w:after="0" w:line="22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The unaudited pro forma combined basic and diluted earnings per share (“EPS”) for the three months ended March 31, 2018 and the year ended December 31, 2017 are based on pro forma net loss reflecting the adjustments discussed above divided by the basic and diluted weighted-average number of common shares outstanding. New Amneal has three classes of issued and outstanding common stock; Class A Common Stock, Class B-1 Common Stock and Class B Common Stock. Holders of Class A Common Stock and holders of Class B-1 Common Stock have substantially identical economic rights, including rights with respect to any declared dividends or distributions of cash or property, and the right to receive proceeds on liquidation or dissolution of the New Amneal after payment of outstanding indebtedness. The two classes have different voting rights for matters submitted to a vote of stockholders, with each holder of Class A Common Stock entitled to one vote per share while holders of Class B-1 Common Stock are not entitled to any voting rights. Holders of Class B Common Stock are not entitled to receive any dividends or distributions, but are entitled to one vote per share. At any time at the option of the holder, the shares of Class B-1 Common Stock are convertible into, and the Amneal Common Units issued in connection with the issuance of Class B Common Stock are redeemable (with the accompanying cancellation of such shares of Class B Common Stock) for shares of Class A Common Stock on a share-for-share basis. New Amneal has the option to require the holders of Class B-1 Common Stock to convert their shares into Class A Common Stock upon the earlier of one year from the Closing Date or when the holders of Class B-1 Common Stock appoint a director to the board of directors. In addition, shares of Class B-1 Common Stock will be automatically converted into a like number of shares of Class A Common Stock upon transfer to any person or entity who is not a permitted transferee.</w:t>
      </w:r>
    </w:p>
    <w:p>
      <w:pPr>
        <w:spacing w:after="0" w:line="19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 xml:space="preserve">The two class method has been utilized for calculating unaudited pro forma basic EPS due to the fact that both the Class A Common Stock and Class B-1 Common Stock are considered participating securities under ASC 260 - </w:t>
      </w:r>
      <w:r>
        <w:rPr>
          <w:rFonts w:ascii="Times New Roman" w:cs="Times New Roman" w:eastAsia="Times New Roman" w:hAnsi="Times New Roman"/>
          <w:sz w:val="18"/>
          <w:szCs w:val="18"/>
          <w:i w:val="1"/>
          <w:iCs w:val="1"/>
          <w:color w:val="auto"/>
        </w:rPr>
        <w:t>Earnings Per Share</w:t>
      </w:r>
      <w:r>
        <w:rPr>
          <w:rFonts w:ascii="Times New Roman" w:cs="Times New Roman" w:eastAsia="Times New Roman" w:hAnsi="Times New Roman"/>
          <w:sz w:val="18"/>
          <w:szCs w:val="18"/>
          <w:color w:val="auto"/>
        </w:rPr>
        <w:t>. The shares of Class B Common Stock have no rights to dividends or distributions, whether in cash or stock, and therefore are not deemed to be participating securities and are excluded from the unaudited pro forma basic EPS calculation. As the economic rights of both the Class A Common Stock and the Class B-1 Common Stock are identical, the unaudited pro forma combined basic EPS for Class A Common Stock and Class B-1 Common Stock is the same and is calculated based on the number of shares of Class A Common Stock and Class B-1 Common Stock that will be issued and outstanding following the close of the Transactions, PIPE Investment and Closing Date Redemption. These shares represent the shares of Class A Common Stock exchanged for the outstanding Impax Common Stock, and shares of Class A Common Stock and Class B-1 Common Stock issued in connection with the PIPE Investment and Closing Date Redemption.</w:t>
      </w: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ectPr>
          <w:pgSz w:w="11900" w:h="16838" w:orient="portrait"/>
          <w:cols w:equalWidth="0" w:num="1">
            <w:col w:w="11420"/>
          </w:cols>
          <w:pgMar w:left="240" w:top="122" w:right="239" w:bottom="1440" w:gutter="0" w:footer="0" w:header="0"/>
        </w:sectPr>
      </w:pPr>
    </w:p>
    <w:bookmarkStart w:id="48" w:name="page49"/>
    <w:bookmarkEnd w:id="48"/>
    <w:p>
      <w:pPr>
        <w:jc w:val="center"/>
        <w:spacing w:after="0"/>
        <w:rPr>
          <w:sz w:val="20"/>
          <w:szCs w:val="20"/>
          <w:color w:val="auto"/>
        </w:rPr>
      </w:pPr>
      <w:r>
        <w:rPr>
          <w:rFonts w:ascii="Times New Roman" w:cs="Times New Roman" w:eastAsia="Times New Roman" w:hAnsi="Times New Roman"/>
          <w:sz w:val="22"/>
          <w:szCs w:val="22"/>
          <w:b w:val="1"/>
          <w:bCs w:val="1"/>
          <w:color w:val="auto"/>
        </w:rPr>
        <w:t>NOTES TO UNAUDITED PRO FORMA CONDENSED COMBINED FINANCIAL STATEMENTS</w:t>
      </w:r>
    </w:p>
    <w:p>
      <w:pPr>
        <w:spacing w:after="0" w:line="246"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The unaudited pro forma diluted EPS calculation should give effect to all potentially dilutive shares following the close of the Transactions, PIPE Investment and Closing Date Redemption, including: (i) shares issuable pursuant to outstanding stock options, based on the application of the treasury stock method, (ii) outstanding Class B Common Stock which will be cancelled upon the redemptions of Amneal Common Units, on a share-for-share basis of such redeemed Amneal Common Units for such number of Class A Common Stock, based on the application of the as-if converted method, and (iii) outstanding Class B-1 Common Stock that is convertible into Class A Common Stock on a share-for-share basis, based on the application of the as-if converted method. The conversion of Class B-1 Common Stock to Class A Common Stock results in the exchange of all shares of Class B-1 Common Stock outstanding, and therefore the two class method is not required for unaudited pro forma combined diluted EPS. Similarly, the redemption of all outstanding Amneal Common Units held by Existing Amneal Members for Class A Common Stock results in the cancellation of all shares of Class B Common Stock outstanding. Upon the completion of such redemptions, there will be no Amneal Common Units held by outside investors, resulting in the reduction of the non-controlling interest to 0%. As such, the pro forma net loss attributable to non-controlling interests should be added back to the numerator for purposes of calculating unaudited pro forma diluted EPS as if the redemptions and cancellation of the Class B common shares had occurred at the beginning of the period.</w:t>
      </w:r>
    </w:p>
    <w:p>
      <w:pPr>
        <w:spacing w:after="0" w:line="193" w:lineRule="exact"/>
        <w:rPr>
          <w:sz w:val="20"/>
          <w:szCs w:val="20"/>
          <w:color w:val="auto"/>
        </w:rPr>
      </w:pPr>
    </w:p>
    <w:p>
      <w:pPr>
        <w:jc w:val="both"/>
        <w:ind w:right="320"/>
        <w:spacing w:after="0" w:line="266" w:lineRule="auto"/>
        <w:rPr>
          <w:sz w:val="20"/>
          <w:szCs w:val="20"/>
          <w:color w:val="auto"/>
        </w:rPr>
      </w:pPr>
      <w:r>
        <w:rPr>
          <w:rFonts w:ascii="Times New Roman" w:cs="Times New Roman" w:eastAsia="Times New Roman" w:hAnsi="Times New Roman"/>
          <w:sz w:val="18"/>
          <w:szCs w:val="18"/>
          <w:color w:val="auto"/>
        </w:rPr>
        <w:t>The shares issuable pursuant to outstanding stock options, the redemption of the Amneal Common Units held by Existing Amneal Members for shares of Class A Common Stock and the add back of the net loss attributable to non-controlling interests have been excluded from the calculation of unaudited pro forma diluted EPS because the effect would have been anti-dilutive.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unaudited pro forma basic and diluted EPS are calculated as follows:</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226"/>
        </w:trPr>
        <w:tc>
          <w:tcPr>
            <w:tcW w:w="7420" w:type="dxa"/>
            <w:vAlign w:val="bottom"/>
          </w:tcPr>
          <w:p>
            <w:pPr>
              <w:spacing w:after="0"/>
              <w:rPr>
                <w:sz w:val="19"/>
                <w:szCs w:val="19"/>
                <w:color w:val="auto"/>
              </w:rPr>
            </w:pPr>
          </w:p>
        </w:tc>
        <w:tc>
          <w:tcPr>
            <w:tcW w:w="1780" w:type="dxa"/>
            <w:vAlign w:val="bottom"/>
            <w:gridSpan w:val="3"/>
          </w:tcPr>
          <w:p>
            <w:pPr>
              <w:ind w:left="40"/>
              <w:spacing w:after="0"/>
              <w:rPr>
                <w:sz w:val="20"/>
                <w:szCs w:val="20"/>
                <w:color w:val="auto"/>
              </w:rPr>
            </w:pPr>
            <w:r>
              <w:rPr>
                <w:rFonts w:ascii="Times New Roman" w:cs="Times New Roman" w:eastAsia="Times New Roman" w:hAnsi="Times New Roman"/>
                <w:sz w:val="17"/>
                <w:szCs w:val="17"/>
                <w:b w:val="1"/>
                <w:bCs w:val="1"/>
                <w:color w:val="auto"/>
              </w:rPr>
              <w:t>Three months ended</w:t>
            </w:r>
          </w:p>
        </w:tc>
        <w:tc>
          <w:tcPr>
            <w:tcW w:w="220" w:type="dxa"/>
            <w:vAlign w:val="bottom"/>
          </w:tcPr>
          <w:p>
            <w:pPr>
              <w:spacing w:after="0"/>
              <w:rPr>
                <w:sz w:val="19"/>
                <w:szCs w:val="19"/>
                <w:color w:val="auto"/>
              </w:rPr>
            </w:pPr>
          </w:p>
        </w:tc>
        <w:tc>
          <w:tcPr>
            <w:tcW w:w="1800" w:type="dxa"/>
            <w:vAlign w:val="bottom"/>
          </w:tcPr>
          <w:p>
            <w:pPr>
              <w:jc w:val="right"/>
              <w:ind w:right="515"/>
              <w:spacing w:after="0"/>
              <w:rPr>
                <w:sz w:val="20"/>
                <w:szCs w:val="20"/>
                <w:color w:val="auto"/>
              </w:rPr>
            </w:pPr>
            <w:r>
              <w:rPr>
                <w:rFonts w:ascii="Times New Roman" w:cs="Times New Roman" w:eastAsia="Times New Roman" w:hAnsi="Times New Roman"/>
                <w:sz w:val="17"/>
                <w:szCs w:val="17"/>
                <w:b w:val="1"/>
                <w:bCs w:val="1"/>
                <w:color w:val="auto"/>
              </w:rPr>
              <w:t>Year ended</w:t>
            </w:r>
          </w:p>
        </w:tc>
      </w:tr>
      <w:tr>
        <w:trPr>
          <w:trHeight w:val="270"/>
        </w:trPr>
        <w:tc>
          <w:tcPr>
            <w:tcW w:w="7420" w:type="dxa"/>
            <w:vAlign w:val="bottom"/>
          </w:tcPr>
          <w:p>
            <w:pPr>
              <w:ind w:left="40"/>
              <w:spacing w:after="0"/>
              <w:rPr>
                <w:sz w:val="20"/>
                <w:szCs w:val="20"/>
                <w:color w:val="auto"/>
              </w:rPr>
            </w:pPr>
            <w:r>
              <w:rPr>
                <w:rFonts w:ascii="Times New Roman" w:cs="Times New Roman" w:eastAsia="Times New Roman" w:hAnsi="Times New Roman"/>
                <w:sz w:val="17"/>
                <w:szCs w:val="17"/>
                <w:i w:val="1"/>
                <w:iCs w:val="1"/>
                <w:color w:val="auto"/>
              </w:rPr>
              <w:t>(in thousands except share and per share data)</w:t>
            </w:r>
          </w:p>
        </w:tc>
        <w:tc>
          <w:tcPr>
            <w:tcW w:w="160" w:type="dxa"/>
            <w:vAlign w:val="bottom"/>
          </w:tcPr>
          <w:p>
            <w:pPr>
              <w:spacing w:after="0"/>
              <w:rPr>
                <w:sz w:val="23"/>
                <w:szCs w:val="23"/>
                <w:color w:val="auto"/>
              </w:rPr>
            </w:pPr>
          </w:p>
        </w:tc>
        <w:tc>
          <w:tcPr>
            <w:tcW w:w="1620" w:type="dxa"/>
            <w:vAlign w:val="bottom"/>
            <w:gridSpan w:val="2"/>
          </w:tcPr>
          <w:p>
            <w:pPr>
              <w:ind w:left="60"/>
              <w:spacing w:after="0"/>
              <w:rPr>
                <w:sz w:val="20"/>
                <w:szCs w:val="20"/>
                <w:color w:val="auto"/>
              </w:rPr>
            </w:pPr>
            <w:r>
              <w:rPr>
                <w:rFonts w:ascii="Times New Roman" w:cs="Times New Roman" w:eastAsia="Times New Roman" w:hAnsi="Times New Roman"/>
                <w:sz w:val="17"/>
                <w:szCs w:val="17"/>
                <w:b w:val="1"/>
                <w:bCs w:val="1"/>
                <w:color w:val="auto"/>
              </w:rPr>
              <w:t>March 31, 2018</w:t>
            </w:r>
          </w:p>
        </w:tc>
        <w:tc>
          <w:tcPr>
            <w:tcW w:w="220" w:type="dxa"/>
            <w:vAlign w:val="bottom"/>
          </w:tcPr>
          <w:p>
            <w:pPr>
              <w:spacing w:after="0"/>
              <w:rPr>
                <w:sz w:val="23"/>
                <w:szCs w:val="23"/>
                <w:color w:val="auto"/>
              </w:rPr>
            </w:pPr>
          </w:p>
        </w:tc>
        <w:tc>
          <w:tcPr>
            <w:tcW w:w="1800" w:type="dxa"/>
            <w:vAlign w:val="bottom"/>
          </w:tcPr>
          <w:p>
            <w:pPr>
              <w:jc w:val="right"/>
              <w:ind w:right="235"/>
              <w:spacing w:after="0"/>
              <w:rPr>
                <w:sz w:val="20"/>
                <w:szCs w:val="20"/>
                <w:color w:val="auto"/>
              </w:rPr>
            </w:pPr>
            <w:r>
              <w:rPr>
                <w:rFonts w:ascii="Times New Roman" w:cs="Times New Roman" w:eastAsia="Times New Roman" w:hAnsi="Times New Roman"/>
                <w:sz w:val="17"/>
                <w:szCs w:val="17"/>
                <w:b w:val="1"/>
                <w:bCs w:val="1"/>
                <w:color w:val="auto"/>
              </w:rPr>
              <w:t>December 31, 2017</w:t>
            </w:r>
          </w:p>
        </w:tc>
      </w:tr>
      <w:tr>
        <w:trPr>
          <w:trHeight w:val="29"/>
        </w:trPr>
        <w:tc>
          <w:tcPr>
            <w:tcW w:w="74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r>
      <w:tr>
        <w:trPr>
          <w:trHeight w:val="244"/>
        </w:trPr>
        <w:tc>
          <w:tcPr>
            <w:tcW w:w="74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b w:val="1"/>
                <w:bCs w:val="1"/>
                <w:color w:val="auto"/>
              </w:rPr>
              <w:t>Pro Forma Basic EPS</w:t>
            </w:r>
          </w:p>
        </w:tc>
        <w:tc>
          <w:tcPr>
            <w:tcW w:w="1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800" w:type="dxa"/>
            <w:vAlign w:val="bottom"/>
            <w:tcBorders>
              <w:bottom w:val="single" w:sz="8" w:color="CCEEFF"/>
            </w:tcBorders>
            <w:shd w:val="clear" w:color="auto" w:fill="CCEEFF"/>
          </w:tcPr>
          <w:p>
            <w:pPr>
              <w:spacing w:after="0"/>
              <w:rPr>
                <w:sz w:val="21"/>
                <w:szCs w:val="21"/>
                <w:color w:val="auto"/>
              </w:rPr>
            </w:pPr>
          </w:p>
        </w:tc>
      </w:tr>
      <w:tr>
        <w:trPr>
          <w:trHeight w:val="241"/>
        </w:trPr>
        <w:tc>
          <w:tcPr>
            <w:tcW w:w="74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Pro forma net loss attributable to New Amneal</w:t>
            </w:r>
          </w:p>
        </w:tc>
        <w:tc>
          <w:tcPr>
            <w:tcW w:w="16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w:t>
            </w:r>
          </w:p>
        </w:tc>
        <w:tc>
          <w:tcPr>
            <w:tcW w:w="14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(38,908)</w:t>
            </w:r>
          </w:p>
        </w:tc>
        <w:tc>
          <w:tcPr>
            <w:tcW w:w="220" w:type="dxa"/>
            <w:vAlign w:val="bottom"/>
          </w:tcPr>
          <w:p>
            <w:pPr>
              <w:spacing w:after="0"/>
              <w:rPr>
                <w:sz w:val="20"/>
                <w:szCs w:val="20"/>
                <w:color w:val="auto"/>
              </w:rPr>
            </w:pPr>
          </w:p>
        </w:tc>
        <w:tc>
          <w:tcPr>
            <w:tcW w:w="2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18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(157,242)</w:t>
            </w:r>
          </w:p>
        </w:tc>
      </w:tr>
      <w:tr>
        <w:trPr>
          <w:trHeight w:val="29"/>
        </w:trPr>
        <w:tc>
          <w:tcPr>
            <w:tcW w:w="74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0" w:type="dxa"/>
            <w:vAlign w:val="bottom"/>
          </w:tcPr>
          <w:p>
            <w:pPr>
              <w:spacing w:after="0"/>
              <w:rPr>
                <w:sz w:val="2"/>
                <w:szCs w:val="2"/>
                <w:color w:val="auto"/>
              </w:rPr>
            </w:pPr>
          </w:p>
        </w:tc>
      </w:tr>
      <w:tr>
        <w:trPr>
          <w:trHeight w:val="270"/>
        </w:trPr>
        <w:tc>
          <w:tcPr>
            <w:tcW w:w="7420" w:type="dxa"/>
            <w:vAlign w:val="bottom"/>
            <w:shd w:val="clear" w:color="auto" w:fill="CCEEFF"/>
          </w:tcPr>
          <w:p>
            <w:pPr>
              <w:ind w:left="40"/>
              <w:spacing w:after="0" w:line="270" w:lineRule="exact"/>
              <w:rPr>
                <w:sz w:val="20"/>
                <w:szCs w:val="20"/>
                <w:color w:val="auto"/>
              </w:rPr>
            </w:pPr>
            <w:r>
              <w:rPr>
                <w:rFonts w:ascii="Times New Roman" w:cs="Times New Roman" w:eastAsia="Times New Roman" w:hAnsi="Times New Roman"/>
                <w:sz w:val="17"/>
                <w:szCs w:val="17"/>
                <w:color w:val="auto"/>
              </w:rPr>
              <w:t>Pro forma basic weighted-average common stock outstanding</w:t>
            </w:r>
            <w:r>
              <w:rPr>
                <w:rFonts w:ascii="Times New Roman" w:cs="Times New Roman" w:eastAsia="Times New Roman" w:hAnsi="Times New Roman"/>
                <w:sz w:val="28"/>
                <w:szCs w:val="28"/>
                <w:color w:val="auto"/>
                <w:vertAlign w:val="superscript"/>
              </w:rPr>
              <w:t>(1)</w:t>
            </w:r>
          </w:p>
        </w:tc>
        <w:tc>
          <w:tcPr>
            <w:tcW w:w="160" w:type="dxa"/>
            <w:vAlign w:val="bottom"/>
            <w:tcBorders>
              <w:bottom w:val="single" w:sz="8" w:color="auto"/>
            </w:tcBorders>
            <w:shd w:val="clear" w:color="auto" w:fill="CCEEFF"/>
          </w:tcPr>
          <w:p>
            <w:pPr>
              <w:spacing w:after="0"/>
              <w:rPr>
                <w:sz w:val="23"/>
                <w:szCs w:val="23"/>
                <w:color w:val="auto"/>
              </w:rPr>
            </w:pPr>
          </w:p>
        </w:tc>
        <w:tc>
          <w:tcPr>
            <w:tcW w:w="1400" w:type="dxa"/>
            <w:vAlign w:val="bottom"/>
            <w:tcBorders>
              <w:bottom w:val="single" w:sz="8" w:color="auto"/>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127,024,248</w:t>
            </w:r>
          </w:p>
        </w:tc>
        <w:tc>
          <w:tcPr>
            <w:tcW w:w="2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1800" w:type="dxa"/>
            <w:vAlign w:val="bottom"/>
            <w:tcBorders>
              <w:bottom w:val="single" w:sz="8" w:color="auto"/>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127,024,248</w:t>
            </w:r>
          </w:p>
        </w:tc>
      </w:tr>
      <w:tr>
        <w:trPr>
          <w:trHeight w:val="284"/>
        </w:trPr>
        <w:tc>
          <w:tcPr>
            <w:tcW w:w="7420" w:type="dxa"/>
            <w:vAlign w:val="bottom"/>
            <w:tcBorders>
              <w:bottom w:val="single" w:sz="8" w:color="CCEEFF"/>
            </w:tcBorders>
          </w:tcPr>
          <w:p>
            <w:pPr>
              <w:ind w:left="880"/>
              <w:spacing w:after="0"/>
              <w:rPr>
                <w:sz w:val="20"/>
                <w:szCs w:val="20"/>
                <w:color w:val="auto"/>
              </w:rPr>
            </w:pPr>
            <w:r>
              <w:rPr>
                <w:rFonts w:ascii="Times New Roman" w:cs="Times New Roman" w:eastAsia="Times New Roman" w:hAnsi="Times New Roman"/>
                <w:sz w:val="17"/>
                <w:szCs w:val="17"/>
                <w:color w:val="auto"/>
              </w:rPr>
              <w:t>Pro forma basic EPS</w:t>
            </w:r>
          </w:p>
        </w:tc>
        <w:tc>
          <w:tcPr>
            <w:tcW w:w="16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7"/>
                <w:szCs w:val="17"/>
                <w:color w:val="auto"/>
              </w:rPr>
              <w:t>$</w:t>
            </w: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(0.31)</w:t>
            </w:r>
          </w:p>
        </w:tc>
        <w:tc>
          <w:tcPr>
            <w:tcW w:w="2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1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(1.24)</w:t>
            </w:r>
          </w:p>
        </w:tc>
      </w:tr>
      <w:tr>
        <w:trPr>
          <w:trHeight w:val="237"/>
        </w:trPr>
        <w:tc>
          <w:tcPr>
            <w:tcW w:w="74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7"/>
                <w:szCs w:val="17"/>
                <w:b w:val="1"/>
                <w:bCs w:val="1"/>
                <w:color w:val="auto"/>
              </w:rPr>
              <w:t>Pro Forma Diluted EPS</w:t>
            </w:r>
          </w:p>
        </w:tc>
        <w:tc>
          <w:tcPr>
            <w:tcW w:w="16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800" w:type="dxa"/>
            <w:vAlign w:val="bottom"/>
            <w:tcBorders>
              <w:bottom w:val="single" w:sz="8" w:color="CCEEFF"/>
            </w:tcBorders>
            <w:shd w:val="clear" w:color="auto" w:fill="CCEEFF"/>
          </w:tcPr>
          <w:p>
            <w:pPr>
              <w:spacing w:after="0"/>
              <w:rPr>
                <w:sz w:val="20"/>
                <w:szCs w:val="20"/>
                <w:color w:val="auto"/>
              </w:rPr>
            </w:pPr>
          </w:p>
        </w:tc>
      </w:tr>
      <w:tr>
        <w:trPr>
          <w:trHeight w:val="241"/>
        </w:trPr>
        <w:tc>
          <w:tcPr>
            <w:tcW w:w="74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Pro forma net loss attributable to New Amneal</w:t>
            </w:r>
          </w:p>
        </w:tc>
        <w:tc>
          <w:tcPr>
            <w:tcW w:w="16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w:t>
            </w:r>
          </w:p>
        </w:tc>
        <w:tc>
          <w:tcPr>
            <w:tcW w:w="14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(38,908)</w:t>
            </w:r>
          </w:p>
        </w:tc>
        <w:tc>
          <w:tcPr>
            <w:tcW w:w="220" w:type="dxa"/>
            <w:vAlign w:val="bottom"/>
          </w:tcPr>
          <w:p>
            <w:pPr>
              <w:spacing w:after="0"/>
              <w:rPr>
                <w:sz w:val="20"/>
                <w:szCs w:val="20"/>
                <w:color w:val="auto"/>
              </w:rPr>
            </w:pPr>
          </w:p>
        </w:tc>
        <w:tc>
          <w:tcPr>
            <w:tcW w:w="2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18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(157,242)</w:t>
            </w:r>
          </w:p>
        </w:tc>
      </w:tr>
      <w:tr>
        <w:trPr>
          <w:trHeight w:val="29"/>
        </w:trPr>
        <w:tc>
          <w:tcPr>
            <w:tcW w:w="74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0" w:type="dxa"/>
            <w:vAlign w:val="bottom"/>
          </w:tcPr>
          <w:p>
            <w:pPr>
              <w:spacing w:after="0"/>
              <w:rPr>
                <w:sz w:val="2"/>
                <w:szCs w:val="2"/>
                <w:color w:val="auto"/>
              </w:rPr>
            </w:pPr>
          </w:p>
        </w:tc>
      </w:tr>
      <w:tr>
        <w:trPr>
          <w:trHeight w:val="270"/>
        </w:trPr>
        <w:tc>
          <w:tcPr>
            <w:tcW w:w="742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7"/>
                <w:szCs w:val="17"/>
                <w:color w:val="auto"/>
              </w:rPr>
              <w:t>Pro forma net loss attributable to non-controlling interests</w:t>
            </w:r>
          </w:p>
        </w:tc>
        <w:tc>
          <w:tcPr>
            <w:tcW w:w="160" w:type="dxa"/>
            <w:vAlign w:val="bottom"/>
            <w:tcBorders>
              <w:bottom w:val="single" w:sz="8" w:color="CCEEFF"/>
            </w:tcBorders>
            <w:shd w:val="clear" w:color="auto" w:fill="CCEEFF"/>
          </w:tcPr>
          <w:p>
            <w:pPr>
              <w:spacing w:after="0"/>
              <w:rPr>
                <w:sz w:val="23"/>
                <w:szCs w:val="23"/>
                <w:color w:val="auto"/>
              </w:rPr>
            </w:pPr>
          </w:p>
        </w:tc>
        <w:tc>
          <w:tcPr>
            <w:tcW w:w="162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7"/>
                <w:szCs w:val="17"/>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80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w:t>
            </w:r>
          </w:p>
        </w:tc>
      </w:tr>
      <w:tr>
        <w:trPr>
          <w:trHeight w:val="221"/>
        </w:trPr>
        <w:tc>
          <w:tcPr>
            <w:tcW w:w="74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Pro forma net loss</w:t>
            </w:r>
          </w:p>
        </w:tc>
        <w:tc>
          <w:tcPr>
            <w:tcW w:w="160" w:type="dxa"/>
            <w:vAlign w:val="bottom"/>
            <w:tcBorders>
              <w:top w:val="single" w:sz="8" w:color="auto"/>
            </w:tcBorders>
          </w:tcPr>
          <w:p>
            <w:pPr>
              <w:spacing w:after="0"/>
              <w:rPr>
                <w:sz w:val="19"/>
                <w:szCs w:val="19"/>
                <w:color w:val="auto"/>
              </w:rPr>
            </w:pPr>
          </w:p>
        </w:tc>
        <w:tc>
          <w:tcPr>
            <w:tcW w:w="1400" w:type="dxa"/>
            <w:vAlign w:val="bottom"/>
            <w:tcBorders>
              <w:top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color w:val="auto"/>
              </w:rPr>
              <w:t>(38,908)</w:t>
            </w:r>
          </w:p>
        </w:tc>
        <w:tc>
          <w:tcPr>
            <w:tcW w:w="220" w:type="dxa"/>
            <w:vAlign w:val="bottom"/>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1800" w:type="dxa"/>
            <w:vAlign w:val="bottom"/>
            <w:tcBorders>
              <w:top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rPr>
              <w:t>(157,242)</w:t>
            </w:r>
          </w:p>
        </w:tc>
      </w:tr>
      <w:tr>
        <w:trPr>
          <w:trHeight w:val="29"/>
        </w:trPr>
        <w:tc>
          <w:tcPr>
            <w:tcW w:w="74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0" w:type="dxa"/>
            <w:vAlign w:val="bottom"/>
          </w:tcPr>
          <w:p>
            <w:pPr>
              <w:spacing w:after="0"/>
              <w:rPr>
                <w:sz w:val="2"/>
                <w:szCs w:val="2"/>
                <w:color w:val="auto"/>
              </w:rPr>
            </w:pPr>
          </w:p>
        </w:tc>
      </w:tr>
      <w:tr>
        <w:trPr>
          <w:trHeight w:val="270"/>
        </w:trPr>
        <w:tc>
          <w:tcPr>
            <w:tcW w:w="7420" w:type="dxa"/>
            <w:vAlign w:val="bottom"/>
            <w:shd w:val="clear" w:color="auto" w:fill="CCEEFF"/>
          </w:tcPr>
          <w:p>
            <w:pPr>
              <w:ind w:left="40"/>
              <w:spacing w:after="0" w:line="270" w:lineRule="exact"/>
              <w:rPr>
                <w:sz w:val="20"/>
                <w:szCs w:val="20"/>
                <w:color w:val="auto"/>
              </w:rPr>
            </w:pPr>
            <w:r>
              <w:rPr>
                <w:rFonts w:ascii="Times New Roman" w:cs="Times New Roman" w:eastAsia="Times New Roman" w:hAnsi="Times New Roman"/>
                <w:sz w:val="17"/>
                <w:szCs w:val="17"/>
                <w:color w:val="auto"/>
              </w:rPr>
              <w:t>Pro forma basic weighted-average common shares outstanding</w:t>
            </w:r>
            <w:r>
              <w:rPr>
                <w:rFonts w:ascii="Times New Roman" w:cs="Times New Roman" w:eastAsia="Times New Roman" w:hAnsi="Times New Roman"/>
                <w:sz w:val="28"/>
                <w:szCs w:val="28"/>
                <w:color w:val="auto"/>
                <w:vertAlign w:val="superscript"/>
              </w:rPr>
              <w:t>(1)</w:t>
            </w:r>
          </w:p>
        </w:tc>
        <w:tc>
          <w:tcPr>
            <w:tcW w:w="160" w:type="dxa"/>
            <w:vAlign w:val="bottom"/>
            <w:shd w:val="clear" w:color="auto" w:fill="CCEEFF"/>
          </w:tcPr>
          <w:p>
            <w:pPr>
              <w:spacing w:after="0"/>
              <w:rPr>
                <w:sz w:val="23"/>
                <w:szCs w:val="23"/>
                <w:color w:val="auto"/>
              </w:rPr>
            </w:pPr>
          </w:p>
        </w:tc>
        <w:tc>
          <w:tcPr>
            <w:tcW w:w="1400" w:type="dxa"/>
            <w:vAlign w:val="bottom"/>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127,024,248</w:t>
            </w:r>
          </w:p>
        </w:tc>
        <w:tc>
          <w:tcPr>
            <w:tcW w:w="2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80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127,024,248</w:t>
            </w:r>
          </w:p>
        </w:tc>
      </w:tr>
      <w:tr>
        <w:trPr>
          <w:trHeight w:val="241"/>
        </w:trPr>
        <w:tc>
          <w:tcPr>
            <w:tcW w:w="742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Pro forma dilutive effect of the redemptions of Amneal Common Units</w:t>
            </w:r>
          </w:p>
        </w:tc>
        <w:tc>
          <w:tcPr>
            <w:tcW w:w="160" w:type="dxa"/>
            <w:vAlign w:val="bottom"/>
          </w:tcPr>
          <w:p>
            <w:pPr>
              <w:spacing w:after="0"/>
              <w:rPr>
                <w:sz w:val="20"/>
                <w:szCs w:val="20"/>
                <w:color w:val="auto"/>
              </w:rPr>
            </w:pPr>
          </w:p>
        </w:tc>
        <w:tc>
          <w:tcPr>
            <w:tcW w:w="1620" w:type="dxa"/>
            <w:vAlign w:val="bottom"/>
            <w:gridSpan w:val="2"/>
          </w:tcPr>
          <w:p>
            <w:pPr>
              <w:jc w:val="right"/>
              <w:ind w:right="320"/>
              <w:spacing w:after="0"/>
              <w:rPr>
                <w:sz w:val="20"/>
                <w:szCs w:val="20"/>
                <w:color w:val="auto"/>
              </w:rPr>
            </w:pPr>
            <w:r>
              <w:rPr>
                <w:rFonts w:ascii="Times New Roman" w:cs="Times New Roman" w:eastAsia="Times New Roman" w:hAnsi="Times New Roman"/>
                <w:sz w:val="17"/>
                <w:szCs w:val="17"/>
                <w:color w:val="auto"/>
              </w:rPr>
              <w:t>—</w:t>
            </w:r>
          </w:p>
        </w:tc>
        <w:tc>
          <w:tcPr>
            <w:tcW w:w="220" w:type="dxa"/>
            <w:vAlign w:val="bottom"/>
          </w:tcPr>
          <w:p>
            <w:pPr>
              <w:spacing w:after="0"/>
              <w:rPr>
                <w:sz w:val="20"/>
                <w:szCs w:val="20"/>
                <w:color w:val="auto"/>
              </w:rPr>
            </w:pPr>
          </w:p>
        </w:tc>
        <w:tc>
          <w:tcPr>
            <w:tcW w:w="18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w:t>
            </w:r>
          </w:p>
        </w:tc>
      </w:tr>
      <w:tr>
        <w:trPr>
          <w:trHeight w:val="29"/>
        </w:trPr>
        <w:tc>
          <w:tcPr>
            <w:tcW w:w="74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0" w:type="dxa"/>
            <w:vAlign w:val="bottom"/>
          </w:tcPr>
          <w:p>
            <w:pPr>
              <w:spacing w:after="0"/>
              <w:rPr>
                <w:sz w:val="2"/>
                <w:szCs w:val="2"/>
                <w:color w:val="auto"/>
              </w:rPr>
            </w:pPr>
          </w:p>
        </w:tc>
      </w:tr>
      <w:tr>
        <w:trPr>
          <w:trHeight w:val="270"/>
        </w:trPr>
        <w:tc>
          <w:tcPr>
            <w:tcW w:w="742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7"/>
                <w:szCs w:val="17"/>
                <w:color w:val="auto"/>
              </w:rPr>
              <w:t>Pro forma dilutive effect of New Amneal stock options</w:t>
            </w:r>
          </w:p>
        </w:tc>
        <w:tc>
          <w:tcPr>
            <w:tcW w:w="160" w:type="dxa"/>
            <w:vAlign w:val="bottom"/>
            <w:tcBorders>
              <w:bottom w:val="single" w:sz="8" w:color="CCEEFF"/>
            </w:tcBorders>
            <w:shd w:val="clear" w:color="auto" w:fill="CCEEFF"/>
          </w:tcPr>
          <w:p>
            <w:pPr>
              <w:spacing w:after="0"/>
              <w:rPr>
                <w:sz w:val="23"/>
                <w:szCs w:val="23"/>
                <w:color w:val="auto"/>
              </w:rPr>
            </w:pPr>
          </w:p>
        </w:tc>
        <w:tc>
          <w:tcPr>
            <w:tcW w:w="162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7"/>
                <w:szCs w:val="17"/>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80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w:t>
            </w:r>
          </w:p>
        </w:tc>
      </w:tr>
      <w:tr>
        <w:trPr>
          <w:trHeight w:val="221"/>
        </w:trPr>
        <w:tc>
          <w:tcPr>
            <w:tcW w:w="74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Pro forma diluted weighted-average common shares outstanding</w:t>
            </w:r>
          </w:p>
        </w:tc>
        <w:tc>
          <w:tcPr>
            <w:tcW w:w="160" w:type="dxa"/>
            <w:vAlign w:val="bottom"/>
            <w:tcBorders>
              <w:top w:val="single" w:sz="8" w:color="auto"/>
            </w:tcBorders>
          </w:tcPr>
          <w:p>
            <w:pPr>
              <w:spacing w:after="0"/>
              <w:rPr>
                <w:sz w:val="19"/>
                <w:szCs w:val="19"/>
                <w:color w:val="auto"/>
              </w:rPr>
            </w:pPr>
          </w:p>
        </w:tc>
        <w:tc>
          <w:tcPr>
            <w:tcW w:w="1400" w:type="dxa"/>
            <w:vAlign w:val="bottom"/>
            <w:tcBorders>
              <w:top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color w:val="auto"/>
              </w:rPr>
              <w:t>127,024,248</w:t>
            </w:r>
          </w:p>
        </w:tc>
        <w:tc>
          <w:tcPr>
            <w:tcW w:w="220" w:type="dxa"/>
            <w:vAlign w:val="bottom"/>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1800" w:type="dxa"/>
            <w:vAlign w:val="bottom"/>
            <w:tcBorders>
              <w:top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rPr>
              <w:t>127,024,248</w:t>
            </w:r>
          </w:p>
        </w:tc>
      </w:tr>
      <w:tr>
        <w:trPr>
          <w:trHeight w:val="29"/>
        </w:trPr>
        <w:tc>
          <w:tcPr>
            <w:tcW w:w="74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r>
      <w:tr>
        <w:trPr>
          <w:trHeight w:val="244"/>
        </w:trPr>
        <w:tc>
          <w:tcPr>
            <w:tcW w:w="7420" w:type="dxa"/>
            <w:vAlign w:val="bottom"/>
            <w:tcBorders>
              <w:bottom w:val="single" w:sz="8" w:color="CCEEFF"/>
            </w:tcBorders>
            <w:shd w:val="clear" w:color="auto" w:fill="CCEEFF"/>
          </w:tcPr>
          <w:p>
            <w:pPr>
              <w:ind w:left="840"/>
              <w:spacing w:after="0"/>
              <w:rPr>
                <w:sz w:val="20"/>
                <w:szCs w:val="20"/>
                <w:color w:val="auto"/>
              </w:rPr>
            </w:pPr>
            <w:r>
              <w:rPr>
                <w:rFonts w:ascii="Times New Roman" w:cs="Times New Roman" w:eastAsia="Times New Roman" w:hAnsi="Times New Roman"/>
                <w:sz w:val="17"/>
                <w:szCs w:val="17"/>
                <w:color w:val="auto"/>
              </w:rPr>
              <w:t>Pro forma diluted EPS</w:t>
            </w:r>
          </w:p>
        </w:tc>
        <w:tc>
          <w:tcPr>
            <w:tcW w:w="16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w:t>
            </w:r>
          </w:p>
        </w:tc>
        <w:tc>
          <w:tcPr>
            <w:tcW w:w="14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(0.31)</w:t>
            </w: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1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(1.24)</w:t>
            </w:r>
          </w:p>
        </w:tc>
      </w:tr>
    </w:tbl>
    <w:p>
      <w:pPr>
        <w:spacing w:after="0" w:line="5" w:lineRule="exact"/>
        <w:rPr>
          <w:sz w:val="20"/>
          <w:szCs w:val="20"/>
          <w:color w:val="auto"/>
        </w:rPr>
      </w:pPr>
    </w:p>
    <w:p>
      <w:pPr>
        <w:ind w:left="40" w:right="740" w:hanging="5"/>
        <w:spacing w:after="0" w:line="281" w:lineRule="auto"/>
        <w:tabs>
          <w:tab w:leader="none" w:pos="282" w:val="left"/>
        </w:tabs>
        <w:numPr>
          <w:ilvl w:val="0"/>
          <w:numId w:val="4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Represents the number of shares of Class A Common Stock and Class B-1 Common Stock that will be issued and outstanding following the close of the Transactions, PIPE Investment and Closing Date Redemption.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4712970</wp:posOffset>
            </wp:positionH>
            <wp:positionV relativeFrom="paragraph">
              <wp:posOffset>-284480</wp:posOffset>
            </wp:positionV>
            <wp:extent cx="2409825"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2409825" cy="8890"/>
                    </a:xfrm>
                    <a:prstGeom prst="rect">
                      <a:avLst/>
                    </a:prstGeom>
                    <a:noFill/>
                  </pic:spPr>
                </pic:pic>
              </a:graphicData>
            </a:graphic>
          </wp:anchor>
        </w:drawing>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sectPr>
      <w:pgSz w:w="11900" w:h="16838" w:orient="portrait"/>
      <w:cols w:equalWidth="0" w:num="1">
        <w:col w:w="11420"/>
      </w:cols>
      <w:pgMar w:left="240" w:top="122"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33AB105"/>
    <w:multiLevelType w:val="hybridMultilevel"/>
    <w:lvl w:ilvl="0">
      <w:lvlJc w:val="left"/>
      <w:lvlText w:val="☐"/>
      <w:numFmt w:val="bullet"/>
      <w:start w:val="1"/>
    </w:lvl>
  </w:abstractNum>
  <w:abstractNum w:abstractNumId="1">
    <w:nsid w:val="721DA317"/>
    <w:multiLevelType w:val="hybridMultilevel"/>
    <w:lvl w:ilvl="0">
      <w:lvlJc w:val="left"/>
      <w:lvlText w:val="(%1)"/>
      <w:numFmt w:val="lowerLetter"/>
      <w:start w:val="1"/>
    </w:lvl>
  </w:abstractNum>
  <w:abstractNum w:abstractNumId="2">
    <w:nsid w:val="2443A858"/>
    <w:multiLevelType w:val="hybridMultilevel"/>
    <w:lvl w:ilvl="0">
      <w:lvlJc w:val="left"/>
      <w:lvlText w:val="%1."/>
      <w:numFmt w:val="decimal"/>
      <w:start w:val="12"/>
    </w:lvl>
  </w:abstractNum>
  <w:abstractNum w:abstractNumId="3">
    <w:nsid w:val="2D1D5AE9"/>
    <w:multiLevelType w:val="hybridMultilevel"/>
    <w:lvl w:ilvl="0">
      <w:lvlJc w:val="left"/>
      <w:lvlText w:val="%1."/>
      <w:numFmt w:val="decimal"/>
      <w:start w:val="13"/>
    </w:lvl>
  </w:abstractNum>
  <w:abstractNum w:abstractNumId="4">
    <w:nsid w:val="6763845E"/>
    <w:multiLevelType w:val="hybridMultilevel"/>
    <w:lvl w:ilvl="0">
      <w:lvlJc w:val="left"/>
      <w:lvlText w:val="•"/>
      <w:numFmt w:val="bullet"/>
      <w:start w:val="1"/>
    </w:lvl>
  </w:abstractNum>
  <w:abstractNum w:abstractNumId="5">
    <w:nsid w:val="75A2A8D4"/>
    <w:multiLevelType w:val="hybridMultilevel"/>
    <w:lvl w:ilvl="0">
      <w:lvlJc w:val="left"/>
      <w:lvlText w:val="%1."/>
      <w:numFmt w:val="decimal"/>
      <w:start w:val="3"/>
    </w:lvl>
  </w:abstractNum>
  <w:abstractNum w:abstractNumId="6">
    <w:nsid w:val="8EDBDAB"/>
    <w:multiLevelType w:val="hybridMultilevel"/>
    <w:lvl w:ilvl="0">
      <w:lvlJc w:val="left"/>
      <w:lvlText w:val="•"/>
      <w:numFmt w:val="bullet"/>
      <w:start w:val="1"/>
    </w:lvl>
  </w:abstractNum>
  <w:abstractNum w:abstractNumId="7">
    <w:nsid w:val="79838CB2"/>
    <w:multiLevelType w:val="hybridMultilevel"/>
    <w:lvl w:ilvl="0">
      <w:lvlJc w:val="left"/>
      <w:lvlText w:val="$"/>
      <w:numFmt w:val="bullet"/>
      <w:start w:val="1"/>
    </w:lvl>
  </w:abstractNum>
  <w:abstractNum w:abstractNumId="8">
    <w:nsid w:val="4353D0CD"/>
    <w:multiLevelType w:val="hybridMultilevel"/>
    <w:lvl w:ilvl="0">
      <w:lvlJc w:val="left"/>
      <w:lvlText w:val="(%1)"/>
      <w:numFmt w:val="lowerLetter"/>
      <w:start w:val="1"/>
    </w:lvl>
  </w:abstractNum>
  <w:abstractNum w:abstractNumId="9">
    <w:nsid w:val="B03E0C6"/>
    <w:multiLevelType w:val="hybridMultilevel"/>
    <w:lvl w:ilvl="0">
      <w:lvlJc w:val="left"/>
      <w:lvlText w:val="(%1)"/>
      <w:numFmt w:val="lowerLetter"/>
      <w:start w:val="2"/>
    </w:lvl>
  </w:abstractNum>
  <w:abstractNum w:abstractNumId="10">
    <w:nsid w:val="189A769B"/>
    <w:multiLevelType w:val="hybridMultilevel"/>
    <w:lvl w:ilvl="0">
      <w:lvlJc w:val="left"/>
      <w:lvlText w:val="(%1)"/>
      <w:numFmt w:val="lowerLetter"/>
      <w:start w:val="2"/>
    </w:lvl>
  </w:abstractNum>
  <w:abstractNum w:abstractNumId="11">
    <w:nsid w:val="54E49EB4"/>
    <w:multiLevelType w:val="hybridMultilevel"/>
    <w:lvl w:ilvl="0">
      <w:lvlJc w:val="left"/>
      <w:lvlText w:val="(%1)"/>
      <w:numFmt w:val="lowerLetter"/>
      <w:start w:val="2"/>
    </w:lvl>
  </w:abstractNum>
  <w:abstractNum w:abstractNumId="12">
    <w:nsid w:val="71F32454"/>
    <w:multiLevelType w:val="hybridMultilevel"/>
    <w:lvl w:ilvl="0">
      <w:lvlJc w:val="left"/>
      <w:lvlText w:val="%1."/>
      <w:numFmt w:val="decimal"/>
      <w:start w:val="1"/>
    </w:lvl>
  </w:abstractNum>
  <w:abstractNum w:abstractNumId="13">
    <w:nsid w:val="2CA88611"/>
    <w:multiLevelType w:val="hybridMultilevel"/>
    <w:lvl w:ilvl="0">
      <w:lvlJc w:val="left"/>
      <w:lvlText w:val="(%1)"/>
      <w:numFmt w:val="decimal"/>
      <w:start w:val="1"/>
    </w:lvl>
  </w:abstractNum>
  <w:abstractNum w:abstractNumId="14">
    <w:nsid w:val="836C40E"/>
    <w:multiLevelType w:val="hybridMultilevel"/>
    <w:lvl w:ilvl="0">
      <w:lvlJc w:val="left"/>
      <w:lvlText w:val="(%1)"/>
      <w:numFmt w:val="lowerLetter"/>
      <w:start w:val="1"/>
    </w:lvl>
  </w:abstractNum>
  <w:abstractNum w:abstractNumId="15">
    <w:nsid w:val="2901D82"/>
    <w:multiLevelType w:val="hybridMultilevel"/>
    <w:lvl w:ilvl="0">
      <w:lvlJc w:val="left"/>
      <w:lvlText w:val="(%1)"/>
      <w:numFmt w:val="lowerLetter"/>
      <w:start w:val="9"/>
    </w:lvl>
  </w:abstractNum>
  <w:abstractNum w:abstractNumId="16">
    <w:nsid w:val="3A95F874"/>
    <w:multiLevelType w:val="hybridMultilevel"/>
    <w:lvl w:ilvl="0">
      <w:lvlJc w:val="left"/>
      <w:lvlText w:val="(%1)"/>
      <w:numFmt w:val="lowerLetter"/>
      <w:start w:val="16"/>
    </w:lvl>
  </w:abstractNum>
  <w:abstractNum w:abstractNumId="17">
    <w:nsid w:val="8138641"/>
    <w:multiLevelType w:val="hybridMultilevel"/>
    <w:lvl w:ilvl="0">
      <w:lvlJc w:val="left"/>
      <w:lvlText w:val="%1"/>
      <w:numFmt w:val="lowerLetter"/>
      <w:start w:val="1"/>
    </w:lvl>
    <w:lvl w:ilvl="1">
      <w:lvlJc w:val="left"/>
      <w:lvlText w:val="(%2)"/>
      <w:numFmt w:val="decimal"/>
      <w:start w:val="1"/>
    </w:lvl>
  </w:abstractNum>
  <w:abstractNum w:abstractNumId="18">
    <w:nsid w:val="1E7FF521"/>
    <w:multiLevelType w:val="hybridMultilevel"/>
    <w:lvl w:ilvl="0">
      <w:lvlJc w:val="left"/>
      <w:lvlText w:val="(%1)"/>
      <w:numFmt w:val="lowerLetter"/>
      <w:start w:val="2"/>
    </w:lvl>
    <w:lvl w:ilvl="1">
      <w:lvlJc w:val="left"/>
      <w:lvlText w:val="%2"/>
      <w:numFmt w:val="decimal"/>
      <w:start w:val="1"/>
    </w:lvl>
  </w:abstractNum>
  <w:abstractNum w:abstractNumId="19">
    <w:nsid w:val="7C3DBD3D"/>
    <w:multiLevelType w:val="hybridMultilevel"/>
    <w:lvl w:ilvl="0">
      <w:lvlJc w:val="left"/>
      <w:lvlText w:val="%1"/>
      <w:numFmt w:val="lowerLetter"/>
      <w:start w:val="1"/>
    </w:lvl>
    <w:lvl w:ilvl="1">
      <w:lvlJc w:val="left"/>
      <w:lvlText w:val="(%2)"/>
      <w:numFmt w:val="decimal"/>
      <w:start w:val="1"/>
    </w:lvl>
  </w:abstractNum>
  <w:abstractNum w:abstractNumId="20">
    <w:nsid w:val="737B8DDC"/>
    <w:multiLevelType w:val="hybridMultilevel"/>
    <w:lvl w:ilvl="0">
      <w:lvlJc w:val="left"/>
      <w:lvlText w:val="(%1)"/>
      <w:numFmt w:val="lowerLetter"/>
      <w:start w:val="4"/>
    </w:lvl>
    <w:lvl w:ilvl="1">
      <w:lvlJc w:val="left"/>
      <w:lvlText w:val="%2"/>
      <w:numFmt w:val="decimal"/>
      <w:start w:val="1"/>
    </w:lvl>
  </w:abstractNum>
  <w:abstractNum w:abstractNumId="21">
    <w:nsid w:val="6CEAF087"/>
    <w:multiLevelType w:val="hybridMultilevel"/>
    <w:lvl w:ilvl="0">
      <w:lvlJc w:val="left"/>
      <w:lvlText w:val="(%1)"/>
      <w:numFmt w:val="lowerRoman"/>
      <w:start w:val="1"/>
    </w:lvl>
  </w:abstractNum>
  <w:abstractNum w:abstractNumId="22">
    <w:nsid w:val="22221A70"/>
    <w:multiLevelType w:val="hybridMultilevel"/>
    <w:lvl w:ilvl="0">
      <w:lvlJc w:val="left"/>
      <w:lvlText w:val="%1"/>
      <w:numFmt w:val="lowerLetter"/>
      <w:start w:val="1"/>
    </w:lvl>
    <w:lvl w:ilvl="1">
      <w:lvlJc w:val="left"/>
      <w:lvlText w:val="(%2)"/>
      <w:numFmt w:val="decimal"/>
      <w:start w:val="1"/>
    </w:lvl>
  </w:abstractNum>
  <w:abstractNum w:abstractNumId="23">
    <w:nsid w:val="4516DDE9"/>
    <w:multiLevelType w:val="hybridMultilevel"/>
    <w:lvl w:ilvl="0">
      <w:lvlJc w:val="left"/>
      <w:lvlText w:val="(%1)"/>
      <w:numFmt w:val="lowerLetter"/>
      <w:start w:val="10"/>
    </w:lvl>
    <w:lvl w:ilvl="1">
      <w:lvlJc w:val="left"/>
      <w:lvlText w:val="%2"/>
      <w:numFmt w:val="decimal"/>
      <w:start w:val="1"/>
    </w:lvl>
  </w:abstractNum>
  <w:abstractNum w:abstractNumId="24">
    <w:nsid w:val="3006C83E"/>
    <w:multiLevelType w:val="hybridMultilevel"/>
    <w:lvl w:ilvl="0">
      <w:lvlJc w:val="left"/>
      <w:lvlText w:val="%1"/>
      <w:numFmt w:val="lowerLetter"/>
      <w:start w:val="1"/>
    </w:lvl>
    <w:lvl w:ilvl="1">
      <w:lvlJc w:val="left"/>
      <w:lvlText w:val="(%2)"/>
      <w:numFmt w:val="decimal"/>
      <w:start w:val="1"/>
    </w:lvl>
  </w:abstractNum>
  <w:abstractNum w:abstractNumId="25">
    <w:nsid w:val="614FD4A1"/>
    <w:multiLevelType w:val="hybridMultilevel"/>
    <w:lvl w:ilvl="0">
      <w:lvlJc w:val="left"/>
      <w:lvlText w:val="(%1)"/>
      <w:numFmt w:val="lowerLetter"/>
      <w:start w:val="11"/>
    </w:lvl>
    <w:lvl w:ilvl="1">
      <w:lvlJc w:val="left"/>
      <w:lvlText w:val="%2"/>
      <w:numFmt w:val="decimal"/>
      <w:start w:val="1"/>
    </w:lvl>
  </w:abstractNum>
  <w:abstractNum w:abstractNumId="26">
    <w:nsid w:val="419AC241"/>
    <w:multiLevelType w:val="hybridMultilevel"/>
    <w:lvl w:ilvl="0">
      <w:lvlJc w:val="left"/>
      <w:lvlText w:val="(%1)"/>
      <w:numFmt w:val="lowerLetter"/>
      <w:start w:val="14"/>
    </w:lvl>
  </w:abstractNum>
  <w:abstractNum w:abstractNumId="27">
    <w:nsid w:val="5577F8E1"/>
    <w:multiLevelType w:val="hybridMultilevel"/>
    <w:lvl w:ilvl="0">
      <w:lvlJc w:val="left"/>
      <w:lvlText w:val="%1"/>
      <w:numFmt w:val="decimal"/>
      <w:start w:val="1"/>
    </w:lvl>
    <w:lvl w:ilvl="1">
      <w:lvlJc w:val="left"/>
      <w:lvlText w:val="(%2)"/>
      <w:numFmt w:val="decimal"/>
      <w:start w:val="1"/>
    </w:lvl>
  </w:abstractNum>
  <w:abstractNum w:abstractNumId="28">
    <w:nsid w:val="440BADFC"/>
    <w:multiLevelType w:val="hybridMultilevel"/>
    <w:lvl w:ilvl="0">
      <w:lvlJc w:val="left"/>
      <w:lvlText w:val="%1."/>
      <w:numFmt w:val="decimal"/>
      <w:start w:val="6"/>
    </w:lvl>
    <w:lvl w:ilvl="1">
      <w:lvlJc w:val="left"/>
      <w:lvlText w:val="%2"/>
      <w:numFmt w:val="decimal"/>
      <w:start w:val="1"/>
    </w:lvl>
  </w:abstractNum>
  <w:abstractNum w:abstractNumId="29">
    <w:nsid w:val="5072367"/>
    <w:multiLevelType w:val="hybridMultilevel"/>
    <w:lvl w:ilvl="0">
      <w:lvlJc w:val="left"/>
      <w:lvlText w:val="$"/>
      <w:numFmt w:val="bullet"/>
      <w:start w:val="1"/>
    </w:lvl>
  </w:abstractNum>
  <w:abstractNum w:abstractNumId="30">
    <w:nsid w:val="3804823E"/>
    <w:multiLevelType w:val="hybridMultilevel"/>
    <w:lvl w:ilvl="0">
      <w:lvlJc w:val="left"/>
      <w:lvlText w:val="$"/>
      <w:numFmt w:val="bullet"/>
      <w:start w:val="1"/>
    </w:lvl>
  </w:abstractNum>
  <w:abstractNum w:abstractNumId="31">
    <w:nsid w:val="77465F01"/>
    <w:multiLevelType w:val="hybridMultilevel"/>
    <w:lvl w:ilvl="0">
      <w:lvlJc w:val="left"/>
      <w:lvlText w:val="%1"/>
      <w:numFmt w:val="lowerLetter"/>
      <w:start w:val="1"/>
    </w:lvl>
    <w:lvl w:ilvl="1">
      <w:lvlJc w:val="left"/>
      <w:lvlText w:val="(%2)"/>
      <w:numFmt w:val="decimal"/>
      <w:start w:val="1"/>
    </w:lvl>
  </w:abstractNum>
  <w:abstractNum w:abstractNumId="32">
    <w:nsid w:val="7724C67E"/>
    <w:multiLevelType w:val="hybridMultilevel"/>
    <w:lvl w:ilvl="0">
      <w:lvlJc w:val="left"/>
      <w:lvlText w:val="(%1)"/>
      <w:numFmt w:val="lowerLetter"/>
      <w:start w:val="3"/>
    </w:lvl>
    <w:lvl w:ilvl="1">
      <w:lvlJc w:val="left"/>
      <w:lvlText w:val="%2"/>
      <w:numFmt w:val="decimal"/>
      <w:start w:val="1"/>
    </w:lvl>
  </w:abstractNum>
  <w:abstractNum w:abstractNumId="33">
    <w:nsid w:val="5C482A97"/>
    <w:multiLevelType w:val="hybridMultilevel"/>
    <w:lvl w:ilvl="0">
      <w:lvlJc w:val="left"/>
      <w:lvlText w:val="(%1)"/>
      <w:numFmt w:val="lowerLetter"/>
      <w:start w:val="5"/>
    </w:lvl>
  </w:abstractNum>
  <w:abstractNum w:abstractNumId="34">
    <w:nsid w:val="2463B9EA"/>
    <w:multiLevelType w:val="hybridMultilevel"/>
    <w:lvl w:ilvl="0">
      <w:lvlJc w:val="left"/>
      <w:lvlText w:val="(%1)"/>
      <w:numFmt w:val="decimal"/>
      <w:start w:val="1"/>
    </w:lvl>
  </w:abstractNum>
  <w:abstractNum w:abstractNumId="35">
    <w:nsid w:val="5E884ADC"/>
    <w:multiLevelType w:val="hybridMultilevel"/>
    <w:lvl w:ilvl="0">
      <w:lvlJc w:val="left"/>
      <w:lvlText w:val="$"/>
      <w:numFmt w:val="bullet"/>
      <w:start w:val="1"/>
    </w:lvl>
  </w:abstractNum>
  <w:abstractNum w:abstractNumId="36">
    <w:nsid w:val="51EAD36B"/>
    <w:multiLevelType w:val="hybridMultilevel"/>
    <w:lvl w:ilvl="0">
      <w:lvlJc w:val="left"/>
      <w:lvlText w:val="$"/>
      <w:numFmt w:val="bullet"/>
      <w:start w:val="1"/>
    </w:lvl>
  </w:abstractNum>
  <w:abstractNum w:abstractNumId="37">
    <w:nsid w:val="2D517796"/>
    <w:multiLevelType w:val="hybridMultilevel"/>
    <w:lvl w:ilvl="0">
      <w:lvlJc w:val="left"/>
      <w:lvlText w:val="$"/>
      <w:numFmt w:val="bullet"/>
      <w:start w:val="1"/>
    </w:lvl>
  </w:abstractNum>
  <w:abstractNum w:abstractNumId="38">
    <w:nsid w:val="580BD78F"/>
    <w:multiLevelType w:val="hybridMultilevel"/>
    <w:lvl w:ilvl="0">
      <w:lvlJc w:val="left"/>
      <w:lvlText w:val="(%1)"/>
      <w:numFmt w:val="decimal"/>
      <w:start w:val="1"/>
    </w:lvl>
  </w:abstractNum>
  <w:abstractNum w:abstractNumId="39">
    <w:nsid w:val="153EA438"/>
    <w:multiLevelType w:val="hybridMultilevel"/>
    <w:lvl w:ilvl="0">
      <w:lvlJc w:val="left"/>
      <w:lvlText w:val="(%1)"/>
      <w:numFmt w:val="lowerLetter"/>
      <w:start w:val="1"/>
    </w:lvl>
  </w:abstractNum>
  <w:abstractNum w:abstractNumId="40">
    <w:nsid w:val="3855585C"/>
    <w:multiLevelType w:val="hybridMultilevel"/>
    <w:lvl w:ilvl="0">
      <w:lvlJc w:val="left"/>
      <w:lvlText w:val="(%1)"/>
      <w:numFmt w:val="lowerLetter"/>
      <w:start w:val="2"/>
    </w:lvl>
  </w:abstractNum>
  <w:abstractNum w:abstractNumId="41">
    <w:nsid w:val="70A64E2A"/>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2020-01-13T17:49:39Z</dcterms:created>
  <dcterms:modified xsi:type="dcterms:W3CDTF">2020-01-13T17:49:39Z</dcterms:modified>
</cp:coreProperties>
</file>