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420" w:type="dxa"/>
            <w:vAlign w:val="bottom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20" w:type="dxa"/>
            <w:vAlign w:val="bottom"/>
            <w:vMerge w:val="restart"/>
          </w:tcPr>
          <w:p>
            <w:pPr>
              <w:jc w:val="center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5399405</wp:posOffset>
            </wp:positionH>
            <wp:positionV relativeFrom="paragraph">
              <wp:posOffset>-623570</wp:posOffset>
            </wp:positionV>
            <wp:extent cx="57785" cy="636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4062730</wp:posOffset>
            </wp:positionH>
            <wp:positionV relativeFrom="paragraph">
              <wp:posOffset>-623570</wp:posOffset>
            </wp:positionV>
            <wp:extent cx="57785" cy="636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-1788160</wp:posOffset>
            </wp:positionH>
            <wp:positionV relativeFrom="paragraph">
              <wp:posOffset>15240</wp:posOffset>
            </wp:positionV>
            <wp:extent cx="7325995" cy="58039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560"/>
            <w:col w:w="8720"/>
          </w:cols>
          <w:pgMar w:left="240" w:top="221" w:right="13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APHC Holdings, LLC</w:t>
        </w:r>
      </w:hyperlink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60"/>
        <w:spacing w:after="0" w:line="3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MCCABE HEIDRICH &amp; WONG, PC 4 GATEHALL DRIVE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PARSIPPANY    NJ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07054-4513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gridSpan w:val="3"/>
          </w:tcPr>
          <w:p>
            <w:pPr>
              <w:spacing w:after="0" w:line="137" w:lineRule="exact"/>
              <w:rPr>
                <w:rFonts w:ascii="Arial" w:cs="Arial" w:eastAsia="Arial" w:hAnsi="Arial"/>
                <w:sz w:val="15"/>
                <w:szCs w:val="15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5"/>
                  <w:szCs w:val="15"/>
                  <w:color w:val="0000EE"/>
                </w:rPr>
                <w:t xml:space="preserve">Amneal Pharmaceuticals, Inc. </w:t>
              </w:r>
            </w:hyperlink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[</w:t>
            </w:r>
            <w:r>
              <w:rPr>
                <w:rFonts w:ascii="Arial" w:cs="Arial" w:eastAsia="Arial" w:hAnsi="Arial"/>
                <w:sz w:val="15"/>
                <w:szCs w:val="15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AMRX</w:t>
            </w:r>
            <w:r>
              <w:rPr>
                <w:rFonts w:ascii="Arial" w:cs="Arial" w:eastAsia="Arial" w:hAnsi="Arial"/>
                <w:sz w:val="15"/>
                <w:szCs w:val="15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]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8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8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1720" w:type="dxa"/>
            <w:vAlign w:val="bottom"/>
          </w:tcPr>
          <w:p>
            <w:pPr>
              <w:ind w:left="6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720" w:type="dxa"/>
            <w:vAlign w:val="bottom"/>
          </w:tcPr>
          <w:p>
            <w:pPr>
              <w:ind w:left="54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5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05/04/2018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460" w:space="540"/>
            <w:col w:w="7520"/>
          </w:cols>
          <w:pgMar w:left="240" w:top="221" w:right="13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9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jc w:val="center"/>
              <w:ind w:left="837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Code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05/04/2018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41,406,689</w:t>
            </w:r>
          </w:p>
        </w:tc>
        <w:tc>
          <w:tcPr>
            <w:tcW w:w="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41,406,689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B-1 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05/04/2018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12,328,767</w:t>
            </w:r>
          </w:p>
        </w:tc>
        <w:tc>
          <w:tcPr>
            <w:tcW w:w="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12,328,767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05/04/2018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34,520,549</w:t>
            </w:r>
          </w:p>
        </w:tc>
        <w:tc>
          <w:tcPr>
            <w:tcW w:w="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1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18.25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6,886,140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B-1 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05/04/2018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12,328,767</w:t>
            </w:r>
          </w:p>
        </w:tc>
        <w:tc>
          <w:tcPr>
            <w:tcW w:w="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1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18.25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left="4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B 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05/04/2018</w:t>
            </w: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vertAlign w:val="subscript"/>
              </w:rPr>
              <w:t>J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53,735,465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1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171,260,707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00" w:type="dxa"/>
            <w:vAlign w:val="bottom"/>
            <w:gridSpan w:val="1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5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2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41,406,689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05/04/2018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3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41,406,689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183,589,474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B-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05/04/2018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12,328,767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12,328,767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171,260,707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Stock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520"/>
          </w:cols>
          <w:pgMar w:left="240" w:top="221" w:right="139" w:bottom="1440" w:gutter="0" w:footer="0" w:header="0"/>
          <w:type w:val="continuous"/>
        </w:sectPr>
      </w:pP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the cancellation for no consideration of Class B Common Stock in connection with the redemption of the Common Units.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The Common Units may be redeemed by the Reporting Person at any time for shares of the Issuer's Class A Common Stock or Class B-1 Common Stock on a 1-to-1 basis.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APHC Holdings, LLC, By: /s/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-4445</wp:posOffset>
            </wp:positionV>
            <wp:extent cx="1283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Sheldon Hirt,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-9525</wp:posOffset>
            </wp:positionV>
            <wp:extent cx="13093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4826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1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4080" w:firstLine="1"/>
        <w:spacing w:after="0" w:line="331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1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39290" TargetMode="External"/><Relationship Id="rId13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2020-01-14T00:30:51Z</dcterms:created>
  <dcterms:modified xsi:type="dcterms:W3CDTF">2020-01-14T00:30:51Z</dcterms:modified>
</cp:coreProperties>
</file>