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1071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10718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BUCHI J KEVIN</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540" w:type="dxa"/>
            <w:vAlign w:val="bottom"/>
            <w:tcBorders>
              <w:top w:val="single" w:sz="8" w:color="0000EE"/>
              <w:bottom w:val="single" w:sz="8" w:color="9A9A9A"/>
            </w:tcBorders>
          </w:tcPr>
          <w:p>
            <w:pPr>
              <w:spacing w:after="0"/>
              <w:rPr>
                <w:sz w:val="15"/>
                <w:szCs w:val="15"/>
                <w:color w:val="auto"/>
              </w:rPr>
            </w:pPr>
          </w:p>
        </w:tc>
        <w:tc>
          <w:tcPr>
            <w:tcW w:w="168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05/04/2018</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Amneal Pharmaceuticals,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AMRX</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432"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454"/>
        <w:spacing w:after="0" w:line="268" w:lineRule="auto"/>
        <w:rPr>
          <w:sz w:val="20"/>
          <w:szCs w:val="20"/>
          <w:color w:val="auto"/>
        </w:rPr>
      </w:pPr>
      <w:r>
        <w:rPr>
          <w:rFonts w:ascii="Arial" w:cs="Arial" w:eastAsia="Arial" w:hAnsi="Arial"/>
          <w:sz w:val="18"/>
          <w:szCs w:val="18"/>
          <w:color w:val="0000FF"/>
        </w:rPr>
        <w:t>C/O AMNEAL PHARMACEUTICALS, INC.</w:t>
      </w:r>
    </w:p>
    <w:p>
      <w:pPr>
        <w:spacing w:after="0" w:line="24" w:lineRule="exact"/>
        <w:rPr>
          <w:sz w:val="24"/>
          <w:szCs w:val="24"/>
          <w:color w:val="auto"/>
        </w:rPr>
      </w:pPr>
    </w:p>
    <w:p>
      <w:pPr>
        <w:ind w:left="120" w:right="1434"/>
        <w:spacing w:after="0" w:line="268" w:lineRule="auto"/>
        <w:rPr>
          <w:sz w:val="20"/>
          <w:szCs w:val="20"/>
          <w:color w:val="auto"/>
        </w:rPr>
      </w:pPr>
      <w:r>
        <w:rPr>
          <w:rFonts w:ascii="Arial" w:cs="Arial" w:eastAsia="Arial" w:hAnsi="Arial"/>
          <w:sz w:val="18"/>
          <w:szCs w:val="18"/>
          <w:color w:val="0000FF"/>
        </w:rPr>
        <w:t>400 CROSSING BOULEVARD, THIRD FLOOR</w:t>
      </w:r>
    </w:p>
    <w:p>
      <w:pPr>
        <w:spacing w:after="0" w:line="261"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920" w:type="dxa"/>
            <w:vAlign w:val="bottom"/>
          </w:tcPr>
          <w:p>
            <w:pPr>
              <w:spacing w:after="0"/>
              <w:rPr>
                <w:sz w:val="20"/>
                <w:szCs w:val="20"/>
                <w:color w:val="auto"/>
              </w:rPr>
            </w:pPr>
            <w:r>
              <w:rPr>
                <w:rFonts w:ascii="Arial" w:cs="Arial" w:eastAsia="Arial" w:hAnsi="Arial"/>
                <w:sz w:val="14"/>
                <w:szCs w:val="14"/>
                <w:color w:val="auto"/>
              </w:rPr>
              <w:t>(Street)</w:t>
            </w:r>
          </w:p>
        </w:tc>
        <w:tc>
          <w:tcPr>
            <w:tcW w:w="820" w:type="dxa"/>
            <w:vAlign w:val="bottom"/>
          </w:tcPr>
          <w:p>
            <w:pPr>
              <w:spacing w:after="0"/>
              <w:rPr>
                <w:sz w:val="14"/>
                <w:szCs w:val="14"/>
                <w:color w:val="auto"/>
              </w:rPr>
            </w:pPr>
          </w:p>
        </w:tc>
      </w:tr>
      <w:tr>
        <w:trPr>
          <w:trHeight w:val="242"/>
        </w:trPr>
        <w:tc>
          <w:tcPr>
            <w:tcW w:w="1920" w:type="dxa"/>
            <w:vAlign w:val="bottom"/>
          </w:tcPr>
          <w:p>
            <w:pPr>
              <w:ind w:left="40"/>
              <w:spacing w:after="0"/>
              <w:rPr>
                <w:sz w:val="20"/>
                <w:szCs w:val="20"/>
                <w:color w:val="auto"/>
              </w:rPr>
            </w:pPr>
            <w:r>
              <w:rPr>
                <w:rFonts w:ascii="Arial" w:cs="Arial" w:eastAsia="Arial" w:hAnsi="Arial"/>
                <w:sz w:val="18"/>
                <w:szCs w:val="18"/>
                <w:color w:val="0000FF"/>
              </w:rPr>
              <w:t>BRIDGEWATER NJ</w:t>
            </w:r>
          </w:p>
        </w:tc>
        <w:tc>
          <w:tcPr>
            <w:tcW w:w="820" w:type="dxa"/>
            <w:vAlign w:val="bottom"/>
          </w:tcPr>
          <w:p>
            <w:pPr>
              <w:jc w:val="right"/>
              <w:spacing w:after="0"/>
              <w:rPr>
                <w:sz w:val="20"/>
                <w:szCs w:val="20"/>
                <w:color w:val="auto"/>
              </w:rPr>
            </w:pPr>
            <w:r>
              <w:rPr>
                <w:rFonts w:ascii="Arial" w:cs="Arial" w:eastAsia="Arial" w:hAnsi="Arial"/>
                <w:sz w:val="18"/>
                <w:szCs w:val="18"/>
                <w:color w:val="0000FF"/>
              </w:rPr>
              <w:t>08807</w:t>
            </w:r>
          </w:p>
        </w:tc>
      </w:tr>
    </w:tbl>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392"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374"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125"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20" w:type="dxa"/>
            <w:vAlign w:val="bottom"/>
            <w:gridSpan w:val="2"/>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78"/>
        </w:trPr>
        <w:tc>
          <w:tcPr>
            <w:tcW w:w="20" w:type="dxa"/>
            <w:vAlign w:val="bottom"/>
          </w:tcPr>
          <w:p>
            <w:pPr>
              <w:spacing w:after="0"/>
              <w:rPr>
                <w:sz w:val="15"/>
                <w:szCs w:val="15"/>
                <w:color w:val="auto"/>
              </w:rPr>
            </w:pPr>
          </w:p>
        </w:tc>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73"/>
        </w:trPr>
        <w:tc>
          <w:tcPr>
            <w:tcW w:w="20" w:type="dxa"/>
            <w:vAlign w:val="bottom"/>
            <w:tcBorders>
              <w:bottom w:val="single" w:sz="8" w:color="2C2C2C"/>
            </w:tcBorders>
          </w:tcPr>
          <w:p>
            <w:pPr>
              <w:spacing w:after="0"/>
              <w:rPr>
                <w:sz w:val="5"/>
                <w:szCs w:val="5"/>
                <w:color w:val="auto"/>
              </w:rPr>
            </w:pPr>
          </w:p>
        </w:tc>
        <w:tc>
          <w:tcPr>
            <w:tcW w:w="3440" w:type="dxa"/>
            <w:vAlign w:val="bottom"/>
            <w:tcBorders>
              <w:bottom w:val="single" w:sz="8" w:color="2C2C2C"/>
            </w:tcBorders>
          </w:tcPr>
          <w:p>
            <w:pPr>
              <w:spacing w:after="0"/>
              <w:rPr>
                <w:sz w:val="5"/>
                <w:szCs w:val="5"/>
                <w:color w:val="auto"/>
              </w:rPr>
            </w:pPr>
          </w:p>
        </w:tc>
        <w:tc>
          <w:tcPr>
            <w:tcW w:w="36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tcPr>
          <w:p>
            <w:pPr>
              <w:spacing w:after="0"/>
              <w:rPr>
                <w:sz w:val="5"/>
                <w:szCs w:val="5"/>
                <w:color w:val="auto"/>
              </w:rPr>
            </w:pPr>
          </w:p>
        </w:tc>
        <w:tc>
          <w:tcPr>
            <w:tcW w:w="30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40" w:type="dxa"/>
            <w:vAlign w:val="bottom"/>
            <w:tcBorders>
              <w:top w:val="single" w:sz="8" w:color="808080"/>
            </w:tcBorders>
            <w:shd w:val="clear" w:color="auto" w:fill="2C2C2C"/>
          </w:tcPr>
          <w:p>
            <w:pPr>
              <w:spacing w:after="0" w:line="20" w:lineRule="exact"/>
              <w:rPr>
                <w:sz w:val="1"/>
                <w:szCs w:val="1"/>
                <w:color w:val="auto"/>
              </w:rPr>
            </w:pPr>
          </w:p>
        </w:tc>
        <w:tc>
          <w:tcPr>
            <w:tcW w:w="3620" w:type="dxa"/>
            <w:vAlign w:val="bottom"/>
            <w:tcBorders>
              <w:top w:val="single" w:sz="8" w:color="808080"/>
            </w:tcBorders>
            <w:shd w:val="clear" w:color="auto" w:fill="2C2C2C"/>
          </w:tcPr>
          <w:p>
            <w:pPr>
              <w:spacing w:after="0" w:line="20" w:lineRule="exact"/>
              <w:rPr>
                <w:sz w:val="1"/>
                <w:szCs w:val="1"/>
                <w:color w:val="auto"/>
              </w:rPr>
            </w:pPr>
          </w:p>
        </w:tc>
        <w:tc>
          <w:tcPr>
            <w:tcW w:w="1320" w:type="dxa"/>
            <w:vAlign w:val="bottom"/>
            <w:tcBorders>
              <w:top w:val="single" w:sz="8" w:color="808080"/>
            </w:tcBorders>
            <w:shd w:val="clear" w:color="auto" w:fill="2C2C2C"/>
          </w:tcPr>
          <w:p>
            <w:pPr>
              <w:spacing w:after="0" w:line="20" w:lineRule="exact"/>
              <w:rPr>
                <w:sz w:val="1"/>
                <w:szCs w:val="1"/>
                <w:color w:val="auto"/>
              </w:rPr>
            </w:pPr>
          </w:p>
        </w:tc>
        <w:tc>
          <w:tcPr>
            <w:tcW w:w="3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9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600" w:type="dxa"/>
            <w:vAlign w:val="bottom"/>
          </w:tcPr>
          <w:p>
            <w:pPr>
              <w:ind w:left="80"/>
              <w:spacing w:after="0"/>
              <w:rPr>
                <w:sz w:val="20"/>
                <w:szCs w:val="20"/>
                <w:color w:val="auto"/>
              </w:rPr>
            </w:pPr>
            <w:r>
              <w:rPr>
                <w:rFonts w:ascii="Arial" w:cs="Arial" w:eastAsia="Arial" w:hAnsi="Arial"/>
                <w:sz w:val="14"/>
                <w:szCs w:val="14"/>
                <w:b w:val="1"/>
                <w:bCs w:val="1"/>
                <w:color w:val="auto"/>
              </w:rPr>
              <w:t>1. Title of Derivative Security (Instr. 4)</w:t>
            </w: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60" w:type="dxa"/>
            <w:vAlign w:val="bottom"/>
            <w:gridSpan w:val="3"/>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680" w:type="dxa"/>
            <w:vAlign w:val="bottom"/>
          </w:tcPr>
          <w:p>
            <w:pPr>
              <w:ind w:left="40"/>
              <w:spacing w:after="0"/>
              <w:rPr>
                <w:sz w:val="20"/>
                <w:szCs w:val="20"/>
                <w:color w:val="auto"/>
              </w:rPr>
            </w:pPr>
            <w:r>
              <w:rPr>
                <w:rFonts w:ascii="Arial" w:cs="Arial" w:eastAsia="Arial" w:hAnsi="Arial"/>
                <w:sz w:val="14"/>
                <w:szCs w:val="14"/>
                <w:b w:val="1"/>
                <w:bCs w:val="1"/>
                <w:color w:val="auto"/>
              </w:rPr>
              <w:t>4.</w:t>
            </w:r>
          </w:p>
        </w:tc>
        <w:tc>
          <w:tcPr>
            <w:tcW w:w="180" w:type="dxa"/>
            <w:vAlign w:val="bottom"/>
          </w:tcPr>
          <w:p>
            <w:pPr>
              <w:spacing w:after="0"/>
              <w:rPr>
                <w:sz w:val="14"/>
                <w:szCs w:val="14"/>
                <w:color w:val="auto"/>
              </w:rPr>
            </w:pPr>
          </w:p>
        </w:tc>
        <w:tc>
          <w:tcPr>
            <w:tcW w:w="260" w:type="dxa"/>
            <w:vAlign w:val="bottom"/>
          </w:tcPr>
          <w:p>
            <w:pPr>
              <w:ind w:left="60"/>
              <w:spacing w:after="0"/>
              <w:rPr>
                <w:sz w:val="20"/>
                <w:szCs w:val="20"/>
                <w:color w:val="auto"/>
              </w:rPr>
            </w:pPr>
            <w:r>
              <w:rPr>
                <w:rFonts w:ascii="Arial" w:cs="Arial" w:eastAsia="Arial" w:hAnsi="Arial"/>
                <w:sz w:val="14"/>
                <w:szCs w:val="14"/>
                <w:b w:val="1"/>
                <w:bCs w:val="1"/>
                <w:color w:val="auto"/>
              </w:rPr>
              <w:t>5.</w:t>
            </w:r>
          </w:p>
        </w:tc>
        <w:tc>
          <w:tcPr>
            <w:tcW w:w="600" w:type="dxa"/>
            <w:vAlign w:val="bottom"/>
          </w:tcPr>
          <w:p>
            <w:pPr>
              <w:spacing w:after="0"/>
              <w:rPr>
                <w:sz w:val="14"/>
                <w:szCs w:val="14"/>
                <w:color w:val="auto"/>
              </w:rPr>
            </w:pPr>
          </w:p>
        </w:tc>
        <w:tc>
          <w:tcPr>
            <w:tcW w:w="166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60" w:type="dxa"/>
            <w:vAlign w:val="bottom"/>
            <w:gridSpan w:val="3"/>
          </w:tcPr>
          <w:p>
            <w:pPr>
              <w:ind w:left="80"/>
              <w:spacing w:after="0" w:line="149" w:lineRule="exact"/>
              <w:rPr>
                <w:sz w:val="20"/>
                <w:szCs w:val="20"/>
                <w:color w:val="auto"/>
              </w:rPr>
            </w:pPr>
            <w:r>
              <w:rPr>
                <w:rFonts w:ascii="Arial" w:cs="Arial" w:eastAsia="Arial" w:hAnsi="Arial"/>
                <w:sz w:val="14"/>
                <w:szCs w:val="14"/>
                <w:b w:val="1"/>
                <w:bCs w:val="1"/>
                <w:color w:val="auto"/>
              </w:rPr>
              <w:t>Underlying Derivative Security (Instr. 4)</w:t>
            </w:r>
          </w:p>
        </w:tc>
        <w:tc>
          <w:tcPr>
            <w:tcW w:w="8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Conversion</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or Exercise</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36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860" w:type="dxa"/>
            <w:vAlign w:val="bottom"/>
            <w:gridSpan w:val="2"/>
            <w:vMerge w:val="restart"/>
          </w:tcPr>
          <w:p>
            <w:pPr>
              <w:ind w:left="40"/>
              <w:spacing w:after="0" w:line="149" w:lineRule="exact"/>
              <w:rPr>
                <w:sz w:val="20"/>
                <w:szCs w:val="20"/>
                <w:color w:val="auto"/>
              </w:rPr>
            </w:pPr>
            <w:r>
              <w:rPr>
                <w:rFonts w:ascii="Arial" w:cs="Arial" w:eastAsia="Arial" w:hAnsi="Arial"/>
                <w:sz w:val="14"/>
                <w:szCs w:val="14"/>
                <w:b w:val="1"/>
                <w:bCs w:val="1"/>
                <w:color w:val="auto"/>
              </w:rPr>
              <w:t>Price of</w:t>
            </w:r>
          </w:p>
        </w:tc>
        <w:tc>
          <w:tcPr>
            <w:tcW w:w="860" w:type="dxa"/>
            <w:vAlign w:val="bottom"/>
            <w:gridSpan w:val="2"/>
            <w:vMerge w:val="restart"/>
          </w:tcPr>
          <w:p>
            <w:pPr>
              <w:ind w:left="60"/>
              <w:spacing w:after="0" w:line="149" w:lineRule="exact"/>
              <w:rPr>
                <w:sz w:val="20"/>
                <w:szCs w:val="20"/>
                <w:color w:val="auto"/>
              </w:rPr>
            </w:pPr>
            <w:r>
              <w:rPr>
                <w:rFonts w:ascii="Arial" w:cs="Arial" w:eastAsia="Arial" w:hAnsi="Arial"/>
                <w:sz w:val="14"/>
                <w:szCs w:val="14"/>
                <w:b w:val="1"/>
                <w:bCs w:val="1"/>
                <w:color w:val="auto"/>
              </w:rPr>
              <w:t>Direct (D)</w:t>
            </w:r>
          </w:p>
        </w:tc>
        <w:tc>
          <w:tcPr>
            <w:tcW w:w="200" w:type="dxa"/>
            <w:vAlign w:val="bottom"/>
          </w:tcPr>
          <w:p>
            <w:pPr>
              <w:spacing w:after="0"/>
              <w:rPr>
                <w:sz w:val="6"/>
                <w:szCs w:val="6"/>
                <w:color w:val="auto"/>
              </w:rPr>
            </w:pPr>
          </w:p>
        </w:tc>
        <w:tc>
          <w:tcPr>
            <w:tcW w:w="14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36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180" w:type="dxa"/>
            <w:vAlign w:val="bottom"/>
            <w:gridSpan w:val="2"/>
            <w:vMerge w:val="restart"/>
          </w:tcPr>
          <w:p>
            <w:pPr>
              <w:ind w:left="540"/>
              <w:spacing w:after="0"/>
              <w:rPr>
                <w:sz w:val="20"/>
                <w:szCs w:val="20"/>
                <w:color w:val="auto"/>
              </w:rPr>
            </w:pPr>
            <w:r>
              <w:rPr>
                <w:rFonts w:ascii="Arial" w:cs="Arial" w:eastAsia="Arial" w:hAnsi="Arial"/>
                <w:sz w:val="14"/>
                <w:szCs w:val="14"/>
                <w:b w:val="1"/>
                <w:bCs w:val="1"/>
                <w:color w:val="auto"/>
              </w:rPr>
              <w:t>Amount</w:t>
            </w:r>
          </w:p>
        </w:tc>
        <w:tc>
          <w:tcPr>
            <w:tcW w:w="860" w:type="dxa"/>
            <w:vAlign w:val="bottom"/>
            <w:gridSpan w:val="2"/>
            <w:vMerge w:val="continue"/>
          </w:tcPr>
          <w:p>
            <w:pPr>
              <w:spacing w:after="0"/>
              <w:rPr>
                <w:sz w:val="4"/>
                <w:szCs w:val="4"/>
                <w:color w:val="auto"/>
              </w:rPr>
            </w:pPr>
          </w:p>
        </w:tc>
        <w:tc>
          <w:tcPr>
            <w:tcW w:w="860" w:type="dxa"/>
            <w:vAlign w:val="bottom"/>
            <w:gridSpan w:val="2"/>
            <w:vMerge w:val="continue"/>
          </w:tcPr>
          <w:p>
            <w:pPr>
              <w:spacing w:after="0"/>
              <w:rPr>
                <w:sz w:val="4"/>
                <w:szCs w:val="4"/>
                <w:color w:val="auto"/>
              </w:rPr>
            </w:pPr>
          </w:p>
        </w:tc>
        <w:tc>
          <w:tcPr>
            <w:tcW w:w="200" w:type="dxa"/>
            <w:vAlign w:val="bottom"/>
          </w:tcPr>
          <w:p>
            <w:pPr>
              <w:spacing w:after="0"/>
              <w:rPr>
                <w:sz w:val="4"/>
                <w:szCs w:val="4"/>
                <w:color w:val="auto"/>
              </w:rPr>
            </w:pPr>
          </w:p>
        </w:tc>
        <w:tc>
          <w:tcPr>
            <w:tcW w:w="14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860" w:type="dxa"/>
            <w:vAlign w:val="bottom"/>
            <w:gridSpan w:val="2"/>
          </w:tcPr>
          <w:p>
            <w:pPr>
              <w:ind w:left="40"/>
              <w:spacing w:after="0" w:line="139" w:lineRule="exact"/>
              <w:rPr>
                <w:sz w:val="20"/>
                <w:szCs w:val="20"/>
                <w:color w:val="auto"/>
              </w:rPr>
            </w:pPr>
            <w:r>
              <w:rPr>
                <w:rFonts w:ascii="Arial" w:cs="Arial" w:eastAsia="Arial" w:hAnsi="Arial"/>
                <w:sz w:val="14"/>
                <w:szCs w:val="14"/>
                <w:b w:val="1"/>
                <w:bCs w:val="1"/>
                <w:color w:val="auto"/>
              </w:rPr>
              <w:t>Derivative</w:t>
            </w:r>
          </w:p>
        </w:tc>
        <w:tc>
          <w:tcPr>
            <w:tcW w:w="860" w:type="dxa"/>
            <w:vAlign w:val="bottom"/>
            <w:gridSpan w:val="2"/>
          </w:tcPr>
          <w:p>
            <w:pPr>
              <w:ind w:left="60"/>
              <w:spacing w:after="0" w:line="139" w:lineRule="exact"/>
              <w:rPr>
                <w:sz w:val="20"/>
                <w:szCs w:val="20"/>
                <w:color w:val="auto"/>
              </w:rPr>
            </w:pPr>
            <w:r>
              <w:rPr>
                <w:rFonts w:ascii="Arial" w:cs="Arial" w:eastAsia="Arial" w:hAnsi="Arial"/>
                <w:sz w:val="14"/>
                <w:szCs w:val="14"/>
                <w:b w:val="1"/>
                <w:bCs w:val="1"/>
                <w:color w:val="auto"/>
              </w:rPr>
              <w:t>or Indirect</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80" w:type="dxa"/>
            <w:vAlign w:val="bottom"/>
            <w:gridSpan w:val="2"/>
          </w:tcPr>
          <w:p>
            <w:pPr>
              <w:ind w:left="540"/>
              <w:spacing w:after="0" w:line="149" w:lineRule="exact"/>
              <w:rPr>
                <w:sz w:val="20"/>
                <w:szCs w:val="20"/>
                <w:color w:val="auto"/>
              </w:rPr>
            </w:pPr>
            <w:r>
              <w:rPr>
                <w:rFonts w:ascii="Arial" w:cs="Arial" w:eastAsia="Arial" w:hAnsi="Arial"/>
                <w:sz w:val="14"/>
                <w:szCs w:val="14"/>
                <w:b w:val="1"/>
                <w:bCs w:val="1"/>
                <w:color w:val="auto"/>
              </w:rPr>
              <w:t>or</w:t>
            </w:r>
          </w:p>
        </w:tc>
        <w:tc>
          <w:tcPr>
            <w:tcW w:w="8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Security</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(I) (Instr. 5)</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80" w:type="dxa"/>
            <w:vAlign w:val="bottom"/>
            <w:gridSpan w:val="2"/>
          </w:tcPr>
          <w:p>
            <w:pPr>
              <w:ind w:left="540"/>
              <w:spacing w:after="0" w:line="145" w:lineRule="exact"/>
              <w:rPr>
                <w:sz w:val="20"/>
                <w:szCs w:val="20"/>
                <w:color w:val="auto"/>
              </w:rPr>
            </w:pPr>
            <w:r>
              <w:rPr>
                <w:rFonts w:ascii="Arial" w:cs="Arial" w:eastAsia="Arial" w:hAnsi="Arial"/>
                <w:sz w:val="14"/>
                <w:szCs w:val="14"/>
                <w:b w:val="1"/>
                <w:bCs w:val="1"/>
                <w:color w:val="auto"/>
              </w:rPr>
              <w:t>Number</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1180" w:type="dxa"/>
            <w:vAlign w:val="bottom"/>
            <w:gridSpan w:val="2"/>
          </w:tcPr>
          <w:p>
            <w:pPr>
              <w:ind w:left="540"/>
              <w:spacing w:after="0" w:line="149" w:lineRule="exact"/>
              <w:rPr>
                <w:sz w:val="20"/>
                <w:szCs w:val="20"/>
                <w:color w:val="auto"/>
              </w:rPr>
            </w:pPr>
            <w:r>
              <w:rPr>
                <w:rFonts w:ascii="Arial" w:cs="Arial" w:eastAsia="Arial" w:hAnsi="Arial"/>
                <w:sz w:val="14"/>
                <w:szCs w:val="14"/>
                <w:b w:val="1"/>
                <w:bCs w:val="1"/>
                <w:color w:val="auto"/>
              </w:rPr>
              <w:t>of</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6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180" w:type="dxa"/>
            <w:vAlign w:val="bottom"/>
            <w:gridSpan w:val="2"/>
          </w:tcPr>
          <w:p>
            <w:pPr>
              <w:ind w:left="540"/>
              <w:spacing w:after="0"/>
              <w:rPr>
                <w:sz w:val="20"/>
                <w:szCs w:val="20"/>
                <w:color w:val="auto"/>
              </w:rPr>
            </w:pPr>
            <w:r>
              <w:rPr>
                <w:rFonts w:ascii="Arial" w:cs="Arial" w:eastAsia="Arial" w:hAnsi="Arial"/>
                <w:sz w:val="14"/>
                <w:szCs w:val="14"/>
                <w:b w:val="1"/>
                <w:bCs w:val="1"/>
                <w:color w:val="auto"/>
              </w:rPr>
              <w:t>Shares</w:t>
            </w:r>
          </w:p>
        </w:tc>
        <w:tc>
          <w:tcPr>
            <w:tcW w:w="6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36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Explanation of Responses:</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3600" w:type="dxa"/>
            <w:vAlign w:val="bottom"/>
          </w:tcPr>
          <w:p>
            <w:pPr>
              <w:ind w:left="40"/>
              <w:spacing w:after="0"/>
              <w:rPr>
                <w:sz w:val="20"/>
                <w:szCs w:val="20"/>
                <w:color w:val="auto"/>
              </w:rPr>
            </w:pPr>
            <w:r>
              <w:rPr>
                <w:rFonts w:ascii="Arial" w:cs="Arial" w:eastAsia="Arial" w:hAnsi="Arial"/>
                <w:sz w:val="18"/>
                <w:szCs w:val="18"/>
                <w:b w:val="1"/>
                <w:bCs w:val="1"/>
                <w:color w:val="auto"/>
              </w:rPr>
              <w:t>Remarks:</w:t>
            </w: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4"/>
        </w:trPr>
        <w:tc>
          <w:tcPr>
            <w:tcW w:w="3600" w:type="dxa"/>
            <w:vAlign w:val="bottom"/>
          </w:tcPr>
          <w:p>
            <w:pPr>
              <w:ind w:left="40"/>
              <w:spacing w:after="0"/>
              <w:rPr>
                <w:sz w:val="20"/>
                <w:szCs w:val="20"/>
                <w:color w:val="auto"/>
              </w:rPr>
            </w:pPr>
            <w:r>
              <w:rPr>
                <w:rFonts w:ascii="Arial" w:cs="Arial" w:eastAsia="Arial" w:hAnsi="Arial"/>
                <w:sz w:val="14"/>
                <w:szCs w:val="14"/>
                <w:color w:val="008000"/>
              </w:rPr>
              <w:t>Exhibit 24 - Power of Attorney.</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No securities are beneficially owned.</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36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2040" w:type="dxa"/>
            <w:vAlign w:val="bottom"/>
            <w:gridSpan w:val="4"/>
          </w:tcPr>
          <w:p>
            <w:pPr>
              <w:spacing w:after="0"/>
              <w:rPr>
                <w:sz w:val="20"/>
                <w:szCs w:val="20"/>
                <w:color w:val="auto"/>
              </w:rPr>
            </w:pPr>
            <w:r>
              <w:rPr>
                <w:rFonts w:ascii="Arial" w:cs="Arial" w:eastAsia="Arial" w:hAnsi="Arial"/>
                <w:sz w:val="18"/>
                <w:szCs w:val="18"/>
                <w:color w:val="0000FF"/>
                <w:w w:val="97"/>
              </w:rPr>
              <w:t>By: /s/ Bryan M. Reasons,</w:t>
            </w:r>
          </w:p>
        </w:tc>
        <w:tc>
          <w:tcPr>
            <w:tcW w:w="2520" w:type="dxa"/>
            <w:vAlign w:val="bottom"/>
            <w:gridSpan w:val="4"/>
            <w:vMerge w:val="restart"/>
          </w:tcPr>
          <w:p>
            <w:pPr>
              <w:ind w:left="260"/>
              <w:spacing w:after="0"/>
              <w:rPr>
                <w:sz w:val="20"/>
                <w:szCs w:val="20"/>
                <w:color w:val="auto"/>
              </w:rPr>
            </w:pPr>
            <w:r>
              <w:rPr>
                <w:rFonts w:ascii="Arial" w:cs="Arial" w:eastAsia="Arial" w:hAnsi="Arial"/>
                <w:sz w:val="18"/>
                <w:szCs w:val="18"/>
                <w:color w:val="0000FF"/>
              </w:rPr>
              <w:t>05/08/2018</w:t>
            </w:r>
          </w:p>
        </w:tc>
        <w:tc>
          <w:tcPr>
            <w:tcW w:w="0" w:type="dxa"/>
            <w:vAlign w:val="bottom"/>
          </w:tcPr>
          <w:p>
            <w:pPr>
              <w:spacing w:after="0"/>
              <w:rPr>
                <w:sz w:val="1"/>
                <w:szCs w:val="1"/>
                <w:color w:val="auto"/>
              </w:rPr>
            </w:pPr>
          </w:p>
        </w:tc>
      </w:tr>
      <w:tr>
        <w:trPr>
          <w:trHeight w:val="88"/>
        </w:trPr>
        <w:tc>
          <w:tcPr>
            <w:tcW w:w="3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18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w w:val="90"/>
              </w:rPr>
              <w:t>Attorney-in-Fact</w:t>
            </w:r>
          </w:p>
        </w:tc>
        <w:tc>
          <w:tcPr>
            <w:tcW w:w="680" w:type="dxa"/>
            <w:vAlign w:val="bottom"/>
            <w:tcBorders>
              <w:top w:val="single" w:sz="8" w:color="auto"/>
            </w:tcBorders>
          </w:tcPr>
          <w:p>
            <w:pPr>
              <w:spacing w:after="0"/>
              <w:rPr>
                <w:sz w:val="7"/>
                <w:szCs w:val="7"/>
                <w:color w:val="auto"/>
              </w:rPr>
            </w:pPr>
          </w:p>
        </w:tc>
        <w:tc>
          <w:tcPr>
            <w:tcW w:w="180" w:type="dxa"/>
            <w:vAlign w:val="bottom"/>
          </w:tcPr>
          <w:p>
            <w:pPr>
              <w:spacing w:after="0"/>
              <w:rPr>
                <w:sz w:val="7"/>
                <w:szCs w:val="7"/>
                <w:color w:val="auto"/>
              </w:rPr>
            </w:pPr>
          </w:p>
        </w:tc>
        <w:tc>
          <w:tcPr>
            <w:tcW w:w="2520" w:type="dxa"/>
            <w:vAlign w:val="bottom"/>
            <w:gridSpan w:val="4"/>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180" w:type="dxa"/>
            <w:vAlign w:val="bottom"/>
            <w:tcBorders>
              <w:top w:val="single" w:sz="8" w:color="auto"/>
              <w:bottom w:val="single" w:sz="8" w:color="auto"/>
            </w:tcBorders>
            <w:gridSpan w:val="2"/>
            <w:vMerge w:val="continue"/>
          </w:tcPr>
          <w:p>
            <w:pPr>
              <w:spacing w:after="0"/>
              <w:rPr>
                <w:sz w:val="7"/>
                <w:szCs w:val="7"/>
                <w:color w:val="auto"/>
              </w:rPr>
            </w:pPr>
          </w:p>
        </w:tc>
        <w:tc>
          <w:tcPr>
            <w:tcW w:w="6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0" w:type="dxa"/>
            <w:vAlign w:val="bottom"/>
            <w:tcBorders>
              <w:top w:val="single" w:sz="8" w:color="auto"/>
            </w:tcBorders>
          </w:tcPr>
          <w:p>
            <w:pPr>
              <w:spacing w:after="0"/>
              <w:rPr>
                <w:sz w:val="7"/>
                <w:szCs w:val="7"/>
                <w:color w:val="auto"/>
              </w:rPr>
            </w:pPr>
          </w:p>
        </w:tc>
        <w:tc>
          <w:tcPr>
            <w:tcW w:w="200" w:type="dxa"/>
            <w:vAlign w:val="bottom"/>
            <w:tcBorders>
              <w:top w:val="single" w:sz="8" w:color="auto"/>
            </w:tcBorders>
          </w:tcPr>
          <w:p>
            <w:pPr>
              <w:spacing w:after="0"/>
              <w:rPr>
                <w:sz w:val="7"/>
                <w:szCs w:val="7"/>
                <w:color w:val="auto"/>
              </w:rPr>
            </w:pPr>
          </w:p>
        </w:tc>
        <w:tc>
          <w:tcPr>
            <w:tcW w:w="14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36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40" w:type="dxa"/>
            <w:vAlign w:val="bottom"/>
            <w:gridSpan w:val="4"/>
          </w:tcPr>
          <w:p>
            <w:pPr>
              <w:spacing w:after="0"/>
              <w:rPr>
                <w:sz w:val="20"/>
                <w:szCs w:val="20"/>
                <w:color w:val="auto"/>
              </w:rPr>
            </w:pPr>
            <w:r>
              <w:rPr>
                <w:rFonts w:ascii="Arial" w:cs="Arial" w:eastAsia="Arial" w:hAnsi="Arial"/>
                <w:sz w:val="14"/>
                <w:szCs w:val="14"/>
                <w:color w:val="auto"/>
                <w:w w:val="99"/>
              </w:rPr>
              <w:t>** Signature of Reporting Person</w:t>
            </w:r>
          </w:p>
        </w:tc>
        <w:tc>
          <w:tcPr>
            <w:tcW w:w="860" w:type="dxa"/>
            <w:vAlign w:val="bottom"/>
            <w:gridSpan w:val="2"/>
          </w:tcPr>
          <w:p>
            <w:pPr>
              <w:ind w:left="260"/>
              <w:spacing w:after="0"/>
              <w:rPr>
                <w:sz w:val="20"/>
                <w:szCs w:val="20"/>
                <w:color w:val="auto"/>
              </w:rPr>
            </w:pPr>
            <w:r>
              <w:rPr>
                <w:rFonts w:ascii="Arial" w:cs="Arial" w:eastAsia="Arial" w:hAnsi="Arial"/>
                <w:sz w:val="14"/>
                <w:szCs w:val="14"/>
                <w:color w:val="auto"/>
              </w:rPr>
              <w:t>Date</w:t>
            </w:r>
          </w:p>
        </w:tc>
        <w:tc>
          <w:tcPr>
            <w:tcW w:w="2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2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879" w:firstLine="843"/>
        <w:spacing w:after="0" w:line="268" w:lineRule="auto"/>
        <w:rPr>
          <w:sz w:val="20"/>
          <w:szCs w:val="20"/>
          <w:color w:val="auto"/>
        </w:rPr>
      </w:pPr>
      <w:r>
        <w:rPr>
          <w:rFonts w:ascii="Courier New" w:cs="Courier New" w:eastAsia="Courier New" w:hAnsi="Courier New"/>
          <w:sz w:val="16"/>
          <w:szCs w:val="16"/>
          <w:color w:val="auto"/>
        </w:rPr>
        <w:t>Know all by these presents, that the undersigned hereby constitutes and appoints each of (i) the Chief Financial Officer of Amneal Pharmaceuticals, Inc., a Delaware corporation (the "Company") and who is currently Bryan M. Reasons, (ii) the Company's General Counsel, who is currently Sheldon Hirt, and</w:t>
      </w:r>
    </w:p>
    <w:p>
      <w:pPr>
        <w:spacing w:after="0" w:line="1" w:lineRule="exact"/>
        <w:rPr>
          <w:sz w:val="20"/>
          <w:szCs w:val="20"/>
          <w:color w:val="auto"/>
        </w:rPr>
      </w:pPr>
    </w:p>
    <w:p>
      <w:pPr>
        <w:ind w:right="1779" w:firstLine="8"/>
        <w:spacing w:after="0" w:line="237" w:lineRule="auto"/>
        <w:tabs>
          <w:tab w:leader="none" w:pos="632"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Company's Chief Human Resources Officer, who is currently Nikita Shah, and their respective successors (including anyone serving in such capacities on an interim or acting basis), signing singly, with full powers of substitution, as the undersigned's true and lawful attorney-in-fact to:</w:t>
      </w:r>
    </w:p>
    <w:p>
      <w:pPr>
        <w:spacing w:after="0" w:line="207" w:lineRule="exact"/>
        <w:rPr>
          <w:rFonts w:ascii="Courier New" w:cs="Courier New" w:eastAsia="Courier New" w:hAnsi="Courier New"/>
          <w:sz w:val="18"/>
          <w:szCs w:val="18"/>
          <w:color w:val="auto"/>
        </w:rPr>
      </w:pPr>
    </w:p>
    <w:p>
      <w:pPr>
        <w:ind w:left="860" w:right="1879" w:hanging="325"/>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211" w:lineRule="exact"/>
        <w:rPr>
          <w:rFonts w:ascii="Courier New" w:cs="Courier New" w:eastAsia="Courier New" w:hAnsi="Courier New"/>
          <w:sz w:val="18"/>
          <w:szCs w:val="18"/>
          <w:color w:val="auto"/>
        </w:rPr>
      </w:pPr>
    </w:p>
    <w:p>
      <w:pPr>
        <w:ind w:left="860" w:right="1779" w:hanging="325"/>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the Company, and/or 10% holder of the Company's capital stock, Forms 3, 4, and 5 and any amendments thereto in accordance with Section 16(a) of the Securities Exchange Act of 1934 and the rules thereunder;</w:t>
      </w:r>
    </w:p>
    <w:p>
      <w:pPr>
        <w:spacing w:after="0" w:line="208" w:lineRule="exact"/>
        <w:rPr>
          <w:rFonts w:ascii="Courier New" w:cs="Courier New" w:eastAsia="Courier New" w:hAnsi="Courier New"/>
          <w:sz w:val="18"/>
          <w:szCs w:val="18"/>
          <w:color w:val="auto"/>
        </w:rPr>
      </w:pPr>
    </w:p>
    <w:p>
      <w:pPr>
        <w:ind w:left="860" w:right="1999" w:hanging="325"/>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p>
      <w:pPr>
        <w:spacing w:after="0" w:line="208" w:lineRule="exact"/>
        <w:rPr>
          <w:rFonts w:ascii="Courier New" w:cs="Courier New" w:eastAsia="Courier New" w:hAnsi="Courier New"/>
          <w:sz w:val="18"/>
          <w:szCs w:val="18"/>
          <w:color w:val="auto"/>
        </w:rPr>
      </w:pPr>
    </w:p>
    <w:p>
      <w:pPr>
        <w:ind w:left="860" w:right="1879" w:hanging="325"/>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 fact may approve in such attorney-in-fact's discretion.</w:t>
      </w:r>
    </w:p>
    <w:p>
      <w:pPr>
        <w:spacing w:after="0" w:line="212" w:lineRule="exact"/>
        <w:rPr>
          <w:sz w:val="20"/>
          <w:szCs w:val="20"/>
          <w:color w:val="auto"/>
        </w:rPr>
      </w:pPr>
    </w:p>
    <w:p>
      <w:pPr>
        <w:ind w:right="1779"/>
        <w:spacing w:after="0" w:line="270"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391"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8th day of May, 2018.</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Kevin Buchi</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jc w:val="center"/>
        <w:ind w:right="199"/>
        <w:spacing w:after="0"/>
        <w:rPr>
          <w:sz w:val="20"/>
          <w:szCs w:val="20"/>
          <w:color w:val="auto"/>
        </w:rPr>
      </w:pPr>
      <w:r>
        <w:rPr>
          <w:rFonts w:ascii="Courier New" w:cs="Courier New" w:eastAsia="Courier New" w:hAnsi="Courier New"/>
          <w:sz w:val="18"/>
          <w:szCs w:val="18"/>
          <w:color w:val="auto"/>
        </w:rPr>
        <w:t>By: Kevin Buchi</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lowerRoman"/>
      <w:start w:val="3"/>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209726" TargetMode="External"/><Relationship Id="rId12"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2020-01-14T00:21:03Z</dcterms:created>
  <dcterms:modified xsi:type="dcterms:W3CDTF">2020-01-14T00:21:03Z</dcterms:modified>
</cp:coreProperties>
</file>