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3225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3225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MITCHELL SAMUEL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100 VALVOLINE WAY</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VALVOLINE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VVV</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11/17/2022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45"/>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540" w:type="dxa"/>
            <w:vAlign w:val="bottom"/>
            <w:gridSpan w:val="6"/>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2"/>
                <w:szCs w:val="2"/>
                <w:color w:val="auto"/>
              </w:rPr>
            </w:pPr>
          </w:p>
        </w:tc>
        <w:tc>
          <w:tcPr>
            <w:tcW w:w="3540" w:type="dxa"/>
            <w:vAlign w:val="bottom"/>
            <w:gridSpan w:val="9"/>
            <w:vMerge w:val="restart"/>
          </w:tcPr>
          <w:p>
            <w:pPr>
              <w:ind w:left="2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540" w:type="dxa"/>
            <w:vAlign w:val="bottom"/>
            <w:gridSpan w:val="6"/>
            <w:vMerge w:val="continue"/>
          </w:tcPr>
          <w:p>
            <w:pPr>
              <w:spacing w:after="0"/>
              <w:rPr>
                <w:sz w:val="10"/>
                <w:szCs w:val="10"/>
                <w:color w:val="auto"/>
              </w:rPr>
            </w:pPr>
          </w:p>
        </w:tc>
        <w:tc>
          <w:tcPr>
            <w:tcW w:w="220" w:type="dxa"/>
            <w:vAlign w:val="bottom"/>
          </w:tcPr>
          <w:p>
            <w:pPr>
              <w:spacing w:after="0"/>
              <w:rPr>
                <w:sz w:val="10"/>
                <w:szCs w:val="10"/>
                <w:color w:val="auto"/>
              </w:rPr>
            </w:pPr>
          </w:p>
        </w:tc>
        <w:tc>
          <w:tcPr>
            <w:tcW w:w="354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0" w:type="dxa"/>
            <w:vAlign w:val="bottom"/>
            <w:gridSpan w:val="3"/>
          </w:tcPr>
          <w:p>
            <w:pPr>
              <w:ind w:left="20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LEXINGTON   KY</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40509</w:t>
            </w:r>
          </w:p>
        </w:tc>
        <w:tc>
          <w:tcPr>
            <w:tcW w:w="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220" w:type="dxa"/>
            <w:vAlign w:val="bottom"/>
            <w:gridSpan w:val="8"/>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20" w:type="dxa"/>
            <w:vAlign w:val="bottom"/>
          </w:tcPr>
          <w:p>
            <w:pPr>
              <w:spacing w:after="0"/>
              <w:rPr>
                <w:sz w:val="2"/>
                <w:szCs w:val="2"/>
                <w:color w:val="auto"/>
              </w:rPr>
            </w:pPr>
          </w:p>
        </w:tc>
        <w:tc>
          <w:tcPr>
            <w:tcW w:w="4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tcPr>
          <w:p>
            <w:pPr>
              <w:spacing w:after="0"/>
              <w:rPr>
                <w:sz w:val="2"/>
                <w:szCs w:val="2"/>
                <w:color w:val="auto"/>
              </w:rPr>
            </w:pPr>
          </w:p>
        </w:tc>
        <w:tc>
          <w:tcPr>
            <w:tcW w:w="8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0" w:type="dxa"/>
            <w:vAlign w:val="bottom"/>
          </w:tcPr>
          <w:p>
            <w:pPr>
              <w:spacing w:after="0"/>
              <w:rPr>
                <w:sz w:val="8"/>
                <w:szCs w:val="8"/>
                <w:color w:val="auto"/>
              </w:rPr>
            </w:pPr>
          </w:p>
        </w:tc>
        <w:tc>
          <w:tcPr>
            <w:tcW w:w="22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4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3"/>
          </w:tcPr>
          <w:p>
            <w:pPr>
              <w:ind w:left="7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4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4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4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40" w:type="dxa"/>
            <w:vAlign w:val="bottom"/>
          </w:tcPr>
          <w:p>
            <w:pPr>
              <w:spacing w:after="0"/>
              <w:rPr>
                <w:sz w:val="5"/>
                <w:szCs w:val="5"/>
                <w:color w:val="auto"/>
              </w:rPr>
            </w:pPr>
          </w:p>
        </w:tc>
        <w:tc>
          <w:tcPr>
            <w:tcW w:w="68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80" w:type="dxa"/>
            <w:vAlign w:val="bottom"/>
            <w:tcBorders>
              <w:bottom w:val="single" w:sz="8" w:color="2C2C2C"/>
            </w:tcBorders>
            <w:gridSpan w:val="3"/>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3"/>
          </w:tcPr>
          <w:p>
            <w:pPr>
              <w:ind w:left="840"/>
              <w:spacing w:after="0"/>
              <w:rPr>
                <w:sz w:val="20"/>
                <w:szCs w:val="20"/>
                <w:color w:val="auto"/>
              </w:rPr>
            </w:pPr>
            <w:r>
              <w:rPr>
                <w:rFonts w:ascii="Times New Roman" w:cs="Times New Roman" w:eastAsia="Times New Roman" w:hAnsi="Times New Roman"/>
                <w:sz w:val="17"/>
                <w:szCs w:val="17"/>
                <w:color w:val="0000FF"/>
              </w:rPr>
              <w:t>11/17/2022</w:t>
            </w:r>
          </w:p>
        </w:tc>
        <w:tc>
          <w:tcPr>
            <w:tcW w:w="44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79"/>
              <w:spacing w:after="0"/>
              <w:rPr>
                <w:sz w:val="20"/>
                <w:szCs w:val="20"/>
                <w:color w:val="auto"/>
              </w:rPr>
            </w:pPr>
            <w:r>
              <w:rPr>
                <w:rFonts w:ascii="Times New Roman" w:cs="Times New Roman" w:eastAsia="Times New Roman" w:hAnsi="Times New Roman"/>
                <w:sz w:val="13"/>
                <w:szCs w:val="13"/>
                <w:color w:val="0000FF"/>
              </w:rPr>
              <w:t>A</w:t>
            </w:r>
          </w:p>
        </w:tc>
        <w:tc>
          <w:tcPr>
            <w:tcW w:w="80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128,640</w:t>
            </w:r>
            <w:r>
              <w:rPr>
                <w:rFonts w:ascii="Times New Roman" w:cs="Times New Roman" w:eastAsia="Times New Roman" w:hAnsi="Times New Roman"/>
                <w:sz w:val="22"/>
                <w:szCs w:val="22"/>
                <w:color w:val="008000"/>
                <w:vertAlign w:val="superscript"/>
              </w:rPr>
              <w:t>(1)</w:t>
            </w:r>
          </w:p>
        </w:tc>
        <w:tc>
          <w:tcPr>
            <w:tcW w:w="40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gridSpan w:val="2"/>
          </w:tcPr>
          <w:p>
            <w:pPr>
              <w:jc w:val="right"/>
              <w:spacing w:after="0"/>
              <w:rPr>
                <w:sz w:val="20"/>
                <w:szCs w:val="20"/>
                <w:color w:val="auto"/>
              </w:rPr>
            </w:pPr>
            <w:r>
              <w:rPr>
                <w:rFonts w:ascii="Times New Roman" w:cs="Times New Roman" w:eastAsia="Times New Roman" w:hAnsi="Times New Roman"/>
                <w:sz w:val="11"/>
                <w:szCs w:val="11"/>
                <w:color w:val="008000"/>
              </w:rPr>
              <w:t>(2)</w:t>
            </w:r>
          </w:p>
        </w:tc>
        <w:tc>
          <w:tcPr>
            <w:tcW w:w="2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ind w:right="20"/>
              <w:spacing w:after="0"/>
              <w:rPr>
                <w:sz w:val="20"/>
                <w:szCs w:val="20"/>
                <w:color w:val="auto"/>
              </w:rPr>
            </w:pPr>
            <w:r>
              <w:rPr>
                <w:rFonts w:ascii="Times New Roman" w:cs="Times New Roman" w:eastAsia="Times New Roman" w:hAnsi="Times New Roman"/>
                <w:sz w:val="17"/>
                <w:szCs w:val="17"/>
                <w:color w:val="0000FF"/>
              </w:rPr>
              <w:t>502,593</w:t>
            </w:r>
          </w:p>
        </w:tc>
        <w:tc>
          <w:tcPr>
            <w:tcW w:w="920" w:type="dxa"/>
            <w:vAlign w:val="bottom"/>
            <w:tcBorders>
              <w:bottom w:val="single" w:sz="8" w:color="2C2C2C"/>
            </w:tcBorders>
          </w:tcPr>
          <w:p>
            <w:pPr>
              <w:jc w:val="center"/>
              <w:ind w:right="54"/>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23"/>
                <w:szCs w:val="23"/>
                <w:color w:val="auto"/>
              </w:rPr>
            </w:pPr>
          </w:p>
        </w:tc>
        <w:tc>
          <w:tcPr>
            <w:tcW w:w="1780" w:type="dxa"/>
            <w:vAlign w:val="bottom"/>
            <w:gridSpan w:val="3"/>
          </w:tcPr>
          <w:p>
            <w:pPr>
              <w:ind w:left="840"/>
              <w:spacing w:after="0"/>
              <w:rPr>
                <w:sz w:val="20"/>
                <w:szCs w:val="20"/>
                <w:color w:val="auto"/>
              </w:rPr>
            </w:pPr>
            <w:r>
              <w:rPr>
                <w:rFonts w:ascii="Times New Roman" w:cs="Times New Roman" w:eastAsia="Times New Roman" w:hAnsi="Times New Roman"/>
                <w:sz w:val="17"/>
                <w:szCs w:val="17"/>
                <w:color w:val="0000FF"/>
              </w:rPr>
              <w:t>11/17/2022</w:t>
            </w:r>
          </w:p>
        </w:tc>
        <w:tc>
          <w:tcPr>
            <w:tcW w:w="4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800" w:type="dxa"/>
            <w:vAlign w:val="bottom"/>
          </w:tcPr>
          <w:p>
            <w:pPr>
              <w:jc w:val="center"/>
              <w:ind w:right="279"/>
              <w:spacing w:after="0"/>
              <w:rPr>
                <w:sz w:val="20"/>
                <w:szCs w:val="20"/>
                <w:color w:val="auto"/>
              </w:rPr>
            </w:pPr>
            <w:r>
              <w:rPr>
                <w:rFonts w:ascii="Times New Roman" w:cs="Times New Roman" w:eastAsia="Times New Roman" w:hAnsi="Times New Roman"/>
                <w:sz w:val="13"/>
                <w:szCs w:val="13"/>
                <w:color w:val="0000FF"/>
                <w:w w:val="82"/>
              </w:rPr>
              <w:t>F</w:t>
            </w:r>
          </w:p>
        </w:tc>
        <w:tc>
          <w:tcPr>
            <w:tcW w:w="800" w:type="dxa"/>
            <w:vAlign w:val="bottom"/>
          </w:tcPr>
          <w:p>
            <w:pPr>
              <w:jc w:val="right"/>
              <w:ind w:right="53"/>
              <w:spacing w:after="0"/>
              <w:rPr>
                <w:sz w:val="20"/>
                <w:szCs w:val="20"/>
                <w:color w:val="auto"/>
              </w:rPr>
            </w:pPr>
            <w:r>
              <w:rPr>
                <w:rFonts w:ascii="Times New Roman" w:cs="Times New Roman" w:eastAsia="Times New Roman" w:hAnsi="Times New Roman"/>
                <w:sz w:val="17"/>
                <w:szCs w:val="17"/>
                <w:color w:val="0000FF"/>
              </w:rPr>
              <w:t>60,590</w:t>
            </w:r>
          </w:p>
        </w:tc>
        <w:tc>
          <w:tcPr>
            <w:tcW w:w="400" w:type="dxa"/>
            <w:vAlign w:val="bottom"/>
          </w:tcPr>
          <w:p>
            <w:pPr>
              <w:ind w:left="26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Pr>
          <w:p>
            <w:pPr>
              <w:spacing w:after="0"/>
              <w:rPr>
                <w:sz w:val="23"/>
                <w:szCs w:val="23"/>
                <w:color w:val="auto"/>
              </w:rPr>
            </w:pPr>
          </w:p>
        </w:tc>
        <w:tc>
          <w:tcPr>
            <w:tcW w:w="600" w:type="dxa"/>
            <w:vAlign w:val="bottom"/>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32.87</w:t>
            </w:r>
          </w:p>
        </w:tc>
        <w:tc>
          <w:tcPr>
            <w:tcW w:w="1200" w:type="dxa"/>
            <w:vAlign w:val="bottom"/>
            <w:gridSpan w:val="2"/>
          </w:tcPr>
          <w:p>
            <w:pPr>
              <w:jc w:val="center"/>
              <w:ind w:right="20"/>
              <w:spacing w:after="0"/>
              <w:rPr>
                <w:sz w:val="20"/>
                <w:szCs w:val="20"/>
                <w:color w:val="auto"/>
              </w:rPr>
            </w:pPr>
            <w:r>
              <w:rPr>
                <w:rFonts w:ascii="Times New Roman" w:cs="Times New Roman" w:eastAsia="Times New Roman" w:hAnsi="Times New Roman"/>
                <w:sz w:val="17"/>
                <w:szCs w:val="17"/>
                <w:color w:val="0000FF"/>
              </w:rPr>
              <w:t>442,003</w:t>
            </w:r>
          </w:p>
        </w:tc>
        <w:tc>
          <w:tcPr>
            <w:tcW w:w="920" w:type="dxa"/>
            <w:vAlign w:val="bottom"/>
          </w:tcPr>
          <w:p>
            <w:pPr>
              <w:jc w:val="center"/>
              <w:ind w:right="54"/>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center"/>
              <w:ind w:right="20"/>
              <w:spacing w:after="0" w:line="213" w:lineRule="exact"/>
              <w:rPr>
                <w:sz w:val="20"/>
                <w:szCs w:val="20"/>
                <w:color w:val="auto"/>
              </w:rPr>
            </w:pPr>
            <w:r>
              <w:rPr>
                <w:rFonts w:ascii="Times New Roman" w:cs="Times New Roman" w:eastAsia="Times New Roman" w:hAnsi="Times New Roman"/>
                <w:sz w:val="17"/>
                <w:szCs w:val="17"/>
                <w:color w:val="0000FF"/>
                <w:w w:val="93"/>
              </w:rPr>
              <w:t>5,672</w:t>
            </w:r>
            <w:r>
              <w:rPr>
                <w:rFonts w:ascii="Times New Roman" w:cs="Times New Roman" w:eastAsia="Times New Roman" w:hAnsi="Times New Roman"/>
                <w:sz w:val="22"/>
                <w:szCs w:val="22"/>
                <w:color w:val="008000"/>
                <w:w w:val="93"/>
                <w:vertAlign w:val="superscript"/>
              </w:rPr>
              <w:t>(3)</w:t>
            </w:r>
          </w:p>
        </w:tc>
        <w:tc>
          <w:tcPr>
            <w:tcW w:w="920" w:type="dxa"/>
            <w:vAlign w:val="bottom"/>
          </w:tcPr>
          <w:p>
            <w:pPr>
              <w:jc w:val="center"/>
              <w:ind w:right="54"/>
              <w:spacing w:after="0"/>
              <w:rPr>
                <w:sz w:val="20"/>
                <w:szCs w:val="20"/>
                <w:color w:val="auto"/>
              </w:rPr>
            </w:pPr>
            <w:r>
              <w:rPr>
                <w:rFonts w:ascii="Times New Roman" w:cs="Times New Roman" w:eastAsia="Times New Roman" w:hAnsi="Times New Roman"/>
                <w:sz w:val="16"/>
                <w:szCs w:val="16"/>
                <w:color w:val="0000FF"/>
                <w:w w:val="74"/>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401(k)</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Plan</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4080" w:type="dxa"/>
            <w:vAlign w:val="bottom"/>
            <w:tcBorders>
              <w:bottom w:val="single" w:sz="8" w:color="2C2C2C"/>
            </w:tcBorders>
            <w:gridSpan w:val="8"/>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4"/>
          </w:tcPr>
          <w:p>
            <w:pPr>
              <w:jc w:val="center"/>
              <w:ind w:right="6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4"/>
          </w:tcPr>
          <w:p>
            <w:pPr>
              <w:ind w:left="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0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0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40" w:firstLine="7"/>
        <w:spacing w:after="0" w:line="244"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earned from the FY20-FY22 performance stock unit ("PSU") award granted on November 14, 2019, as certified by the Compensation Committee of the Board of Directors on November 17, 2022. Earned PSUs became 100% vested on the last day of the performance period. The PSUs were measured against EPS performance goals over three separate one-year measurement periods for each of FY20, FY21 and FY22, and a fourth cumulative FY20-FY22 measurement period with a potential payout of 0% to 200% of Target. Each measurement period was weighted equally at 25%. The entire PSU payout was subject to a payment modifier (-25%, 0% or +25%) based on Valvoline's FY20-FY22 total shareholder return relative to the companies in the S&amp;P MidCap 400 Index. Based on Valvoline's EPS performance and relative TSR performance, the Compensation Committee awarded a PSU payout equal to 200% of Target.</w:t>
      </w:r>
    </w:p>
    <w:p>
      <w:pPr>
        <w:spacing w:after="0" w:line="26"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PSUs convert into Valvoline common stock on a one-for-one basis.</w:t>
      </w:r>
    </w:p>
    <w:p>
      <w:pPr>
        <w:spacing w:after="0" w:line="50" w:lineRule="exact"/>
        <w:rPr>
          <w:rFonts w:ascii="Times New Roman" w:cs="Times New Roman" w:eastAsia="Times New Roman" w:hAnsi="Times New Roman"/>
          <w:sz w:val="13"/>
          <w:szCs w:val="13"/>
          <w:color w:val="008000"/>
        </w:rPr>
      </w:pPr>
    </w:p>
    <w:p>
      <w:pPr>
        <w:ind w:left="40" w:right="5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approximate number of shares of Valvoline common stock held by the Reporting Person in the Valvoline 401(k) Plan based on the closing price of Valvoline common stock on the earliest Transaction Date.</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Ian C. Lofwall, Attorney-</w:t>
            </w:r>
          </w:p>
        </w:tc>
        <w:tc>
          <w:tcPr>
            <w:tcW w:w="100" w:type="dxa"/>
            <w:vAlign w:val="bottom"/>
          </w:tcPr>
          <w:p>
            <w:pPr>
              <w:spacing w:after="0"/>
              <w:rPr>
                <w:sz w:val="17"/>
                <w:szCs w:val="17"/>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rPr>
              <w:t>11/21/2022</w:t>
            </w:r>
          </w:p>
        </w:tc>
        <w:tc>
          <w:tcPr>
            <w:tcW w:w="0" w:type="dxa"/>
            <w:vAlign w:val="bottom"/>
          </w:tcPr>
          <w:p>
            <w:pPr>
              <w:spacing w:after="0"/>
              <w:rPr>
                <w:sz w:val="1"/>
                <w:szCs w:val="1"/>
                <w:color w:val="auto"/>
              </w:rPr>
            </w:pPr>
          </w:p>
        </w:tc>
      </w:tr>
      <w:tr>
        <w:trPr>
          <w:trHeight w:val="87"/>
        </w:trPr>
        <w:tc>
          <w:tcPr>
            <w:tcW w:w="210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66068" TargetMode="External"/><Relationship Id="rId13" Type="http://schemas.openxmlformats.org/officeDocument/2006/relationships/hyperlink" Target="http://www.sec.gov/cgi-bin/browse-edgar?action=getcompany&amp;CIK=000167491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2022-11-21T17:07:53Z</dcterms:created>
  <dcterms:modified xsi:type="dcterms:W3CDTF">2022-11-21T17:07:53Z</dcterms:modified>
</cp:coreProperties>
</file>