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-631190</wp:posOffset>
            </wp:positionV>
            <wp:extent cx="58420" cy="644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3998595</wp:posOffset>
            </wp:positionH>
            <wp:positionV relativeFrom="paragraph">
              <wp:posOffset>-631190</wp:posOffset>
            </wp:positionV>
            <wp:extent cx="58420" cy="644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24130</wp:posOffset>
            </wp:positionV>
            <wp:extent cx="6992620" cy="4978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9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Caldwell Jonathan L.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 VALVOLINE 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VALVOLINE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VVV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04/29/2022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6" w:right="620" w:firstLine="6"/>
        <w:spacing w:after="0" w:line="260" w:lineRule="auto"/>
        <w:tabs>
          <w:tab w:leader="none" w:pos="13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87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People Officer</w: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6" w:space="720"/>
            <w:col w:w="3354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5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LEXINGTON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KY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40509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5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7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04/29/2022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1,772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7,449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04/29/2022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617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30.23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6,832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04/29/2022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1,772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1,772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1,772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-2018030</wp:posOffset>
            </wp:positionV>
            <wp:extent cx="29210" cy="20231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units convert into Valvoline common stock on a one-for-one basis.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restricted stock units vest in three equal annual installments beginning on the first anniversary of the grant date.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Ian C. Lofwall, Attorney-in- </w:t>
      </w:r>
      <w:r>
        <w:rPr>
          <w:rFonts w:ascii="Times New Roman" w:cs="Times New Roman" w:eastAsia="Times New Roman" w:hAnsi="Times New Roman"/>
          <w:sz w:val="33"/>
          <w:szCs w:val="33"/>
          <w:color w:val="0000FF"/>
          <w:vertAlign w:val="subscript"/>
        </w:rPr>
        <w:t>05/02/2022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-27305</wp:posOffset>
            </wp:positionV>
            <wp:extent cx="13468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-19685</wp:posOffset>
            </wp:positionV>
            <wp:extent cx="184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5582920</wp:posOffset>
            </wp:positionH>
            <wp:positionV relativeFrom="paragraph">
              <wp:posOffset>-85725</wp:posOffset>
            </wp:positionV>
            <wp:extent cx="48895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9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09539" TargetMode="External"/><Relationship Id="rId13" Type="http://schemas.openxmlformats.org/officeDocument/2006/relationships/hyperlink" Target="http://www.sec.gov/cgi-bin/browse-edgar?action=getcompany&amp;CIK=000167491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2022-05-02T19:11:32Z</dcterms:created>
  <dcterms:modified xsi:type="dcterms:W3CDTF">2022-05-02T19:11:32Z</dcterms:modified>
</cp:coreProperties>
</file>