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Maher David Eugene</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right="320"/>
        <w:spacing w:after="0" w:line="336" w:lineRule="auto"/>
        <w:rPr>
          <w:sz w:val="20"/>
          <w:szCs w:val="20"/>
          <w:color w:val="auto"/>
        </w:rPr>
      </w:pPr>
      <w:r>
        <w:rPr>
          <w:rFonts w:ascii="Times New Roman" w:cs="Times New Roman" w:eastAsia="Times New Roman" w:hAnsi="Times New Roman"/>
          <w:sz w:val="17"/>
          <w:szCs w:val="17"/>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jc w:val="center"/>
        <w:ind w:right="175"/>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Acushnet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GOLF</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8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09/16/2022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925"/>
        <w:spacing w:after="0"/>
        <w:rPr>
          <w:sz w:val="20"/>
          <w:szCs w:val="20"/>
          <w:color w:val="auto"/>
        </w:rPr>
      </w:pPr>
      <w:r>
        <w:rPr>
          <w:rFonts w:ascii="Times New Roman" w:cs="Times New Roman" w:eastAsia="Times New Roman" w:hAnsi="Times New Roman"/>
          <w:sz w:val="17"/>
          <w:szCs w:val="17"/>
          <w:color w:val="0000FF"/>
        </w:rPr>
        <w:t>President and CEO</w:t>
      </w:r>
    </w:p>
    <w:p>
      <w:pPr>
        <w:spacing w:after="0" w:line="419"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13"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FAIRHAVEN</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MA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02719</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69"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09/16/2022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A</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1,743</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48.03</w:t>
            </w:r>
          </w:p>
        </w:tc>
        <w:tc>
          <w:tcPr>
            <w:tcW w:w="120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rPr>
              <w:t>580,858</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6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in connection with the Issuer's quarterly dividend and accrued to the Reporting Person on restricted and performance stock units, adjusted for rounding of fractional amounts, under the Issuer's deferred compensation plan.</w:t>
      </w:r>
    </w:p>
    <w:p>
      <w:pPr>
        <w:spacing w:after="0" w:line="25"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0000FF"/>
              </w:rPr>
              <w:t>09/20/2022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82297"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2022-09-20T15:10:10Z</dcterms:created>
  <dcterms:modified xsi:type="dcterms:W3CDTF">2022-09-20T15:10:10Z</dcterms:modified>
</cp:coreProperties>
</file>