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3142615</wp:posOffset>
            </wp:positionH>
            <wp:positionV relativeFrom="paragraph">
              <wp:posOffset>210185</wp:posOffset>
            </wp:positionV>
            <wp:extent cx="86550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65505" cy="8255"/>
                    </a:xfrm>
                    <a:prstGeom prst="rect">
                      <a:avLst/>
                    </a:prstGeom>
                    <a:noFill/>
                  </pic:spPr>
                </pic:pic>
              </a:graphicData>
            </a:graphic>
          </wp:anchor>
        </w:drawing>
      </w:r>
    </w:p>
    <w:p>
      <w:pPr>
        <w:spacing w:after="0" w:line="356" w:lineRule="exact"/>
        <w:rPr>
          <w:sz w:val="24"/>
          <w:szCs w:val="24"/>
          <w:color w:val="auto"/>
        </w:rPr>
      </w:pPr>
    </w:p>
    <w:p>
      <w:pPr>
        <w:jc w:val="center"/>
        <w:ind w:right="-39"/>
        <w:spacing w:after="0"/>
        <w:rPr>
          <w:sz w:val="20"/>
          <w:szCs w:val="20"/>
          <w:color w:val="auto"/>
        </w:rPr>
      </w:pPr>
      <w:r>
        <w:rPr>
          <w:rFonts w:ascii="Arial" w:cs="Arial" w:eastAsia="Arial" w:hAnsi="Arial"/>
          <w:sz w:val="25"/>
          <w:szCs w:val="25"/>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3142615</wp:posOffset>
            </wp:positionH>
            <wp:positionV relativeFrom="paragraph">
              <wp:posOffset>123190</wp:posOffset>
            </wp:positionV>
            <wp:extent cx="865505"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65505" cy="17145"/>
                    </a:xfrm>
                    <a:prstGeom prst="rect">
                      <a:avLst/>
                    </a:prstGeom>
                    <a:noFill/>
                  </pic:spPr>
                </pic:pic>
              </a:graphicData>
            </a:graphic>
          </wp:anchor>
        </w:drawing>
      </w:r>
    </w:p>
    <w:p>
      <w:pPr>
        <w:spacing w:after="0" w:line="200" w:lineRule="exact"/>
        <w:rPr>
          <w:sz w:val="24"/>
          <w:szCs w:val="24"/>
          <w:color w:val="auto"/>
        </w:rPr>
      </w:pPr>
    </w:p>
    <w:p>
      <w:pPr>
        <w:spacing w:after="0" w:line="298"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Pursuant to Section 13 or 15(d)</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Report (Date of Earliest Event Reported): November 04,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1856740</wp:posOffset>
            </wp:positionH>
            <wp:positionV relativeFrom="paragraph">
              <wp:posOffset>220345</wp:posOffset>
            </wp:positionV>
            <wp:extent cx="34290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372"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Acushnet Holdings Corp.</w:t>
      </w:r>
    </w:p>
    <w:p>
      <w:pPr>
        <w:spacing w:after="0" w:line="42" w:lineRule="exact"/>
        <w:rPr>
          <w:sz w:val="24"/>
          <w:szCs w:val="24"/>
          <w:color w:val="auto"/>
        </w:rPr>
      </w:pPr>
    </w:p>
    <w:p>
      <w:pPr>
        <w:jc w:val="center"/>
        <w:ind w:right="-19"/>
        <w:spacing w:after="0"/>
        <w:rPr>
          <w:sz w:val="20"/>
          <w:szCs w:val="20"/>
          <w:color w:val="auto"/>
        </w:rPr>
      </w:pPr>
      <w:r>
        <w:rPr>
          <w:rFonts w:ascii="Arial" w:cs="Arial" w:eastAsia="Arial" w:hAnsi="Arial"/>
          <w:sz w:val="16"/>
          <w:szCs w:val="16"/>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1856740</wp:posOffset>
            </wp:positionH>
            <wp:positionV relativeFrom="paragraph">
              <wp:posOffset>73660</wp:posOffset>
            </wp:positionV>
            <wp:extent cx="342900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200" w:lineRule="exact"/>
        <w:rPr>
          <w:sz w:val="24"/>
          <w:szCs w:val="24"/>
          <w:color w:val="auto"/>
        </w:rPr>
      </w:pPr>
    </w:p>
    <w:p>
      <w:pPr>
        <w:spacing w:after="0" w:line="336" w:lineRule="exact"/>
        <w:rPr>
          <w:sz w:val="24"/>
          <w:szCs w:val="24"/>
          <w:color w:val="auto"/>
        </w:rPr>
      </w:pPr>
    </w:p>
    <w:tbl>
      <w:tblPr>
        <w:tblLayout w:type="fixed"/>
        <w:tblInd w:w="1040" w:type="dxa"/>
        <w:tblCellMar>
          <w:top w:w="0" w:type="dxa"/>
          <w:left w:w="0" w:type="dxa"/>
          <w:bottom w:w="0" w:type="dxa"/>
          <w:right w:w="0" w:type="dxa"/>
        </w:tblCellMar>
      </w:tblPr>
      <w:tr>
        <w:trPr>
          <w:trHeight w:val="234"/>
        </w:trPr>
        <w:tc>
          <w:tcPr>
            <w:tcW w:w="3180" w:type="dxa"/>
            <w:vAlign w:val="bottom"/>
          </w:tcPr>
          <w:p>
            <w:pPr>
              <w:jc w:val="center"/>
              <w:ind w:right="1297"/>
              <w:spacing w:after="0"/>
              <w:rPr>
                <w:sz w:val="20"/>
                <w:szCs w:val="20"/>
                <w:color w:val="auto"/>
              </w:rPr>
            </w:pPr>
            <w:r>
              <w:rPr>
                <w:rFonts w:ascii="Arial" w:cs="Arial" w:eastAsia="Arial" w:hAnsi="Arial"/>
                <w:sz w:val="18"/>
                <w:szCs w:val="18"/>
                <w:b w:val="1"/>
                <w:bCs w:val="1"/>
                <w:color w:val="auto"/>
                <w:w w:val="91"/>
              </w:rPr>
              <w:t>Delaware</w:t>
            </w:r>
          </w:p>
        </w:tc>
        <w:tc>
          <w:tcPr>
            <w:tcW w:w="3380" w:type="dxa"/>
            <w:vAlign w:val="bottom"/>
          </w:tcPr>
          <w:p>
            <w:pPr>
              <w:jc w:val="center"/>
              <w:ind w:right="357"/>
              <w:spacing w:after="0"/>
              <w:rPr>
                <w:sz w:val="20"/>
                <w:szCs w:val="20"/>
                <w:color w:val="auto"/>
              </w:rPr>
            </w:pPr>
            <w:r>
              <w:rPr>
                <w:rFonts w:ascii="Arial" w:cs="Arial" w:eastAsia="Arial" w:hAnsi="Arial"/>
                <w:sz w:val="18"/>
                <w:szCs w:val="18"/>
                <w:b w:val="1"/>
                <w:bCs w:val="1"/>
                <w:color w:val="auto"/>
                <w:w w:val="90"/>
              </w:rPr>
              <w:t>001-37935</w:t>
            </w:r>
          </w:p>
        </w:tc>
        <w:tc>
          <w:tcPr>
            <w:tcW w:w="2380" w:type="dxa"/>
            <w:vAlign w:val="bottom"/>
          </w:tcPr>
          <w:p>
            <w:pPr>
              <w:jc w:val="center"/>
              <w:ind w:left="1097"/>
              <w:spacing w:after="0"/>
              <w:rPr>
                <w:sz w:val="20"/>
                <w:szCs w:val="20"/>
                <w:color w:val="auto"/>
              </w:rPr>
            </w:pPr>
            <w:r>
              <w:rPr>
                <w:rFonts w:ascii="Arial" w:cs="Arial" w:eastAsia="Arial" w:hAnsi="Arial"/>
                <w:sz w:val="18"/>
                <w:szCs w:val="18"/>
                <w:b w:val="1"/>
                <w:bCs w:val="1"/>
                <w:color w:val="auto"/>
                <w:w w:val="91"/>
              </w:rPr>
              <w:t>45-2644353</w:t>
            </w:r>
          </w:p>
        </w:tc>
      </w:tr>
      <w:tr>
        <w:trPr>
          <w:trHeight w:val="166"/>
        </w:trPr>
        <w:tc>
          <w:tcPr>
            <w:tcW w:w="3180" w:type="dxa"/>
            <w:vAlign w:val="bottom"/>
          </w:tcPr>
          <w:p>
            <w:pPr>
              <w:jc w:val="center"/>
              <w:ind w:right="1297"/>
              <w:spacing w:after="0" w:line="166" w:lineRule="exact"/>
              <w:rPr>
                <w:sz w:val="20"/>
                <w:szCs w:val="20"/>
                <w:color w:val="auto"/>
              </w:rPr>
            </w:pPr>
            <w:r>
              <w:rPr>
                <w:rFonts w:ascii="Arial" w:cs="Arial" w:eastAsia="Arial" w:hAnsi="Arial"/>
                <w:sz w:val="16"/>
                <w:szCs w:val="16"/>
                <w:color w:val="auto"/>
                <w:w w:val="92"/>
              </w:rPr>
              <w:t>(State or Other Jurisdiction</w:t>
            </w:r>
          </w:p>
        </w:tc>
        <w:tc>
          <w:tcPr>
            <w:tcW w:w="3380" w:type="dxa"/>
            <w:vAlign w:val="bottom"/>
          </w:tcPr>
          <w:p>
            <w:pPr>
              <w:jc w:val="center"/>
              <w:ind w:right="337"/>
              <w:spacing w:after="0" w:line="166" w:lineRule="exact"/>
              <w:rPr>
                <w:sz w:val="20"/>
                <w:szCs w:val="20"/>
                <w:color w:val="auto"/>
              </w:rPr>
            </w:pPr>
            <w:r>
              <w:rPr>
                <w:rFonts w:ascii="Arial" w:cs="Arial" w:eastAsia="Arial" w:hAnsi="Arial"/>
                <w:sz w:val="16"/>
                <w:szCs w:val="16"/>
                <w:color w:val="auto"/>
                <w:w w:val="94"/>
              </w:rPr>
              <w:t>(Commission</w:t>
            </w:r>
          </w:p>
        </w:tc>
        <w:tc>
          <w:tcPr>
            <w:tcW w:w="2380" w:type="dxa"/>
            <w:vAlign w:val="bottom"/>
          </w:tcPr>
          <w:p>
            <w:pPr>
              <w:jc w:val="center"/>
              <w:ind w:left="1117"/>
              <w:spacing w:after="0" w:line="166" w:lineRule="exact"/>
              <w:rPr>
                <w:sz w:val="20"/>
                <w:szCs w:val="20"/>
                <w:color w:val="auto"/>
              </w:rPr>
            </w:pPr>
            <w:r>
              <w:rPr>
                <w:rFonts w:ascii="Arial" w:cs="Arial" w:eastAsia="Arial" w:hAnsi="Arial"/>
                <w:sz w:val="16"/>
                <w:szCs w:val="16"/>
                <w:color w:val="auto"/>
                <w:w w:val="94"/>
              </w:rPr>
              <w:t>(IRS Employer</w:t>
            </w:r>
          </w:p>
        </w:tc>
      </w:tr>
      <w:tr>
        <w:trPr>
          <w:trHeight w:val="206"/>
        </w:trPr>
        <w:tc>
          <w:tcPr>
            <w:tcW w:w="3180" w:type="dxa"/>
            <w:vAlign w:val="bottom"/>
          </w:tcPr>
          <w:p>
            <w:pPr>
              <w:jc w:val="center"/>
              <w:ind w:right="1297"/>
              <w:spacing w:after="0"/>
              <w:rPr>
                <w:sz w:val="20"/>
                <w:szCs w:val="20"/>
                <w:color w:val="auto"/>
              </w:rPr>
            </w:pPr>
            <w:r>
              <w:rPr>
                <w:rFonts w:ascii="Arial" w:cs="Arial" w:eastAsia="Arial" w:hAnsi="Arial"/>
                <w:sz w:val="16"/>
                <w:szCs w:val="16"/>
                <w:color w:val="auto"/>
                <w:w w:val="96"/>
              </w:rPr>
              <w:t>of Incorporation)</w:t>
            </w:r>
          </w:p>
        </w:tc>
        <w:tc>
          <w:tcPr>
            <w:tcW w:w="3380" w:type="dxa"/>
            <w:vAlign w:val="bottom"/>
          </w:tcPr>
          <w:p>
            <w:pPr>
              <w:jc w:val="center"/>
              <w:ind w:right="337"/>
              <w:spacing w:after="0"/>
              <w:rPr>
                <w:sz w:val="20"/>
                <w:szCs w:val="20"/>
                <w:color w:val="auto"/>
              </w:rPr>
            </w:pPr>
            <w:r>
              <w:rPr>
                <w:rFonts w:ascii="Arial" w:cs="Arial" w:eastAsia="Arial" w:hAnsi="Arial"/>
                <w:sz w:val="16"/>
                <w:szCs w:val="16"/>
                <w:color w:val="auto"/>
                <w:w w:val="95"/>
              </w:rPr>
              <w:t>File Number)</w:t>
            </w:r>
          </w:p>
        </w:tc>
        <w:tc>
          <w:tcPr>
            <w:tcW w:w="2380" w:type="dxa"/>
            <w:vAlign w:val="bottom"/>
          </w:tcPr>
          <w:p>
            <w:pPr>
              <w:jc w:val="center"/>
              <w:ind w:left="1097"/>
              <w:spacing w:after="0"/>
              <w:rPr>
                <w:sz w:val="20"/>
                <w:szCs w:val="20"/>
                <w:color w:val="auto"/>
              </w:rPr>
            </w:pPr>
            <w:r>
              <w:rPr>
                <w:rFonts w:ascii="Arial" w:cs="Arial" w:eastAsia="Arial" w:hAnsi="Arial"/>
                <w:sz w:val="16"/>
                <w:szCs w:val="16"/>
                <w:color w:val="auto"/>
                <w:w w:val="96"/>
              </w:rPr>
              <w:t>Identification No.)</w:t>
            </w:r>
          </w:p>
        </w:tc>
      </w:tr>
      <w:tr>
        <w:trPr>
          <w:trHeight w:val="567"/>
        </w:trPr>
        <w:tc>
          <w:tcPr>
            <w:tcW w:w="3180" w:type="dxa"/>
            <w:vAlign w:val="bottom"/>
          </w:tcPr>
          <w:p>
            <w:pPr>
              <w:jc w:val="center"/>
              <w:ind w:right="537"/>
              <w:spacing w:after="0"/>
              <w:rPr>
                <w:sz w:val="20"/>
                <w:szCs w:val="20"/>
                <w:color w:val="auto"/>
              </w:rPr>
            </w:pPr>
            <w:r>
              <w:rPr>
                <w:rFonts w:ascii="Arial" w:cs="Arial" w:eastAsia="Arial" w:hAnsi="Arial"/>
                <w:sz w:val="16"/>
                <w:szCs w:val="16"/>
                <w:b w:val="1"/>
                <w:bCs w:val="1"/>
                <w:color w:val="auto"/>
                <w:w w:val="91"/>
              </w:rPr>
              <w:t>333 Bridge Street</w:t>
            </w:r>
          </w:p>
        </w:tc>
        <w:tc>
          <w:tcPr>
            <w:tcW w:w="3380" w:type="dxa"/>
            <w:vAlign w:val="bottom"/>
          </w:tcPr>
          <w:p>
            <w:pPr>
              <w:ind w:left="620"/>
              <w:spacing w:after="0"/>
              <w:rPr>
                <w:sz w:val="20"/>
                <w:szCs w:val="20"/>
                <w:color w:val="auto"/>
              </w:rPr>
            </w:pPr>
            <w:r>
              <w:rPr>
                <w:rFonts w:ascii="Arial" w:cs="Arial" w:eastAsia="Arial" w:hAnsi="Arial"/>
                <w:sz w:val="16"/>
                <w:szCs w:val="16"/>
                <w:b w:val="1"/>
                <w:bCs w:val="1"/>
                <w:color w:val="auto"/>
              </w:rPr>
              <w:t>Fairhaven, Massachusetts</w:t>
            </w:r>
          </w:p>
        </w:tc>
        <w:tc>
          <w:tcPr>
            <w:tcW w:w="2380" w:type="dxa"/>
            <w:vAlign w:val="bottom"/>
          </w:tcPr>
          <w:p>
            <w:pPr>
              <w:jc w:val="right"/>
              <w:ind w:right="777"/>
              <w:spacing w:after="0"/>
              <w:rPr>
                <w:sz w:val="20"/>
                <w:szCs w:val="20"/>
                <w:color w:val="auto"/>
              </w:rPr>
            </w:pPr>
            <w:r>
              <w:rPr>
                <w:rFonts w:ascii="Arial" w:cs="Arial" w:eastAsia="Arial" w:hAnsi="Arial"/>
                <w:sz w:val="16"/>
                <w:szCs w:val="16"/>
                <w:b w:val="1"/>
                <w:bCs w:val="1"/>
                <w:color w:val="auto"/>
              </w:rPr>
              <w:t>02719</w:t>
            </w:r>
          </w:p>
        </w:tc>
      </w:tr>
      <w:tr>
        <w:trPr>
          <w:trHeight w:val="216"/>
        </w:trPr>
        <w:tc>
          <w:tcPr>
            <w:tcW w:w="3180" w:type="dxa"/>
            <w:vAlign w:val="bottom"/>
          </w:tcPr>
          <w:p>
            <w:pPr>
              <w:jc w:val="center"/>
              <w:ind w:right="537"/>
              <w:spacing w:after="0"/>
              <w:rPr>
                <w:sz w:val="20"/>
                <w:szCs w:val="20"/>
                <w:color w:val="auto"/>
              </w:rPr>
            </w:pPr>
            <w:r>
              <w:rPr>
                <w:rFonts w:ascii="Arial" w:cs="Arial" w:eastAsia="Arial" w:hAnsi="Arial"/>
                <w:sz w:val="16"/>
                <w:szCs w:val="16"/>
                <w:color w:val="auto"/>
                <w:w w:val="93"/>
              </w:rPr>
              <w:t>(Address of principal executive offices)</w:t>
            </w:r>
          </w:p>
        </w:tc>
        <w:tc>
          <w:tcPr>
            <w:tcW w:w="3380" w:type="dxa"/>
            <w:vAlign w:val="bottom"/>
          </w:tcPr>
          <w:p>
            <w:pPr>
              <w:spacing w:after="0"/>
              <w:rPr>
                <w:sz w:val="18"/>
                <w:szCs w:val="18"/>
                <w:color w:val="auto"/>
              </w:rPr>
            </w:pPr>
          </w:p>
        </w:tc>
        <w:tc>
          <w:tcPr>
            <w:tcW w:w="2380" w:type="dxa"/>
            <w:vAlign w:val="bottom"/>
          </w:tcPr>
          <w:p>
            <w:pPr>
              <w:jc w:val="center"/>
              <w:ind w:left="177"/>
              <w:spacing w:after="0"/>
              <w:rPr>
                <w:sz w:val="20"/>
                <w:szCs w:val="20"/>
                <w:color w:val="auto"/>
              </w:rPr>
            </w:pPr>
            <w:r>
              <w:rPr>
                <w:rFonts w:ascii="Arial" w:cs="Arial" w:eastAsia="Arial" w:hAnsi="Arial"/>
                <w:sz w:val="16"/>
                <w:szCs w:val="16"/>
                <w:color w:val="auto"/>
                <w:w w:val="95"/>
              </w:rPr>
              <w:t>(Zip Code)</w:t>
            </w:r>
          </w:p>
        </w:tc>
      </w:tr>
    </w:tbl>
    <w:p>
      <w:pPr>
        <w:spacing w:after="0" w:line="3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(800) 225-8500</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ind w:right="6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9"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Exchange Act:</w:t>
      </w:r>
    </w:p>
    <w:p>
      <w:pPr>
        <w:spacing w:after="0" w:line="162" w:lineRule="exact"/>
        <w:rPr>
          <w:sz w:val="24"/>
          <w:szCs w:val="24"/>
          <w:color w:val="auto"/>
        </w:rPr>
      </w:pPr>
    </w:p>
    <w:tbl>
      <w:tblPr>
        <w:tblLayout w:type="fixed"/>
        <w:tblInd w:w="20" w:type="dxa"/>
        <w:tblCellMar>
          <w:top w:w="0" w:type="dxa"/>
          <w:left w:w="0" w:type="dxa"/>
          <w:bottom w:w="0" w:type="dxa"/>
          <w:right w:w="0" w:type="dxa"/>
        </w:tblCellMar>
      </w:tblPr>
      <w:tr>
        <w:trPr>
          <w:trHeight w:val="209"/>
        </w:trPr>
        <w:tc>
          <w:tcPr>
            <w:tcW w:w="4040" w:type="dxa"/>
            <w:vAlign w:val="bottom"/>
            <w:tcBorders>
              <w:bottom w:val="single" w:sz="8" w:color="auto"/>
            </w:tcBorders>
          </w:tcPr>
          <w:p>
            <w:pPr>
              <w:ind w:left="1440"/>
              <w:spacing w:after="0"/>
              <w:rPr>
                <w:sz w:val="20"/>
                <w:szCs w:val="20"/>
                <w:color w:val="auto"/>
              </w:rPr>
            </w:pPr>
            <w:r>
              <w:rPr>
                <w:rFonts w:ascii="Arial" w:cs="Arial" w:eastAsia="Arial" w:hAnsi="Arial"/>
                <w:sz w:val="16"/>
                <w:szCs w:val="16"/>
                <w:color w:val="auto"/>
              </w:rPr>
              <w:t>Title of each class</w:t>
            </w:r>
          </w:p>
        </w:tc>
        <w:tc>
          <w:tcPr>
            <w:tcW w:w="100" w:type="dxa"/>
            <w:vAlign w:val="bottom"/>
          </w:tcPr>
          <w:p>
            <w:pPr>
              <w:spacing w:after="0"/>
              <w:rPr>
                <w:sz w:val="18"/>
                <w:szCs w:val="18"/>
                <w:color w:val="auto"/>
              </w:rPr>
            </w:pPr>
          </w:p>
        </w:tc>
        <w:tc>
          <w:tcPr>
            <w:tcW w:w="27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3"/>
              </w:rPr>
              <w:t>Trading Symbol(s)</w:t>
            </w:r>
          </w:p>
        </w:tc>
        <w:tc>
          <w:tcPr>
            <w:tcW w:w="100" w:type="dxa"/>
            <w:vAlign w:val="bottom"/>
          </w:tcPr>
          <w:p>
            <w:pPr>
              <w:spacing w:after="0"/>
              <w:rPr>
                <w:sz w:val="18"/>
                <w:szCs w:val="18"/>
                <w:color w:val="auto"/>
              </w:rPr>
            </w:pPr>
          </w:p>
        </w:tc>
        <w:tc>
          <w:tcPr>
            <w:tcW w:w="42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0"/>
              </w:rPr>
              <w:t>Name of each exchange on which registered</w:t>
            </w:r>
          </w:p>
        </w:tc>
      </w:tr>
      <w:tr>
        <w:trPr>
          <w:trHeight w:val="207"/>
        </w:trPr>
        <w:tc>
          <w:tcPr>
            <w:tcW w:w="4140" w:type="dxa"/>
            <w:vAlign w:val="bottom"/>
            <w:gridSpan w:val="2"/>
          </w:tcPr>
          <w:p>
            <w:pPr>
              <w:ind w:left="20"/>
              <w:spacing w:after="0"/>
              <w:rPr>
                <w:sz w:val="20"/>
                <w:szCs w:val="20"/>
                <w:color w:val="auto"/>
              </w:rPr>
            </w:pPr>
            <w:r>
              <w:rPr>
                <w:rFonts w:ascii="Arial" w:cs="Arial" w:eastAsia="Arial" w:hAnsi="Arial"/>
                <w:sz w:val="16"/>
                <w:szCs w:val="16"/>
                <w:color w:val="auto"/>
              </w:rPr>
              <w:t>Common Stock - $0.001 par value per share</w:t>
            </w:r>
          </w:p>
        </w:tc>
        <w:tc>
          <w:tcPr>
            <w:tcW w:w="2860" w:type="dxa"/>
            <w:vAlign w:val="bottom"/>
            <w:gridSpan w:val="2"/>
          </w:tcPr>
          <w:p>
            <w:pPr>
              <w:jc w:val="center"/>
              <w:ind w:right="80"/>
              <w:spacing w:after="0"/>
              <w:rPr>
                <w:sz w:val="20"/>
                <w:szCs w:val="20"/>
                <w:color w:val="auto"/>
              </w:rPr>
            </w:pPr>
            <w:r>
              <w:rPr>
                <w:rFonts w:ascii="Arial" w:cs="Arial" w:eastAsia="Arial" w:hAnsi="Arial"/>
                <w:sz w:val="16"/>
                <w:szCs w:val="16"/>
                <w:color w:val="auto"/>
                <w:w w:val="96"/>
              </w:rPr>
              <w:t>GOLF</w:t>
            </w:r>
          </w:p>
        </w:tc>
        <w:tc>
          <w:tcPr>
            <w:tcW w:w="4200" w:type="dxa"/>
            <w:vAlign w:val="bottom"/>
          </w:tcPr>
          <w:p>
            <w:pPr>
              <w:jc w:val="center"/>
              <w:spacing w:after="0"/>
              <w:rPr>
                <w:sz w:val="20"/>
                <w:szCs w:val="20"/>
                <w:color w:val="auto"/>
              </w:rPr>
            </w:pPr>
            <w:r>
              <w:rPr>
                <w:rFonts w:ascii="Arial" w:cs="Arial" w:eastAsia="Arial" w:hAnsi="Arial"/>
                <w:sz w:val="16"/>
                <w:szCs w:val="16"/>
                <w:color w:val="auto"/>
                <w:w w:val="91"/>
              </w:rPr>
              <w:t>New York Stock Exchange</w:t>
            </w:r>
          </w:p>
        </w:tc>
      </w:tr>
    </w:tbl>
    <w:p>
      <w:pPr>
        <w:spacing w:after="0" w:line="194" w:lineRule="exact"/>
        <w:rPr>
          <w:sz w:val="24"/>
          <w:szCs w:val="24"/>
          <w:color w:val="auto"/>
        </w:rPr>
      </w:pPr>
    </w:p>
    <w:p>
      <w:pPr>
        <w:ind w:right="5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532130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057" w:right="35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ind w:right="140" w:firstLine="648"/>
        <w:spacing w:after="0" w:line="342" w:lineRule="auto"/>
        <w:rPr>
          <w:sz w:val="20"/>
          <w:szCs w:val="20"/>
          <w:color w:val="auto"/>
        </w:rPr>
      </w:pPr>
      <w:r>
        <w:rPr>
          <w:rFonts w:ascii="Arial" w:cs="Arial" w:eastAsia="Arial" w:hAnsi="Arial"/>
          <w:sz w:val="16"/>
          <w:szCs w:val="16"/>
          <w:color w:val="auto"/>
        </w:rPr>
        <w:t>On November 4, 2021, Acushnet Holdings Corp. (the “Company”) issued a press release announcing the Company’s results of operations for the third quarter and nine months ended September 30, 2021. A copy of the press release is attached to this Current Report on Form 8-K as Exhibit 99.1.</w:t>
      </w:r>
    </w:p>
    <w:p>
      <w:pPr>
        <w:spacing w:after="0" w:line="124"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information contained in this Current Report on Form 8-K and Exhibit 99.1 shall not be deemed “filed” for the purpose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20" w:type="dxa"/>
            <w:vAlign w:val="bottom"/>
            <w:gridSpan w:val="4"/>
          </w:tcPr>
          <w:p>
            <w:pPr>
              <w:jc w:val="center"/>
              <w:ind w:right="440"/>
              <w:spacing w:after="0"/>
              <w:rPr>
                <w:sz w:val="20"/>
                <w:szCs w:val="20"/>
                <w:color w:val="auto"/>
              </w:rPr>
            </w:pPr>
            <w:r>
              <w:rPr>
                <w:rFonts w:ascii="Arial" w:cs="Arial" w:eastAsia="Arial" w:hAnsi="Arial"/>
                <w:sz w:val="14"/>
                <w:szCs w:val="14"/>
                <w:b w:val="1"/>
                <w:bCs w:val="1"/>
                <w:color w:val="auto"/>
                <w:w w:val="98"/>
              </w:rPr>
              <w:t>Exhibit</w:t>
            </w:r>
          </w:p>
        </w:tc>
        <w:tc>
          <w:tcPr>
            <w:tcW w:w="2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8520" w:type="dxa"/>
            <w:vAlign w:val="bottom"/>
            <w:gridSpan w:val="3"/>
            <w:vMerge w:val="restart"/>
          </w:tcPr>
          <w:p>
            <w:pPr>
              <w:ind w:left="31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8"/>
        </w:trPr>
        <w:tc>
          <w:tcPr>
            <w:tcW w:w="240" w:type="dxa"/>
            <w:vAlign w:val="bottom"/>
          </w:tcPr>
          <w:p>
            <w:pPr>
              <w:spacing w:after="0"/>
              <w:rPr>
                <w:sz w:val="16"/>
                <w:szCs w:val="16"/>
                <w:color w:val="auto"/>
              </w:rPr>
            </w:pPr>
          </w:p>
        </w:tc>
        <w:tc>
          <w:tcPr>
            <w:tcW w:w="980" w:type="dxa"/>
            <w:vAlign w:val="bottom"/>
            <w:gridSpan w:val="3"/>
          </w:tcPr>
          <w:p>
            <w:pPr>
              <w:jc w:val="center"/>
              <w:ind w:right="680"/>
              <w:spacing w:after="0"/>
              <w:rPr>
                <w:sz w:val="20"/>
                <w:szCs w:val="20"/>
                <w:color w:val="auto"/>
              </w:rPr>
            </w:pPr>
            <w:r>
              <w:rPr>
                <w:rFonts w:ascii="Arial" w:cs="Arial" w:eastAsia="Arial" w:hAnsi="Arial"/>
                <w:sz w:val="14"/>
                <w:szCs w:val="14"/>
                <w:b w:val="1"/>
                <w:bCs w:val="1"/>
                <w:color w:val="auto"/>
                <w:w w:val="97"/>
              </w:rPr>
              <w:t>No.</w:t>
            </w:r>
          </w:p>
        </w:tc>
        <w:tc>
          <w:tcPr>
            <w:tcW w:w="2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852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24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44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1480" w:type="dxa"/>
            <w:vAlign w:val="bottom"/>
            <w:tcBorders>
              <w:top w:val="single" w:sz="8" w:color="auto"/>
            </w:tcBorders>
          </w:tcPr>
          <w:p>
            <w:pPr>
              <w:spacing w:after="0"/>
              <w:rPr>
                <w:sz w:val="17"/>
                <w:szCs w:val="17"/>
                <w:color w:val="auto"/>
              </w:rPr>
            </w:pPr>
          </w:p>
        </w:tc>
        <w:tc>
          <w:tcPr>
            <w:tcW w:w="796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780" w:type="dxa"/>
            <w:vAlign w:val="bottom"/>
            <w:gridSpan w:val="3"/>
            <w:shd w:val="clear" w:color="auto" w:fill="CCEEFF"/>
          </w:tcPr>
          <w:p>
            <w:pPr>
              <w:jc w:val="center"/>
              <w:ind w:right="200"/>
              <w:spacing w:after="0" w:line="189" w:lineRule="exact"/>
              <w:rPr>
                <w:rFonts w:ascii="Arial" w:cs="Arial" w:eastAsia="Arial" w:hAnsi="Arial"/>
                <w:sz w:val="18"/>
                <w:szCs w:val="18"/>
                <w:color w:val="0000FF"/>
              </w:rPr>
            </w:pPr>
            <w:hyperlink w:anchor="page4">
              <w:r>
                <w:rPr>
                  <w:rFonts w:ascii="Arial" w:cs="Arial" w:eastAsia="Arial" w:hAnsi="Arial"/>
                  <w:sz w:val="18"/>
                  <w:szCs w:val="18"/>
                  <w:color w:val="0000FF"/>
                </w:rPr>
                <w:t>99.</w:t>
              </w:r>
              <w:r>
                <w:rPr>
                  <w:rFonts w:ascii="Arial" w:cs="Arial" w:eastAsia="Arial" w:hAnsi="Arial"/>
                  <w:sz w:val="18"/>
                  <w:szCs w:val="18"/>
                  <w:u w:val="single" w:color="auto"/>
                  <w:color w:val="0000FF"/>
                </w:rPr>
                <w:t>1</w:t>
              </w:r>
            </w:hyperlink>
          </w:p>
        </w:tc>
        <w:tc>
          <w:tcPr>
            <w:tcW w:w="4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9980" w:type="dxa"/>
            <w:vAlign w:val="bottom"/>
            <w:gridSpan w:val="3"/>
            <w:shd w:val="clear" w:color="auto" w:fill="CCEEFF"/>
          </w:tcPr>
          <w:p>
            <w:pPr>
              <w:spacing w:after="0" w:line="189" w:lineRule="exact"/>
              <w:rPr>
                <w:rFonts w:ascii="Arial" w:cs="Arial" w:eastAsia="Arial" w:hAnsi="Arial"/>
                <w:sz w:val="18"/>
                <w:szCs w:val="18"/>
                <w:color w:val="0000FF"/>
                <w:w w:val="94"/>
              </w:rPr>
            </w:pPr>
            <w:hyperlink w:anchor="page4">
              <w:r>
                <w:rPr>
                  <w:rFonts w:ascii="Arial" w:cs="Arial" w:eastAsia="Arial" w:hAnsi="Arial"/>
                  <w:sz w:val="18"/>
                  <w:szCs w:val="18"/>
                  <w:color w:val="0000FF"/>
                  <w:w w:val="94"/>
                </w:rPr>
                <w:t>Press release of Acushnet Holdings Corp. dated November 4, 2021, announcing results for the third quarter and nine months ended</w:t>
              </w:r>
            </w:hyperlink>
          </w:p>
        </w:tc>
        <w:tc>
          <w:tcPr>
            <w:tcW w:w="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76"/>
        </w:trPr>
        <w:tc>
          <w:tcPr>
            <w:tcW w:w="240" w:type="dxa"/>
            <w:vAlign w:val="bottom"/>
            <w:tcBorders>
              <w:top w:val="single" w:sz="8" w:color="CCEEFF"/>
            </w:tcBorders>
            <w:shd w:val="clear" w:color="auto" w:fill="CCEEFF"/>
          </w:tcPr>
          <w:p>
            <w:pPr>
              <w:spacing w:after="0"/>
              <w:rPr>
                <w:sz w:val="15"/>
                <w:szCs w:val="15"/>
                <w:color w:val="auto"/>
              </w:rPr>
            </w:pPr>
          </w:p>
        </w:tc>
        <w:tc>
          <w:tcPr>
            <w:tcW w:w="320" w:type="dxa"/>
            <w:vAlign w:val="bottom"/>
            <w:tcBorders>
              <w:top w:val="single" w:sz="8" w:color="0000FF"/>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44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9440" w:type="dxa"/>
            <w:vAlign w:val="bottom"/>
            <w:tcBorders>
              <w:top w:val="single" w:sz="8" w:color="0000FF"/>
            </w:tcBorders>
            <w:gridSpan w:val="2"/>
            <w:shd w:val="clear" w:color="auto" w:fill="CCEEFF"/>
          </w:tcPr>
          <w:p>
            <w:pPr>
              <w:spacing w:after="0" w:line="156" w:lineRule="exact"/>
              <w:rPr>
                <w:rFonts w:ascii="Arial" w:cs="Arial" w:eastAsia="Arial" w:hAnsi="Arial"/>
                <w:sz w:val="18"/>
                <w:szCs w:val="18"/>
                <w:color w:val="0000FF"/>
              </w:rPr>
            </w:pPr>
            <w:hyperlink w:anchor="page4">
              <w:r>
                <w:rPr>
                  <w:rFonts w:ascii="Arial" w:cs="Arial" w:eastAsia="Arial" w:hAnsi="Arial"/>
                  <w:sz w:val="18"/>
                  <w:szCs w:val="18"/>
                  <w:color w:val="0000FF"/>
                </w:rPr>
                <w:t>September 30, 2021.</w:t>
              </w:r>
            </w:hyperlink>
          </w:p>
        </w:tc>
        <w:tc>
          <w:tcPr>
            <w:tcW w:w="540" w:type="dxa"/>
            <w:vAlign w:val="bottom"/>
            <w:tcBorders>
              <w:top w:val="single" w:sz="8" w:color="CCEEFF"/>
            </w:tcBorders>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0"/>
        </w:trPr>
        <w:tc>
          <w:tcPr>
            <w:tcW w:w="240" w:type="dxa"/>
            <w:vAlign w:val="bottom"/>
            <w:tcBorders>
              <w:top w:val="single" w:sz="8" w:color="CCEEFF"/>
            </w:tcBorders>
          </w:tcPr>
          <w:p>
            <w:pPr>
              <w:spacing w:after="0"/>
              <w:rPr>
                <w:sz w:val="23"/>
                <w:szCs w:val="23"/>
                <w:color w:val="auto"/>
              </w:rPr>
            </w:pPr>
          </w:p>
        </w:tc>
        <w:tc>
          <w:tcPr>
            <w:tcW w:w="320" w:type="dxa"/>
            <w:vAlign w:val="bottom"/>
            <w:tcBorders>
              <w:top w:val="single" w:sz="8" w:color="CCEEFF"/>
            </w:tcBorders>
          </w:tcPr>
          <w:p>
            <w:pPr>
              <w:spacing w:after="0"/>
              <w:rPr>
                <w:sz w:val="23"/>
                <w:szCs w:val="23"/>
                <w:color w:val="auto"/>
              </w:rPr>
            </w:pPr>
          </w:p>
        </w:tc>
        <w:tc>
          <w:tcPr>
            <w:tcW w:w="220" w:type="dxa"/>
            <w:vAlign w:val="bottom"/>
            <w:tcBorders>
              <w:top w:val="single" w:sz="8" w:color="CCEEFF"/>
            </w:tcBorders>
          </w:tcPr>
          <w:p>
            <w:pPr>
              <w:spacing w:after="0"/>
              <w:rPr>
                <w:sz w:val="23"/>
                <w:szCs w:val="23"/>
                <w:color w:val="auto"/>
              </w:rPr>
            </w:pPr>
          </w:p>
        </w:tc>
        <w:tc>
          <w:tcPr>
            <w:tcW w:w="440" w:type="dxa"/>
            <w:vAlign w:val="bottom"/>
            <w:tcBorders>
              <w:top w:val="single" w:sz="8" w:color="CCEEFF"/>
            </w:tcBorders>
          </w:tcPr>
          <w:p>
            <w:pPr>
              <w:spacing w:after="0"/>
              <w:rPr>
                <w:sz w:val="23"/>
                <w:szCs w:val="23"/>
                <w:color w:val="auto"/>
              </w:rPr>
            </w:pPr>
          </w:p>
        </w:tc>
        <w:tc>
          <w:tcPr>
            <w:tcW w:w="20" w:type="dxa"/>
            <w:vAlign w:val="bottom"/>
            <w:tcBorders>
              <w:top w:val="single" w:sz="8" w:color="CCEEFF"/>
            </w:tcBorders>
          </w:tcPr>
          <w:p>
            <w:pPr>
              <w:spacing w:after="0"/>
              <w:rPr>
                <w:sz w:val="23"/>
                <w:szCs w:val="23"/>
                <w:color w:val="auto"/>
              </w:rPr>
            </w:pPr>
          </w:p>
        </w:tc>
        <w:tc>
          <w:tcPr>
            <w:tcW w:w="1480" w:type="dxa"/>
            <w:vAlign w:val="bottom"/>
            <w:tcBorders>
              <w:top w:val="single" w:sz="8" w:color="0000FF"/>
            </w:tcBorders>
          </w:tcPr>
          <w:p>
            <w:pPr>
              <w:spacing w:after="0"/>
              <w:rPr>
                <w:sz w:val="23"/>
                <w:szCs w:val="23"/>
                <w:color w:val="auto"/>
              </w:rPr>
            </w:pPr>
          </w:p>
        </w:tc>
        <w:tc>
          <w:tcPr>
            <w:tcW w:w="7960" w:type="dxa"/>
            <w:vAlign w:val="bottom"/>
            <w:tcBorders>
              <w:top w:val="single" w:sz="8" w:color="CCEEFF"/>
            </w:tcBorders>
          </w:tcPr>
          <w:p>
            <w:pPr>
              <w:spacing w:after="0"/>
              <w:rPr>
                <w:sz w:val="23"/>
                <w:szCs w:val="23"/>
                <w:color w:val="auto"/>
              </w:rPr>
            </w:pPr>
          </w:p>
        </w:tc>
        <w:tc>
          <w:tcPr>
            <w:tcW w:w="540" w:type="dxa"/>
            <w:vAlign w:val="bottom"/>
            <w:tcBorders>
              <w:top w:val="single" w:sz="8" w:color="CCEEFF"/>
            </w:tcBorders>
          </w:tcPr>
          <w:p>
            <w:pPr>
              <w:spacing w:after="0"/>
              <w:rPr>
                <w:sz w:val="23"/>
                <w:szCs w:val="23"/>
                <w:color w:val="auto"/>
              </w:rPr>
            </w:pPr>
          </w:p>
        </w:tc>
        <w:tc>
          <w:tcPr>
            <w:tcW w:w="20" w:type="dxa"/>
            <w:vAlign w:val="bottom"/>
            <w:vMerge w:val="restart"/>
          </w:tcPr>
          <w:p>
            <w:pPr>
              <w:spacing w:after="0"/>
              <w:rPr>
                <w:sz w:val="23"/>
                <w:szCs w:val="23"/>
                <w:color w:val="auto"/>
              </w:rPr>
            </w:pPr>
          </w:p>
        </w:tc>
        <w:tc>
          <w:tcPr>
            <w:tcW w:w="0" w:type="dxa"/>
            <w:vAlign w:val="bottom"/>
          </w:tcPr>
          <w:p>
            <w:pPr>
              <w:spacing w:after="0"/>
              <w:rPr>
                <w:sz w:val="1"/>
                <w:szCs w:val="1"/>
                <w:color w:val="auto"/>
              </w:rPr>
            </w:pPr>
          </w:p>
        </w:tc>
      </w:tr>
      <w:tr>
        <w:trPr>
          <w:trHeight w:val="229"/>
        </w:trPr>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2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9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Cover Page Interactive Data File - the cover page XBRL tags are embedded within the Inline XBRL document.</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966"/>
        </w:trPr>
        <w:tc>
          <w:tcPr>
            <w:tcW w:w="24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480" w:type="dxa"/>
            <w:vAlign w:val="bottom"/>
            <w:tcBorders>
              <w:bottom w:val="single" w:sz="8" w:color="9A9A9A"/>
            </w:tcBorders>
          </w:tcPr>
          <w:p>
            <w:pPr>
              <w:spacing w:after="0"/>
              <w:rPr>
                <w:sz w:val="24"/>
                <w:szCs w:val="24"/>
                <w:color w:val="auto"/>
              </w:rPr>
            </w:pPr>
          </w:p>
        </w:tc>
        <w:tc>
          <w:tcPr>
            <w:tcW w:w="7960" w:type="dxa"/>
            <w:vAlign w:val="bottom"/>
            <w:tcBorders>
              <w:bottom w:val="single" w:sz="8" w:color="9A9A9A"/>
            </w:tcBorders>
          </w:tcPr>
          <w:p>
            <w:pPr>
              <w:spacing w:after="0"/>
              <w:rPr>
                <w:sz w:val="24"/>
                <w:szCs w:val="24"/>
                <w:color w:val="auto"/>
              </w:rPr>
            </w:pPr>
          </w:p>
        </w:tc>
        <w:tc>
          <w:tcPr>
            <w:tcW w:w="5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760" w:firstLine="18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05"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ACUSHNET HOLDINGS CORP.</w:t>
      </w:r>
    </w:p>
    <w:p>
      <w:pPr>
        <w:spacing w:after="0" w:line="279" w:lineRule="exact"/>
        <w:rPr>
          <w:sz w:val="20"/>
          <w:szCs w:val="20"/>
          <w:color w:val="auto"/>
        </w:rPr>
      </w:pPr>
    </w:p>
    <w:tbl>
      <w:tblPr>
        <w:tblLayout w:type="fixed"/>
        <w:tblInd w:w="584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5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Thomas Pacheco</w:t>
            </w:r>
          </w:p>
        </w:tc>
      </w:tr>
      <w:tr>
        <w:trPr>
          <w:trHeight w:val="222"/>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520" w:type="dxa"/>
            <w:vAlign w:val="bottom"/>
          </w:tcPr>
          <w:p>
            <w:pPr>
              <w:spacing w:after="0"/>
              <w:rPr>
                <w:sz w:val="20"/>
                <w:szCs w:val="20"/>
                <w:color w:val="auto"/>
              </w:rPr>
            </w:pPr>
            <w:r>
              <w:rPr>
                <w:rFonts w:ascii="Arial" w:cs="Arial" w:eastAsia="Arial" w:hAnsi="Arial"/>
                <w:sz w:val="18"/>
                <w:szCs w:val="18"/>
                <w:color w:val="auto"/>
              </w:rPr>
              <w:t>Thomas Pacheco</w:t>
            </w:r>
          </w:p>
        </w:tc>
      </w:tr>
      <w:tr>
        <w:trPr>
          <w:trHeight w:val="176"/>
        </w:trPr>
        <w:tc>
          <w:tcPr>
            <w:tcW w:w="860" w:type="dxa"/>
            <w:vAlign w:val="bottom"/>
          </w:tcPr>
          <w:p>
            <w:pPr>
              <w:spacing w:after="0" w:line="176" w:lineRule="exact"/>
              <w:rPr>
                <w:sz w:val="20"/>
                <w:szCs w:val="20"/>
                <w:color w:val="auto"/>
              </w:rPr>
            </w:pPr>
            <w:r>
              <w:rPr>
                <w:rFonts w:ascii="Arial" w:cs="Arial" w:eastAsia="Arial" w:hAnsi="Arial"/>
                <w:sz w:val="18"/>
                <w:szCs w:val="18"/>
                <w:color w:val="auto"/>
              </w:rPr>
              <w:t>Title:</w:t>
            </w:r>
          </w:p>
        </w:tc>
        <w:tc>
          <w:tcPr>
            <w:tcW w:w="4520" w:type="dxa"/>
            <w:vAlign w:val="bottom"/>
          </w:tcPr>
          <w:p>
            <w:pPr>
              <w:spacing w:after="0" w:line="176" w:lineRule="exact"/>
              <w:rPr>
                <w:sz w:val="20"/>
                <w:szCs w:val="20"/>
                <w:color w:val="auto"/>
              </w:rPr>
            </w:pPr>
            <w:r>
              <w:rPr>
                <w:rFonts w:ascii="Arial" w:cs="Arial" w:eastAsia="Arial" w:hAnsi="Arial"/>
                <w:sz w:val="18"/>
                <w:szCs w:val="18"/>
                <w:color w:val="auto"/>
                <w:w w:val="96"/>
              </w:rPr>
              <w:t>Executive Vice President, Chief Financial Officer and Chief</w:t>
            </w:r>
          </w:p>
        </w:tc>
      </w:tr>
      <w:tr>
        <w:trPr>
          <w:trHeight w:val="230"/>
        </w:trPr>
        <w:tc>
          <w:tcPr>
            <w:tcW w:w="860" w:type="dxa"/>
            <w:vAlign w:val="bottom"/>
          </w:tcPr>
          <w:p>
            <w:pPr>
              <w:spacing w:after="0"/>
              <w:rPr>
                <w:sz w:val="20"/>
                <w:szCs w:val="20"/>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Accounting Officer</w:t>
            </w:r>
          </w:p>
        </w:tc>
      </w:tr>
    </w:tbl>
    <w:p>
      <w:pPr>
        <w:spacing w:after="0" w:line="322"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2021</w:t>
      </w:r>
    </w:p>
    <w:p>
      <w:pPr>
        <w:sectPr>
          <w:pgSz w:w="11900" w:h="16838" w:orient="portrait"/>
          <w:cols w:equalWidth="0" w:num="1">
            <w:col w:w="11220"/>
          </w:cols>
          <w:pgMar w:left="320" w:top="891" w:right="35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Acushnet Holdings Corp. Announces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Third Quarter and Year-to-Date 2021 Financial Results</w:t>
      </w: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Third Quarter and Year-to-Date 2021 Financial Results</w:t>
      </w:r>
    </w:p>
    <w:p>
      <w:pPr>
        <w:spacing w:after="0" w:line="220" w:lineRule="exact"/>
        <w:rPr>
          <w:sz w:val="20"/>
          <w:szCs w:val="20"/>
          <w:color w:val="auto"/>
        </w:rPr>
      </w:pPr>
    </w:p>
    <w:p>
      <w:pPr>
        <w:ind w:left="660" w:right="280" w:hanging="328"/>
        <w:spacing w:after="0" w:line="263" w:lineRule="auto"/>
        <w:tabs>
          <w:tab w:leader="none" w:pos="655" w:val="left"/>
        </w:tabs>
        <w:numPr>
          <w:ilvl w:val="0"/>
          <w:numId w:val="2"/>
        </w:numPr>
        <w:rPr>
          <w:rFonts w:ascii="Arial" w:cs="Arial" w:eastAsia="Arial" w:hAnsi="Arial"/>
          <w:sz w:val="22"/>
          <w:szCs w:val="22"/>
          <w:b w:val="1"/>
          <w:bCs w:val="1"/>
          <w:i w:val="1"/>
          <w:iCs w:val="1"/>
          <w:color w:val="auto"/>
        </w:rPr>
      </w:pPr>
      <w:r>
        <w:rPr>
          <w:rFonts w:ascii="Arial" w:cs="Arial" w:eastAsia="Arial" w:hAnsi="Arial"/>
          <w:sz w:val="22"/>
          <w:szCs w:val="22"/>
          <w:color w:val="auto"/>
        </w:rPr>
        <w:t>Third quarter net sales of $521.6 million, up 8.0% year over year, up 7.0% in constant currency; up 25.0% compared to 2019</w:t>
      </w:r>
    </w:p>
    <w:p>
      <w:pPr>
        <w:spacing w:after="0" w:line="174" w:lineRule="exact"/>
        <w:rPr>
          <w:rFonts w:ascii="Arial" w:cs="Arial" w:eastAsia="Arial" w:hAnsi="Arial"/>
          <w:sz w:val="22"/>
          <w:szCs w:val="22"/>
          <w:b w:val="1"/>
          <w:bCs w:val="1"/>
          <w:i w:val="1"/>
          <w:iCs w:val="1"/>
          <w:color w:val="auto"/>
        </w:rPr>
      </w:pPr>
    </w:p>
    <w:p>
      <w:pPr>
        <w:ind w:left="660" w:right="200" w:hanging="328"/>
        <w:spacing w:after="0" w:line="263" w:lineRule="auto"/>
        <w:tabs>
          <w:tab w:leader="none" w:pos="655" w:val="left"/>
        </w:tabs>
        <w:numPr>
          <w:ilvl w:val="0"/>
          <w:numId w:val="2"/>
        </w:numPr>
        <w:rPr>
          <w:rFonts w:ascii="Arial" w:cs="Arial" w:eastAsia="Arial" w:hAnsi="Arial"/>
          <w:sz w:val="22"/>
          <w:szCs w:val="22"/>
          <w:b w:val="1"/>
          <w:bCs w:val="1"/>
          <w:i w:val="1"/>
          <w:iCs w:val="1"/>
          <w:color w:val="auto"/>
        </w:rPr>
      </w:pPr>
      <w:r>
        <w:rPr>
          <w:rFonts w:ascii="Arial" w:cs="Arial" w:eastAsia="Arial" w:hAnsi="Arial"/>
          <w:sz w:val="22"/>
          <w:szCs w:val="22"/>
          <w:color w:val="auto"/>
        </w:rPr>
        <w:t>Year-to-date net sales of $1,727.4 million, up 45.0% year over year, up 40.9% in constant currency; up 31.6% compared to 2019</w:t>
      </w:r>
    </w:p>
    <w:p>
      <w:pPr>
        <w:spacing w:after="0" w:line="174" w:lineRule="exact"/>
        <w:rPr>
          <w:rFonts w:ascii="Arial" w:cs="Arial" w:eastAsia="Arial" w:hAnsi="Arial"/>
          <w:sz w:val="22"/>
          <w:szCs w:val="22"/>
          <w:b w:val="1"/>
          <w:bCs w:val="1"/>
          <w:i w:val="1"/>
          <w:iCs w:val="1"/>
          <w:color w:val="auto"/>
        </w:rPr>
      </w:pPr>
    </w:p>
    <w:p>
      <w:pPr>
        <w:ind w:left="660" w:right="40" w:hanging="328"/>
        <w:spacing w:after="0" w:line="263" w:lineRule="auto"/>
        <w:tabs>
          <w:tab w:leader="none" w:pos="655"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Third quarter net income attributable to Acushnet Holdings Corp. of $39.3 million, down $23.9 million year over year; up $9.5 million compared to 2019</w:t>
      </w:r>
    </w:p>
    <w:p>
      <w:pPr>
        <w:spacing w:after="0" w:line="174" w:lineRule="exact"/>
        <w:rPr>
          <w:rFonts w:ascii="Arial" w:cs="Arial" w:eastAsia="Arial" w:hAnsi="Arial"/>
          <w:sz w:val="22"/>
          <w:szCs w:val="22"/>
          <w:color w:val="auto"/>
        </w:rPr>
      </w:pPr>
    </w:p>
    <w:p>
      <w:pPr>
        <w:ind w:left="660" w:right="180" w:hanging="328"/>
        <w:spacing w:after="0" w:line="263" w:lineRule="auto"/>
        <w:tabs>
          <w:tab w:leader="none" w:pos="655" w:val="left"/>
        </w:tabs>
        <w:numPr>
          <w:ilvl w:val="0"/>
          <w:numId w:val="2"/>
        </w:numPr>
        <w:rPr>
          <w:rFonts w:ascii="Arial" w:cs="Arial" w:eastAsia="Arial" w:hAnsi="Arial"/>
          <w:sz w:val="22"/>
          <w:szCs w:val="22"/>
          <w:color w:val="auto"/>
        </w:rPr>
      </w:pPr>
      <w:r>
        <w:rPr>
          <w:rFonts w:ascii="Arial" w:cs="Arial" w:eastAsia="Arial" w:hAnsi="Arial"/>
          <w:sz w:val="22"/>
          <w:szCs w:val="22"/>
          <w:color w:val="auto"/>
        </w:rPr>
        <w:t>Year-to-date net income attributable to Acushnet Holdings Corp. of $205.3 million, up $130.9 million year over year; up $102.1 million compared to 2019</w:t>
      </w:r>
    </w:p>
    <w:p>
      <w:pPr>
        <w:spacing w:after="0" w:line="174"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Third quarter Adjusted EBITDA of $70.3 million, down 29.1% year over year; up 26.0% compared to 2019</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Year-to-date Adjusted EBITDA of $333.3 million, up 80.1% year over year; up 70.4% compared to 2019</w:t>
      </w:r>
    </w:p>
    <w:p>
      <w:pPr>
        <w:spacing w:after="0" w:line="219"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Share repurchase program authorization increased by $100.0 million in October</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right="220"/>
        <w:spacing w:after="0" w:line="256" w:lineRule="auto"/>
        <w:rPr>
          <w:sz w:val="20"/>
          <w:szCs w:val="20"/>
          <w:color w:val="auto"/>
        </w:rPr>
      </w:pPr>
      <w:r>
        <w:rPr>
          <w:rFonts w:ascii="Arial" w:cs="Arial" w:eastAsia="Arial" w:hAnsi="Arial"/>
          <w:sz w:val="22"/>
          <w:szCs w:val="22"/>
          <w:b w:val="1"/>
          <w:bCs w:val="1"/>
          <w:color w:val="auto"/>
        </w:rPr>
        <w:t xml:space="preserve">FAIRHAVEN, MA – November 4, 2021 </w:t>
      </w:r>
      <w:r>
        <w:rPr>
          <w:rFonts w:ascii="Arial" w:cs="Arial" w:eastAsia="Arial" w:hAnsi="Arial"/>
          <w:sz w:val="22"/>
          <w:szCs w:val="22"/>
          <w:color w:val="auto"/>
        </w:rPr>
        <w:t>– Acushnet Holdings Corp. (NYSE: GOLF) ("Acushnet"), a global leader in the</w:t>
      </w:r>
      <w:r>
        <w:rPr>
          <w:rFonts w:ascii="Arial" w:cs="Arial" w:eastAsia="Arial" w:hAnsi="Arial"/>
          <w:sz w:val="22"/>
          <w:szCs w:val="22"/>
          <w:b w:val="1"/>
          <w:bCs w:val="1"/>
          <w:color w:val="auto"/>
        </w:rPr>
        <w:t xml:space="preserve"> </w:t>
      </w:r>
      <w:r>
        <w:rPr>
          <w:rFonts w:ascii="Arial" w:cs="Arial" w:eastAsia="Arial" w:hAnsi="Arial"/>
          <w:sz w:val="22"/>
          <w:szCs w:val="22"/>
          <w:color w:val="auto"/>
        </w:rPr>
        <w:t>design, development, manufacture and distribution of performance-driven golf products, today reported financial results for the three and nine months ended September 30, 2021.</w:t>
      </w:r>
    </w:p>
    <w:p>
      <w:pPr>
        <w:spacing w:after="0" w:line="169" w:lineRule="exact"/>
        <w:rPr>
          <w:sz w:val="20"/>
          <w:szCs w:val="20"/>
          <w:color w:val="auto"/>
        </w:rPr>
      </w:pPr>
    </w:p>
    <w:p>
      <w:pPr>
        <w:ind w:right="20"/>
        <w:spacing w:after="0" w:line="231" w:lineRule="auto"/>
        <w:rPr>
          <w:sz w:val="20"/>
          <w:szCs w:val="20"/>
          <w:color w:val="auto"/>
        </w:rPr>
      </w:pPr>
      <w:r>
        <w:rPr>
          <w:rFonts w:ascii="Arial" w:cs="Arial" w:eastAsia="Arial" w:hAnsi="Arial"/>
          <w:sz w:val="22"/>
          <w:szCs w:val="22"/>
          <w:color w:val="auto"/>
        </w:rPr>
        <w:t>“The company delivered a strong third quarter performance, with sales growth versus both last year and pre-pandemic 2019 levels, despite being constrained by supply chain disruptions across all of our segments,” said David Maher, Acushnet’s President and Chief Executive Officer.</w:t>
      </w:r>
    </w:p>
    <w:p>
      <w:pPr>
        <w:spacing w:after="0" w:line="201" w:lineRule="exact"/>
        <w:rPr>
          <w:sz w:val="20"/>
          <w:szCs w:val="20"/>
          <w:color w:val="auto"/>
        </w:rPr>
      </w:pPr>
    </w:p>
    <w:p>
      <w:pPr>
        <w:ind w:right="60"/>
        <w:spacing w:after="0" w:line="239" w:lineRule="auto"/>
        <w:rPr>
          <w:sz w:val="20"/>
          <w:szCs w:val="20"/>
          <w:color w:val="auto"/>
        </w:rPr>
      </w:pPr>
      <w:r>
        <w:rPr>
          <w:rFonts w:ascii="Arial" w:cs="Arial" w:eastAsia="Arial" w:hAnsi="Arial"/>
          <w:sz w:val="21"/>
          <w:szCs w:val="21"/>
          <w:color w:val="auto"/>
        </w:rPr>
        <w:t>Maher continued, “Our golf ball segment performed well against difficult year-over-year comparisons with robust demand across all models and markets. Double digit growth in our Titleist club and FootJoy golf wear segments were fueled by our next generation T-Series irons, continued success of our TSi metals and innovative new FootJoy footwear and apparel products. Our KJUS golf business continues to flourish both in the United States and Europe.</w:t>
      </w:r>
    </w:p>
    <w:p>
      <w:pPr>
        <w:spacing w:after="0" w:line="199" w:lineRule="exact"/>
        <w:rPr>
          <w:sz w:val="20"/>
          <w:szCs w:val="20"/>
          <w:color w:val="auto"/>
        </w:rPr>
      </w:pPr>
    </w:p>
    <w:p>
      <w:pPr>
        <w:jc w:val="both"/>
        <w:ind w:right="340"/>
        <w:spacing w:after="0" w:line="282" w:lineRule="auto"/>
        <w:rPr>
          <w:sz w:val="20"/>
          <w:szCs w:val="20"/>
          <w:color w:val="auto"/>
        </w:rPr>
      </w:pPr>
      <w:r>
        <w:rPr>
          <w:rFonts w:ascii="Arial" w:cs="Arial" w:eastAsia="Arial" w:hAnsi="Arial"/>
          <w:sz w:val="19"/>
          <w:szCs w:val="19"/>
          <w:color w:val="auto"/>
        </w:rPr>
        <w:t>“Looking ahead, we anticipate supply chain disruptions to continue throughout the fourth quarter and into 2022. Despite these challenges, we are raising our full-year 2021 guidance. We remain committed to rewarding shareholders through our dividend program and today announced the expansion of our existing $100 million share repurchase program to $200 million.</w:t>
      </w:r>
    </w:p>
    <w:p>
      <w:pPr>
        <w:spacing w:after="0" w:line="161" w:lineRule="exact"/>
        <w:rPr>
          <w:sz w:val="20"/>
          <w:szCs w:val="20"/>
          <w:color w:val="auto"/>
        </w:rPr>
      </w:pPr>
    </w:p>
    <w:p>
      <w:pPr>
        <w:jc w:val="both"/>
        <w:ind w:right="340"/>
        <w:spacing w:after="0" w:line="260" w:lineRule="auto"/>
        <w:rPr>
          <w:sz w:val="20"/>
          <w:szCs w:val="20"/>
          <w:color w:val="auto"/>
        </w:rPr>
      </w:pPr>
      <w:r>
        <w:rPr>
          <w:rFonts w:ascii="Arial" w:cs="Arial" w:eastAsia="Arial" w:hAnsi="Arial"/>
          <w:sz w:val="21"/>
          <w:szCs w:val="21"/>
          <w:color w:val="auto"/>
        </w:rPr>
        <w:t>I am proud of my fellow associates who continue to navigate a complex and dynamic supply chain environment and rise up to these near-term challenges while most importantly keeping our long-term strategies their top priority.”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240"/>
          </w:cols>
          <w:pgMar w:left="320" w:top="1255" w:right="339" w:bottom="1440"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Summary of Third Quarter 2021 Financial Results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2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91"/>
              </w:rPr>
              <w:t>Three months ended</w:t>
            </w:r>
          </w:p>
        </w:tc>
        <w:tc>
          <w:tcPr>
            <w:tcW w:w="120" w:type="dxa"/>
            <w:vAlign w:val="bottom"/>
          </w:tcPr>
          <w:p>
            <w:pPr>
              <w:spacing w:after="0"/>
              <w:rPr>
                <w:sz w:val="14"/>
                <w:szCs w:val="14"/>
                <w:color w:val="auto"/>
              </w:rPr>
            </w:pPr>
          </w:p>
        </w:tc>
        <w:tc>
          <w:tcPr>
            <w:tcW w:w="1840" w:type="dxa"/>
            <w:vAlign w:val="bottom"/>
            <w:gridSpan w:val="4"/>
            <w:vMerge w:val="restart"/>
          </w:tcPr>
          <w:p>
            <w:pPr>
              <w:ind w:left="200"/>
              <w:spacing w:after="0"/>
              <w:rPr>
                <w:sz w:val="20"/>
                <w:szCs w:val="20"/>
                <w:color w:val="auto"/>
              </w:rPr>
            </w:pPr>
            <w:r>
              <w:rPr>
                <w:rFonts w:ascii="Arial" w:cs="Arial" w:eastAsia="Arial" w:hAnsi="Arial"/>
                <w:sz w:val="14"/>
                <w:szCs w:val="14"/>
                <w:b w:val="1"/>
                <w:bCs w:val="1"/>
                <w:color w:val="auto"/>
              </w:rPr>
              <w:t>Increase/(Decrease)</w:t>
            </w:r>
          </w:p>
        </w:tc>
        <w:tc>
          <w:tcPr>
            <w:tcW w:w="220" w:type="dxa"/>
            <w:vAlign w:val="bottom"/>
          </w:tcPr>
          <w:p>
            <w:pPr>
              <w:spacing w:after="0"/>
              <w:rPr>
                <w:sz w:val="14"/>
                <w:szCs w:val="14"/>
                <w:color w:val="auto"/>
              </w:rPr>
            </w:pPr>
          </w:p>
        </w:tc>
        <w:tc>
          <w:tcPr>
            <w:tcW w:w="1600" w:type="dxa"/>
            <w:vAlign w:val="bottom"/>
            <w:gridSpan w:val="3"/>
          </w:tcPr>
          <w:p>
            <w:pPr>
              <w:ind w:left="10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86"/>
        </w:trPr>
        <w:tc>
          <w:tcPr>
            <w:tcW w:w="42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2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1"/>
              </w:rPr>
              <w:t>September 30,</w:t>
            </w:r>
          </w:p>
        </w:tc>
        <w:tc>
          <w:tcPr>
            <w:tcW w:w="120" w:type="dxa"/>
            <w:vAlign w:val="bottom"/>
          </w:tcPr>
          <w:p>
            <w:pPr>
              <w:spacing w:after="0"/>
              <w:rPr>
                <w:sz w:val="16"/>
                <w:szCs w:val="16"/>
                <w:color w:val="auto"/>
              </w:rPr>
            </w:pPr>
          </w:p>
        </w:tc>
        <w:tc>
          <w:tcPr>
            <w:tcW w:w="1840" w:type="dxa"/>
            <w:vAlign w:val="bottom"/>
            <w:gridSpan w:val="4"/>
            <w:vMerge w:val="continue"/>
          </w:tcPr>
          <w:p>
            <w:pPr>
              <w:spacing w:after="0"/>
              <w:rPr>
                <w:sz w:val="16"/>
                <w:szCs w:val="16"/>
                <w:color w:val="auto"/>
              </w:rPr>
            </w:pPr>
          </w:p>
        </w:tc>
        <w:tc>
          <w:tcPr>
            <w:tcW w:w="220" w:type="dxa"/>
            <w:vAlign w:val="bottom"/>
          </w:tcPr>
          <w:p>
            <w:pPr>
              <w:spacing w:after="0"/>
              <w:rPr>
                <w:sz w:val="16"/>
                <w:szCs w:val="16"/>
                <w:color w:val="auto"/>
              </w:rPr>
            </w:pPr>
          </w:p>
        </w:tc>
        <w:tc>
          <w:tcPr>
            <w:tcW w:w="1600" w:type="dxa"/>
            <w:vAlign w:val="bottom"/>
            <w:gridSpan w:val="3"/>
          </w:tcPr>
          <w:p>
            <w:pPr>
              <w:ind w:left="10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84"/>
        </w:trPr>
        <w:tc>
          <w:tcPr>
            <w:tcW w:w="4240" w:type="dxa"/>
            <w:vAlign w:val="bottom"/>
          </w:tcPr>
          <w:p>
            <w:pPr>
              <w:ind w:left="20"/>
              <w:spacing w:after="0"/>
              <w:rPr>
                <w:sz w:val="20"/>
                <w:szCs w:val="20"/>
                <w:color w:val="auto"/>
              </w:rPr>
            </w:pPr>
            <w:r>
              <w:rPr>
                <w:rFonts w:ascii="Arial" w:cs="Arial" w:eastAsia="Arial" w:hAnsi="Arial"/>
                <w:sz w:val="14"/>
                <w:szCs w:val="14"/>
                <w:b w:val="1"/>
                <w:bCs w:val="1"/>
                <w:i w:val="1"/>
                <w:iCs w:val="1"/>
                <w:color w:val="auto"/>
              </w:rPr>
              <w:t>(in millions)</w:t>
            </w:r>
          </w:p>
        </w:tc>
        <w:tc>
          <w:tcPr>
            <w:tcW w:w="16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 change</w:t>
            </w:r>
          </w:p>
        </w:tc>
        <w:tc>
          <w:tcPr>
            <w:tcW w:w="92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 change</w:t>
            </w:r>
          </w:p>
        </w:tc>
        <w:tc>
          <w:tcPr>
            <w:tcW w:w="120" w:type="dxa"/>
            <w:vAlign w:val="bottom"/>
          </w:tcPr>
          <w:p>
            <w:pPr>
              <w:spacing w:after="0"/>
              <w:rPr>
                <w:sz w:val="15"/>
                <w:szCs w:val="15"/>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top w:val="single" w:sz="8" w:color="auto"/>
            </w:tcBorders>
            <w:gridSpan w:val="2"/>
          </w:tcPr>
          <w:p>
            <w:pPr>
              <w:spacing w:after="0"/>
              <w:rPr>
                <w:sz w:val="20"/>
                <w:szCs w:val="20"/>
                <w:color w:val="auto"/>
              </w:rPr>
            </w:pPr>
            <w:r>
              <w:rPr>
                <w:rFonts w:ascii="Arial" w:cs="Arial" w:eastAsia="Arial" w:hAnsi="Arial"/>
                <w:sz w:val="14"/>
                <w:szCs w:val="14"/>
                <w:b w:val="1"/>
                <w:bCs w:val="1"/>
                <w:color w:val="auto"/>
              </w:rPr>
              <w:t>change</w:t>
            </w:r>
          </w:p>
        </w:tc>
        <w:tc>
          <w:tcPr>
            <w:tcW w:w="92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84"/>
        </w:trPr>
        <w:tc>
          <w:tcPr>
            <w:tcW w:w="42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sales</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521.6</w:t>
            </w:r>
          </w:p>
        </w:tc>
        <w:tc>
          <w:tcPr>
            <w:tcW w:w="1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482.9</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center"/>
              <w:ind w:left="248"/>
              <w:spacing w:after="0"/>
              <w:rPr>
                <w:sz w:val="20"/>
                <w:szCs w:val="20"/>
                <w:color w:val="auto"/>
              </w:rPr>
            </w:pPr>
            <w:r>
              <w:rPr>
                <w:rFonts w:ascii="Arial" w:cs="Arial" w:eastAsia="Arial" w:hAnsi="Arial"/>
                <w:sz w:val="14"/>
                <w:szCs w:val="14"/>
                <w:color w:val="auto"/>
                <w:w w:val="87"/>
              </w:rPr>
              <w:t>38.7</w:t>
            </w:r>
          </w:p>
        </w:tc>
        <w:tc>
          <w:tcPr>
            <w:tcW w:w="1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8.0 %</w:t>
            </w:r>
          </w:p>
        </w:tc>
        <w:tc>
          <w:tcPr>
            <w:tcW w:w="12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33.6</w:t>
            </w:r>
          </w:p>
        </w:tc>
        <w:tc>
          <w:tcPr>
            <w:tcW w:w="1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7.0 %</w:t>
            </w:r>
          </w:p>
        </w:tc>
        <w:tc>
          <w:tcPr>
            <w:tcW w:w="0" w:type="dxa"/>
            <w:vAlign w:val="bottom"/>
          </w:tcPr>
          <w:p>
            <w:pPr>
              <w:spacing w:after="0"/>
              <w:rPr>
                <w:sz w:val="1"/>
                <w:szCs w:val="1"/>
                <w:color w:val="auto"/>
              </w:rPr>
            </w:pPr>
          </w:p>
        </w:tc>
      </w:tr>
      <w:tr>
        <w:trPr>
          <w:trHeight w:val="186"/>
        </w:trPr>
        <w:tc>
          <w:tcPr>
            <w:tcW w:w="4240" w:type="dxa"/>
            <w:vAlign w:val="bottom"/>
          </w:tcPr>
          <w:p>
            <w:pPr>
              <w:ind w:left="20"/>
              <w:spacing w:after="0"/>
              <w:rPr>
                <w:sz w:val="20"/>
                <w:szCs w:val="20"/>
                <w:color w:val="auto"/>
              </w:rPr>
            </w:pPr>
            <w:r>
              <w:rPr>
                <w:rFonts w:ascii="Arial" w:cs="Arial" w:eastAsia="Arial" w:hAnsi="Arial"/>
                <w:sz w:val="14"/>
                <w:szCs w:val="14"/>
                <w:color w:val="auto"/>
              </w:rPr>
              <w:t>Net income attributable to Acushnet Holdings Corp.</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39.3</w:t>
            </w:r>
          </w:p>
        </w:tc>
        <w:tc>
          <w:tcPr>
            <w:tcW w:w="120" w:type="dxa"/>
            <w:vAlign w:val="bottom"/>
          </w:tcPr>
          <w:p>
            <w:pPr>
              <w:spacing w:after="0"/>
              <w:rPr>
                <w:sz w:val="16"/>
                <w:szCs w:val="16"/>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63.2</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center"/>
              <w:ind w:left="228"/>
              <w:spacing w:after="0"/>
              <w:rPr>
                <w:sz w:val="20"/>
                <w:szCs w:val="20"/>
                <w:color w:val="auto"/>
              </w:rPr>
            </w:pPr>
            <w:r>
              <w:rPr>
                <w:rFonts w:ascii="Arial" w:cs="Arial" w:eastAsia="Arial" w:hAnsi="Arial"/>
                <w:sz w:val="14"/>
                <w:szCs w:val="14"/>
                <w:color w:val="auto"/>
                <w:w w:val="92"/>
              </w:rPr>
              <w:t>(23.9)</w:t>
            </w:r>
          </w:p>
        </w:tc>
        <w:tc>
          <w:tcPr>
            <w:tcW w:w="12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(37.8)%</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EBITDA</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70.3</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99.2</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(28.9)</w:t>
            </w: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78" w:lineRule="exact"/>
        <w:rPr>
          <w:sz w:val="20"/>
          <w:szCs w:val="20"/>
          <w:color w:val="auto"/>
        </w:rPr>
      </w:pPr>
    </w:p>
    <w:p>
      <w:pPr>
        <w:ind w:right="100"/>
        <w:spacing w:after="0" w:line="248" w:lineRule="auto"/>
        <w:rPr>
          <w:sz w:val="20"/>
          <w:szCs w:val="20"/>
          <w:color w:val="auto"/>
        </w:rPr>
      </w:pPr>
      <w:r>
        <w:rPr>
          <w:rFonts w:ascii="Arial" w:cs="Arial" w:eastAsia="Arial" w:hAnsi="Arial"/>
          <w:sz w:val="21"/>
          <w:szCs w:val="21"/>
          <w:color w:val="auto"/>
        </w:rPr>
        <w:t>Consolidated net sales for the quarter increased by 8.0%. On a constant currency basis, consolidated net sales were up 7.0%. The increase in net sales on a constant currency basis resulted from an increase of $20.4 million in FootJoy golf wear primarily related to higher average selling prices in apparel and footwear categories, an increase of $13.9 million in Titleist golf clubs primarily driven by higher average selling prices and an increase of $1.8 million in Titleist golf gear. These increases were partially offset by a $4.6 million decrease in Titleist golf balls. Sales volume growth of products that are not allocated to one of our four reportable segments also contributed to the increase in net sales.</w:t>
      </w:r>
    </w:p>
    <w:p>
      <w:pPr>
        <w:spacing w:after="0" w:line="204" w:lineRule="exact"/>
        <w:rPr>
          <w:sz w:val="20"/>
          <w:szCs w:val="20"/>
          <w:color w:val="auto"/>
        </w:rPr>
      </w:pPr>
    </w:p>
    <w:p>
      <w:pPr>
        <w:ind w:right="100"/>
        <w:spacing w:after="0"/>
        <w:rPr>
          <w:sz w:val="20"/>
          <w:szCs w:val="20"/>
          <w:color w:val="auto"/>
        </w:rPr>
      </w:pPr>
      <w:r>
        <w:rPr>
          <w:rFonts w:ascii="Arial" w:cs="Arial" w:eastAsia="Arial" w:hAnsi="Arial"/>
          <w:sz w:val="22"/>
          <w:szCs w:val="22"/>
          <w:color w:val="auto"/>
        </w:rPr>
        <w:t>On a geographic basis, net sales in the United States increased by 4.2% in the quarter primarily driven by an increase of $9.1 million in Titleist golf clubs and an increase of $8.2 million in FootJoy golf wear, partially offset by a decrease of $8.1 million in Titleist golf balls.</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auto"/>
        </w:rPr>
        <w:t>Net sales in regions outside the United States were up 12.9% and up 10.5% on a constant currency basis. In Korea, the increase in net sales was primarily due to an increase in FootJoy golf wear and in Japan the increase in net sales was primarily due to an increase in Titleist golf clubs.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Segment specifics:</w:t>
      </w:r>
    </w:p>
    <w:p>
      <w:pPr>
        <w:spacing w:after="0" w:line="206" w:lineRule="exact"/>
        <w:rPr>
          <w:sz w:val="20"/>
          <w:szCs w:val="20"/>
          <w:color w:val="auto"/>
        </w:rPr>
      </w:pPr>
    </w:p>
    <w:p>
      <w:pPr>
        <w:ind w:left="1300" w:right="240" w:hanging="320"/>
        <w:spacing w:after="0"/>
        <w:tabs>
          <w:tab w:leader="none" w:pos="1288" w:val="left"/>
        </w:tabs>
        <w:numPr>
          <w:ilvl w:val="0"/>
          <w:numId w:val="3"/>
        </w:numPr>
        <w:rPr>
          <w:rFonts w:ascii="Arial" w:cs="Arial" w:eastAsia="Arial" w:hAnsi="Arial"/>
          <w:sz w:val="20"/>
          <w:szCs w:val="20"/>
          <w:color w:val="auto"/>
        </w:rPr>
      </w:pPr>
      <w:r>
        <w:rPr>
          <w:rFonts w:ascii="Arial" w:cs="Arial" w:eastAsia="Arial" w:hAnsi="Arial"/>
          <w:sz w:val="22"/>
          <w:szCs w:val="22"/>
          <w:color w:val="auto"/>
        </w:rPr>
        <w:t>1.7% decrease in net sales (2.7% decrease on a constant currency basis) of Titleist golf balls, largely due to sales volume declines in our performance golf balls and AVX models as a result of manufacturing and supply chain disruptions.</w:t>
      </w:r>
    </w:p>
    <w:p>
      <w:pPr>
        <w:spacing w:after="0" w:line="213" w:lineRule="exact"/>
        <w:rPr>
          <w:rFonts w:ascii="Arial" w:cs="Arial" w:eastAsia="Arial" w:hAnsi="Arial"/>
          <w:sz w:val="20"/>
          <w:szCs w:val="20"/>
          <w:color w:val="auto"/>
        </w:rPr>
      </w:pPr>
    </w:p>
    <w:p>
      <w:pPr>
        <w:ind w:left="1300" w:right="320" w:hanging="320"/>
        <w:spacing w:after="0" w:line="257" w:lineRule="auto"/>
        <w:tabs>
          <w:tab w:leader="none" w:pos="1288" w:val="left"/>
        </w:tabs>
        <w:numPr>
          <w:ilvl w:val="0"/>
          <w:numId w:val="3"/>
        </w:numPr>
        <w:rPr>
          <w:rFonts w:ascii="Arial" w:cs="Arial" w:eastAsia="Arial" w:hAnsi="Arial"/>
          <w:sz w:val="19"/>
          <w:szCs w:val="19"/>
          <w:color w:val="auto"/>
        </w:rPr>
      </w:pPr>
      <w:r>
        <w:rPr>
          <w:rFonts w:ascii="Arial" w:cs="Arial" w:eastAsia="Arial" w:hAnsi="Arial"/>
          <w:sz w:val="21"/>
          <w:szCs w:val="21"/>
          <w:color w:val="auto"/>
        </w:rPr>
        <w:t>12.3% increase in net sales (11.5% increase on a constant currency basis) of Titleist golf clubs, largely due to higher average selling prices across all product categories and higher volumes of drivers and fairways, partially offset by lower volumes in wedges, putters and irons due to supply chain constraints.</w:t>
      </w:r>
    </w:p>
    <w:p>
      <w:pPr>
        <w:spacing w:after="0" w:line="196" w:lineRule="exact"/>
        <w:rPr>
          <w:rFonts w:ascii="Arial" w:cs="Arial" w:eastAsia="Arial" w:hAnsi="Arial"/>
          <w:sz w:val="19"/>
          <w:szCs w:val="19"/>
          <w:color w:val="auto"/>
        </w:rPr>
      </w:pPr>
    </w:p>
    <w:p>
      <w:pPr>
        <w:ind w:left="1300" w:right="220" w:hanging="320"/>
        <w:spacing w:after="0" w:line="274" w:lineRule="auto"/>
        <w:tabs>
          <w:tab w:leader="none" w:pos="1288" w:val="left"/>
        </w:tabs>
        <w:numPr>
          <w:ilvl w:val="0"/>
          <w:numId w:val="3"/>
        </w:numPr>
        <w:rPr>
          <w:rFonts w:ascii="Arial" w:cs="Arial" w:eastAsia="Arial" w:hAnsi="Arial"/>
          <w:sz w:val="19"/>
          <w:szCs w:val="19"/>
          <w:color w:val="auto"/>
        </w:rPr>
      </w:pPr>
      <w:r>
        <w:rPr>
          <w:rFonts w:ascii="Arial" w:cs="Arial" w:eastAsia="Arial" w:hAnsi="Arial"/>
          <w:sz w:val="21"/>
          <w:szCs w:val="21"/>
          <w:color w:val="auto"/>
        </w:rPr>
        <w:t>5.2% increase in net sales (4.1% increase on a constant currency basis) of Titleist golf gear, largely due to higher average selling prices and sales volumes in golf bag and travel gear product categories.</w:t>
      </w:r>
    </w:p>
    <w:p>
      <w:pPr>
        <w:spacing w:after="0" w:line="177" w:lineRule="exact"/>
        <w:rPr>
          <w:rFonts w:ascii="Arial" w:cs="Arial" w:eastAsia="Arial" w:hAnsi="Arial"/>
          <w:sz w:val="19"/>
          <w:szCs w:val="19"/>
          <w:color w:val="auto"/>
        </w:rPr>
      </w:pPr>
    </w:p>
    <w:p>
      <w:pPr>
        <w:jc w:val="both"/>
        <w:ind w:left="1300" w:right="460" w:hanging="320"/>
        <w:spacing w:after="0" w:line="297" w:lineRule="auto"/>
        <w:tabs>
          <w:tab w:leader="none" w:pos="1288" w:val="left"/>
        </w:tabs>
        <w:numPr>
          <w:ilvl w:val="0"/>
          <w:numId w:val="3"/>
        </w:numPr>
        <w:rPr>
          <w:rFonts w:ascii="Arial" w:cs="Arial" w:eastAsia="Arial" w:hAnsi="Arial"/>
          <w:sz w:val="18"/>
          <w:szCs w:val="18"/>
          <w:color w:val="auto"/>
        </w:rPr>
      </w:pPr>
      <w:r>
        <w:rPr>
          <w:rFonts w:ascii="Arial" w:cs="Arial" w:eastAsia="Arial" w:hAnsi="Arial"/>
          <w:sz w:val="19"/>
          <w:szCs w:val="19"/>
          <w:color w:val="auto"/>
        </w:rPr>
        <w:t>18.9% increase in net sales (17.6% increase on a constant currency basis) in FootJoy golf wear, largely due to higher average selling prices and sales volumes in apparel and footwear product categories, partially offset by lower sales volumes in our glove category due to supply chain constraints.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240"/>
          </w:cols>
          <w:pgMar w:left="320" w:top="1440" w:right="339" w:bottom="1440" w:gutter="0" w:footer="0" w:header="0"/>
        </w:sectPr>
      </w:pPr>
    </w:p>
    <w:bookmarkStart w:id="5" w:name="page6"/>
    <w:bookmarkEnd w:id="5"/>
    <w:p>
      <w:pPr>
        <w:ind w:right="240"/>
        <w:spacing w:after="0" w:line="287" w:lineRule="auto"/>
        <w:rPr>
          <w:sz w:val="20"/>
          <w:szCs w:val="20"/>
          <w:color w:val="auto"/>
        </w:rPr>
      </w:pPr>
      <w:r>
        <w:rPr>
          <w:rFonts w:ascii="Arial" w:cs="Arial" w:eastAsia="Arial" w:hAnsi="Arial"/>
          <w:sz w:val="21"/>
          <w:szCs w:val="21"/>
          <w:color w:val="auto"/>
        </w:rPr>
        <w:t>Net income attributable to Acushnet Holdings Corp. decreased by $23.9 million to $39.3 million, year over year, primarily as a result of a decrease in income from operations, partially offset by a decrease in income tax expense.</w:t>
      </w:r>
    </w:p>
    <w:p>
      <w:pPr>
        <w:spacing w:after="0" w:line="151" w:lineRule="exact"/>
        <w:rPr>
          <w:sz w:val="20"/>
          <w:szCs w:val="20"/>
          <w:color w:val="auto"/>
        </w:rPr>
      </w:pPr>
    </w:p>
    <w:p>
      <w:pPr>
        <w:ind w:right="360"/>
        <w:spacing w:after="0" w:line="263" w:lineRule="auto"/>
        <w:rPr>
          <w:sz w:val="20"/>
          <w:szCs w:val="20"/>
          <w:color w:val="auto"/>
        </w:rPr>
      </w:pPr>
      <w:r>
        <w:rPr>
          <w:rFonts w:ascii="Arial" w:cs="Arial" w:eastAsia="Arial" w:hAnsi="Arial"/>
          <w:sz w:val="22"/>
          <w:szCs w:val="22"/>
          <w:color w:val="auto"/>
        </w:rPr>
        <w:t>Adjusted EBITDA was $70.3 million, down 29.1% year over year. Adjusted EBITDA margin was 13.5% for the third quarter versus 20.5% for the prior year period.</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Summary of First Nine Months 2021 Financial Results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20" w:type="dxa"/>
            <w:vAlign w:val="bottom"/>
            <w:gridSpan w:val="5"/>
          </w:tcPr>
          <w:p>
            <w:pPr>
              <w:ind w:left="80"/>
              <w:spacing w:after="0"/>
              <w:rPr>
                <w:sz w:val="20"/>
                <w:szCs w:val="20"/>
                <w:color w:val="auto"/>
              </w:rPr>
            </w:pPr>
            <w:r>
              <w:rPr>
                <w:rFonts w:ascii="Arial" w:cs="Arial" w:eastAsia="Arial" w:hAnsi="Arial"/>
                <w:sz w:val="14"/>
                <w:szCs w:val="14"/>
                <w:b w:val="1"/>
                <w:bCs w:val="1"/>
                <w:color w:val="auto"/>
              </w:rPr>
              <w:t>Nine months ended</w:t>
            </w:r>
          </w:p>
        </w:tc>
        <w:tc>
          <w:tcPr>
            <w:tcW w:w="120" w:type="dxa"/>
            <w:vAlign w:val="bottom"/>
          </w:tcPr>
          <w:p>
            <w:pPr>
              <w:spacing w:after="0"/>
              <w:rPr>
                <w:sz w:val="14"/>
                <w:szCs w:val="14"/>
                <w:color w:val="auto"/>
              </w:rPr>
            </w:pPr>
          </w:p>
        </w:tc>
        <w:tc>
          <w:tcPr>
            <w:tcW w:w="1840" w:type="dxa"/>
            <w:vAlign w:val="bottom"/>
            <w:gridSpan w:val="4"/>
            <w:vMerge w:val="restart"/>
          </w:tcPr>
          <w:p>
            <w:pPr>
              <w:ind w:left="200"/>
              <w:spacing w:after="0"/>
              <w:rPr>
                <w:sz w:val="20"/>
                <w:szCs w:val="20"/>
                <w:color w:val="auto"/>
              </w:rPr>
            </w:pPr>
            <w:r>
              <w:rPr>
                <w:rFonts w:ascii="Arial" w:cs="Arial" w:eastAsia="Arial" w:hAnsi="Arial"/>
                <w:sz w:val="14"/>
                <w:szCs w:val="14"/>
                <w:b w:val="1"/>
                <w:bCs w:val="1"/>
                <w:color w:val="auto"/>
              </w:rPr>
              <w:t>Increase/(Decrease)</w:t>
            </w:r>
          </w:p>
        </w:tc>
        <w:tc>
          <w:tcPr>
            <w:tcW w:w="220" w:type="dxa"/>
            <w:vAlign w:val="bottom"/>
          </w:tcPr>
          <w:p>
            <w:pPr>
              <w:spacing w:after="0"/>
              <w:rPr>
                <w:sz w:val="14"/>
                <w:szCs w:val="14"/>
                <w:color w:val="auto"/>
              </w:rPr>
            </w:pPr>
          </w:p>
        </w:tc>
        <w:tc>
          <w:tcPr>
            <w:tcW w:w="1600" w:type="dxa"/>
            <w:vAlign w:val="bottom"/>
            <w:gridSpan w:val="3"/>
          </w:tcPr>
          <w:p>
            <w:pPr>
              <w:ind w:left="100"/>
              <w:spacing w:after="0"/>
              <w:rPr>
                <w:sz w:val="20"/>
                <w:szCs w:val="20"/>
                <w:color w:val="auto"/>
              </w:rPr>
            </w:pPr>
            <w:r>
              <w:rPr>
                <w:rFonts w:ascii="Arial" w:cs="Arial" w:eastAsia="Arial" w:hAnsi="Arial"/>
                <w:sz w:val="14"/>
                <w:szCs w:val="14"/>
                <w:b w:val="1"/>
                <w:bCs w:val="1"/>
                <w:color w:val="auto"/>
              </w:rPr>
              <w:t>Constant Currency</w:t>
            </w:r>
          </w:p>
        </w:tc>
        <w:tc>
          <w:tcPr>
            <w:tcW w:w="0" w:type="dxa"/>
            <w:vAlign w:val="bottom"/>
          </w:tcPr>
          <w:p>
            <w:pPr>
              <w:spacing w:after="0"/>
              <w:rPr>
                <w:sz w:val="1"/>
                <w:szCs w:val="1"/>
                <w:color w:val="auto"/>
              </w:rPr>
            </w:pPr>
          </w:p>
        </w:tc>
      </w:tr>
      <w:tr>
        <w:trPr>
          <w:trHeight w:val="186"/>
        </w:trPr>
        <w:tc>
          <w:tcPr>
            <w:tcW w:w="4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20" w:type="dxa"/>
            <w:vAlign w:val="bottom"/>
            <w:gridSpan w:val="5"/>
          </w:tcPr>
          <w:p>
            <w:pPr>
              <w:ind w:left="240"/>
              <w:spacing w:after="0"/>
              <w:rPr>
                <w:sz w:val="20"/>
                <w:szCs w:val="20"/>
                <w:color w:val="auto"/>
              </w:rPr>
            </w:pPr>
            <w:r>
              <w:rPr>
                <w:rFonts w:ascii="Arial" w:cs="Arial" w:eastAsia="Arial" w:hAnsi="Arial"/>
                <w:sz w:val="14"/>
                <w:szCs w:val="14"/>
                <w:b w:val="1"/>
                <w:bCs w:val="1"/>
                <w:color w:val="auto"/>
              </w:rPr>
              <w:t>September 30,</w:t>
            </w:r>
          </w:p>
        </w:tc>
        <w:tc>
          <w:tcPr>
            <w:tcW w:w="120" w:type="dxa"/>
            <w:vAlign w:val="bottom"/>
          </w:tcPr>
          <w:p>
            <w:pPr>
              <w:spacing w:after="0"/>
              <w:rPr>
                <w:sz w:val="16"/>
                <w:szCs w:val="16"/>
                <w:color w:val="auto"/>
              </w:rPr>
            </w:pPr>
          </w:p>
        </w:tc>
        <w:tc>
          <w:tcPr>
            <w:tcW w:w="1840" w:type="dxa"/>
            <w:vAlign w:val="bottom"/>
            <w:gridSpan w:val="4"/>
            <w:vMerge w:val="continue"/>
          </w:tcPr>
          <w:p>
            <w:pPr>
              <w:spacing w:after="0"/>
              <w:rPr>
                <w:sz w:val="16"/>
                <w:szCs w:val="16"/>
                <w:color w:val="auto"/>
              </w:rPr>
            </w:pPr>
          </w:p>
        </w:tc>
        <w:tc>
          <w:tcPr>
            <w:tcW w:w="220" w:type="dxa"/>
            <w:vAlign w:val="bottom"/>
          </w:tcPr>
          <w:p>
            <w:pPr>
              <w:spacing w:after="0"/>
              <w:rPr>
                <w:sz w:val="16"/>
                <w:szCs w:val="16"/>
                <w:color w:val="auto"/>
              </w:rPr>
            </w:pPr>
          </w:p>
        </w:tc>
        <w:tc>
          <w:tcPr>
            <w:tcW w:w="1600" w:type="dxa"/>
            <w:vAlign w:val="bottom"/>
            <w:gridSpan w:val="3"/>
          </w:tcPr>
          <w:p>
            <w:pPr>
              <w:ind w:left="100"/>
              <w:spacing w:after="0"/>
              <w:rPr>
                <w:sz w:val="20"/>
                <w:szCs w:val="20"/>
                <w:color w:val="auto"/>
              </w:rPr>
            </w:pPr>
            <w:r>
              <w:rPr>
                <w:rFonts w:ascii="Arial" w:cs="Arial" w:eastAsia="Arial" w:hAnsi="Arial"/>
                <w:sz w:val="14"/>
                <w:szCs w:val="14"/>
                <w:b w:val="1"/>
                <w:bCs w:val="1"/>
                <w:color w:val="auto"/>
              </w:rPr>
              <w:t>Increase/(Decrease)</w:t>
            </w:r>
          </w:p>
        </w:tc>
        <w:tc>
          <w:tcPr>
            <w:tcW w:w="0" w:type="dxa"/>
            <w:vAlign w:val="bottom"/>
          </w:tcPr>
          <w:p>
            <w:pPr>
              <w:spacing w:after="0"/>
              <w:rPr>
                <w:sz w:val="1"/>
                <w:szCs w:val="1"/>
                <w:color w:val="auto"/>
              </w:rPr>
            </w:pPr>
          </w:p>
        </w:tc>
      </w:tr>
      <w:tr>
        <w:trPr>
          <w:trHeight w:val="184"/>
        </w:trPr>
        <w:tc>
          <w:tcPr>
            <w:tcW w:w="4220" w:type="dxa"/>
            <w:vAlign w:val="bottom"/>
          </w:tcPr>
          <w:p>
            <w:pPr>
              <w:ind w:left="20"/>
              <w:spacing w:after="0"/>
              <w:rPr>
                <w:sz w:val="20"/>
                <w:szCs w:val="20"/>
                <w:color w:val="auto"/>
              </w:rPr>
            </w:pPr>
            <w:r>
              <w:rPr>
                <w:rFonts w:ascii="Arial" w:cs="Arial" w:eastAsia="Arial" w:hAnsi="Arial"/>
                <w:sz w:val="14"/>
                <w:szCs w:val="14"/>
                <w:b w:val="1"/>
                <w:bCs w:val="1"/>
                <w:i w:val="1"/>
                <w:iCs w:val="1"/>
                <w:color w:val="auto"/>
              </w:rPr>
              <w:t>(in millions)</w:t>
            </w:r>
          </w:p>
        </w:tc>
        <w:tc>
          <w:tcPr>
            <w:tcW w:w="18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ind w:left="8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 change</w:t>
            </w:r>
          </w:p>
        </w:tc>
        <w:tc>
          <w:tcPr>
            <w:tcW w:w="92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 change</w:t>
            </w:r>
          </w:p>
        </w:tc>
        <w:tc>
          <w:tcPr>
            <w:tcW w:w="120" w:type="dxa"/>
            <w:vAlign w:val="bottom"/>
          </w:tcPr>
          <w:p>
            <w:pPr>
              <w:spacing w:after="0"/>
              <w:rPr>
                <w:sz w:val="15"/>
                <w:szCs w:val="15"/>
                <w:color w:val="auto"/>
              </w:rPr>
            </w:pP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80" w:type="dxa"/>
            <w:vAlign w:val="bottom"/>
            <w:tcBorders>
              <w:top w:val="single" w:sz="8" w:color="auto"/>
            </w:tcBorders>
            <w:gridSpan w:val="2"/>
          </w:tcPr>
          <w:p>
            <w:pPr>
              <w:spacing w:after="0"/>
              <w:rPr>
                <w:sz w:val="20"/>
                <w:szCs w:val="20"/>
                <w:color w:val="auto"/>
              </w:rPr>
            </w:pPr>
            <w:r>
              <w:rPr>
                <w:rFonts w:ascii="Arial" w:cs="Arial" w:eastAsia="Arial" w:hAnsi="Arial"/>
                <w:sz w:val="14"/>
                <w:szCs w:val="14"/>
                <w:b w:val="1"/>
                <w:bCs w:val="1"/>
                <w:color w:val="auto"/>
              </w:rPr>
              <w:t>change</w:t>
            </w:r>
          </w:p>
        </w:tc>
        <w:tc>
          <w:tcPr>
            <w:tcW w:w="92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84"/>
        </w:trPr>
        <w:tc>
          <w:tcPr>
            <w:tcW w:w="42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sales</w:t>
            </w:r>
          </w:p>
        </w:tc>
        <w:tc>
          <w:tcPr>
            <w:tcW w:w="1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1,727.4</w:t>
            </w: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1,191.7</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535.7</w:t>
            </w:r>
          </w:p>
        </w:tc>
        <w:tc>
          <w:tcPr>
            <w:tcW w:w="1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45.0 %</w:t>
            </w:r>
          </w:p>
        </w:tc>
        <w:tc>
          <w:tcPr>
            <w:tcW w:w="12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487.6</w:t>
            </w:r>
          </w:p>
        </w:tc>
        <w:tc>
          <w:tcPr>
            <w:tcW w:w="1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40.9 %</w:t>
            </w:r>
          </w:p>
        </w:tc>
        <w:tc>
          <w:tcPr>
            <w:tcW w:w="0" w:type="dxa"/>
            <w:vAlign w:val="bottom"/>
          </w:tcPr>
          <w:p>
            <w:pPr>
              <w:spacing w:after="0"/>
              <w:rPr>
                <w:sz w:val="1"/>
                <w:szCs w:val="1"/>
                <w:color w:val="auto"/>
              </w:rPr>
            </w:pPr>
          </w:p>
        </w:tc>
      </w:tr>
      <w:tr>
        <w:trPr>
          <w:trHeight w:val="186"/>
        </w:trPr>
        <w:tc>
          <w:tcPr>
            <w:tcW w:w="4220" w:type="dxa"/>
            <w:vAlign w:val="bottom"/>
          </w:tcPr>
          <w:p>
            <w:pPr>
              <w:ind w:left="20"/>
              <w:spacing w:after="0"/>
              <w:rPr>
                <w:sz w:val="20"/>
                <w:szCs w:val="20"/>
                <w:color w:val="auto"/>
              </w:rPr>
            </w:pPr>
            <w:r>
              <w:rPr>
                <w:rFonts w:ascii="Arial" w:cs="Arial" w:eastAsia="Arial" w:hAnsi="Arial"/>
                <w:sz w:val="14"/>
                <w:szCs w:val="14"/>
                <w:color w:val="auto"/>
              </w:rPr>
              <w:t>Net income attributable to Acushnet Holdings Corp.</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205.3</w:t>
            </w:r>
          </w:p>
        </w:tc>
        <w:tc>
          <w:tcPr>
            <w:tcW w:w="100" w:type="dxa"/>
            <w:vAlign w:val="bottom"/>
          </w:tcPr>
          <w:p>
            <w:pPr>
              <w:spacing w:after="0"/>
              <w:rPr>
                <w:sz w:val="16"/>
                <w:szCs w:val="16"/>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74.4</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130.9</w:t>
            </w:r>
          </w:p>
        </w:tc>
        <w:tc>
          <w:tcPr>
            <w:tcW w:w="12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175.9 %</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EBITDA</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333.3</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185.1</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148.2</w:t>
            </w: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80.1 %</w:t>
            </w: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5" w:lineRule="exact"/>
        <w:rPr>
          <w:sz w:val="20"/>
          <w:szCs w:val="20"/>
          <w:color w:val="auto"/>
        </w:rPr>
      </w:pPr>
    </w:p>
    <w:p>
      <w:pPr>
        <w:ind w:right="60"/>
        <w:spacing w:after="0" w:line="248" w:lineRule="auto"/>
        <w:rPr>
          <w:sz w:val="20"/>
          <w:szCs w:val="20"/>
          <w:color w:val="auto"/>
        </w:rPr>
      </w:pPr>
      <w:r>
        <w:rPr>
          <w:rFonts w:ascii="Arial" w:cs="Arial" w:eastAsia="Arial" w:hAnsi="Arial"/>
          <w:sz w:val="22"/>
          <w:szCs w:val="22"/>
          <w:color w:val="auto"/>
        </w:rPr>
        <w:t>Consolidated net sales for the first nine months increased by 45.0%. On a constant currency basis, consolidated net sales were up 40.9% largely due to sales volume increases across all reportable segments, as rounds of play and consumer demand for golf-related products remained elevated during the first nine months of 2021, coupled with the adverse impact of government-ordered shutdowns in the second quarter of 2020. Sales volume growth of products that are not allocated to one of our four reportable segments also contributed to the increase in net sales.</w:t>
      </w:r>
    </w:p>
    <w:p>
      <w:pPr>
        <w:spacing w:after="0" w:line="205" w:lineRule="exact"/>
        <w:rPr>
          <w:sz w:val="20"/>
          <w:szCs w:val="20"/>
          <w:color w:val="auto"/>
        </w:rPr>
      </w:pPr>
    </w:p>
    <w:p>
      <w:pPr>
        <w:jc w:val="both"/>
        <w:ind w:right="100"/>
        <w:spacing w:after="0" w:line="297" w:lineRule="auto"/>
        <w:rPr>
          <w:sz w:val="20"/>
          <w:szCs w:val="20"/>
          <w:color w:val="auto"/>
        </w:rPr>
      </w:pPr>
      <w:r>
        <w:rPr>
          <w:rFonts w:ascii="Arial" w:cs="Arial" w:eastAsia="Arial" w:hAnsi="Arial"/>
          <w:sz w:val="19"/>
          <w:szCs w:val="19"/>
          <w:color w:val="auto"/>
        </w:rPr>
        <w:t>On a geographic basis, net sales in the United States increased by 44.5% in the nine month period driven by an increase of $99.4 million in Titleist golf balls, an increase of $87.5 million in Titleist golf clubs, an increase of $65.3 million in FootJoy golf wear and an increase of $21.7 million in Titleist golf gear, all driven by the same factors discussed above.</w:t>
      </w:r>
    </w:p>
    <w:p>
      <w:pPr>
        <w:spacing w:after="0" w:line="161" w:lineRule="exact"/>
        <w:rPr>
          <w:sz w:val="20"/>
          <w:szCs w:val="20"/>
          <w:color w:val="auto"/>
        </w:rPr>
      </w:pPr>
    </w:p>
    <w:p>
      <w:pPr>
        <w:spacing w:after="0"/>
        <w:rPr>
          <w:sz w:val="20"/>
          <w:szCs w:val="20"/>
          <w:color w:val="auto"/>
        </w:rPr>
      </w:pPr>
      <w:r>
        <w:rPr>
          <w:rFonts w:ascii="Arial" w:cs="Arial" w:eastAsia="Arial" w:hAnsi="Arial"/>
          <w:sz w:val="22"/>
          <w:szCs w:val="22"/>
          <w:color w:val="auto"/>
        </w:rPr>
        <w:t>Net sales in regions outside the United States were up 45.5% and up 37.0% on a constant currency basis. The increase in net sales in all regions was primarily driven by increased sales across all reportable segments also driven by the same factors discussed above.</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Segment specifics:</w:t>
      </w:r>
    </w:p>
    <w:p>
      <w:pPr>
        <w:spacing w:after="0" w:line="206" w:lineRule="exact"/>
        <w:rPr>
          <w:sz w:val="20"/>
          <w:szCs w:val="20"/>
          <w:color w:val="auto"/>
        </w:rPr>
      </w:pPr>
    </w:p>
    <w:p>
      <w:pPr>
        <w:ind w:left="1300" w:right="200" w:hanging="320"/>
        <w:spacing w:after="0" w:line="297" w:lineRule="auto"/>
        <w:tabs>
          <w:tab w:leader="none" w:pos="1288" w:val="left"/>
        </w:tabs>
        <w:numPr>
          <w:ilvl w:val="0"/>
          <w:numId w:val="4"/>
        </w:numPr>
        <w:rPr>
          <w:rFonts w:ascii="Arial" w:cs="Arial" w:eastAsia="Arial" w:hAnsi="Arial"/>
          <w:sz w:val="18"/>
          <w:szCs w:val="18"/>
          <w:color w:val="auto"/>
        </w:rPr>
      </w:pPr>
      <w:r>
        <w:rPr>
          <w:rFonts w:ascii="Arial" w:cs="Arial" w:eastAsia="Arial" w:hAnsi="Arial"/>
          <w:sz w:val="19"/>
          <w:szCs w:val="19"/>
          <w:color w:val="auto"/>
        </w:rPr>
        <w:t>39.8% increase in net sales (36.6% increase on a constant currency basis) of Titleist golf balls, largely due to higher sales volumes of our latest generation Pro V1 and Pro V1x golf balls launched in the first quarter of 2021 combined with the adverse impact of government-ordered shutdowns in the second quarter of 2020.</w:t>
      </w:r>
    </w:p>
    <w:p>
      <w:pPr>
        <w:spacing w:after="0" w:line="160" w:lineRule="exact"/>
        <w:rPr>
          <w:rFonts w:ascii="Arial" w:cs="Arial" w:eastAsia="Arial" w:hAnsi="Arial"/>
          <w:sz w:val="18"/>
          <w:szCs w:val="18"/>
          <w:color w:val="auto"/>
        </w:rPr>
      </w:pPr>
    </w:p>
    <w:p>
      <w:pPr>
        <w:ind w:left="1300" w:right="180" w:hanging="320"/>
        <w:spacing w:after="0" w:line="236" w:lineRule="auto"/>
        <w:tabs>
          <w:tab w:leader="none" w:pos="1295" w:val="left"/>
        </w:tabs>
        <w:numPr>
          <w:ilvl w:val="0"/>
          <w:numId w:val="4"/>
        </w:numPr>
        <w:rPr>
          <w:rFonts w:ascii="Arial" w:cs="Arial" w:eastAsia="Arial" w:hAnsi="Arial"/>
          <w:sz w:val="22"/>
          <w:szCs w:val="22"/>
          <w:color w:val="auto"/>
        </w:rPr>
      </w:pPr>
      <w:r>
        <w:rPr>
          <w:rFonts w:ascii="Arial" w:cs="Arial" w:eastAsia="Arial" w:hAnsi="Arial"/>
          <w:sz w:val="22"/>
          <w:szCs w:val="22"/>
          <w:color w:val="auto"/>
        </w:rPr>
        <w:t>55.1% increase in net sales (51.5% increase on a constant currency basis) of Titleist golf clubs, largely due to higher sales volumes in all product categories except wedges and higher average selling prices across all product categories. The decrease in sales volumes of wedges was primarily due to supply chain constraints. Also contributing to the increase was the adverse impact of government-ordered shutdowns in the second quarter of 2020.</w:t>
      </w:r>
    </w:p>
    <w:p>
      <w:pPr>
        <w:spacing w:after="0" w:line="214" w:lineRule="exact"/>
        <w:rPr>
          <w:rFonts w:ascii="Arial" w:cs="Arial" w:eastAsia="Arial" w:hAnsi="Arial"/>
          <w:sz w:val="22"/>
          <w:szCs w:val="22"/>
          <w:color w:val="auto"/>
        </w:rPr>
      </w:pPr>
    </w:p>
    <w:p>
      <w:pPr>
        <w:ind w:left="1300" w:right="120" w:hanging="320"/>
        <w:spacing w:after="0"/>
        <w:tabs>
          <w:tab w:leader="none" w:pos="1288" w:val="left"/>
        </w:tabs>
        <w:numPr>
          <w:ilvl w:val="0"/>
          <w:numId w:val="4"/>
        </w:numPr>
        <w:rPr>
          <w:rFonts w:ascii="Arial" w:cs="Arial" w:eastAsia="Arial" w:hAnsi="Arial"/>
          <w:sz w:val="20"/>
          <w:szCs w:val="20"/>
          <w:color w:val="auto"/>
        </w:rPr>
      </w:pPr>
      <w:r>
        <w:rPr>
          <w:rFonts w:ascii="Arial" w:cs="Arial" w:eastAsia="Arial" w:hAnsi="Arial"/>
          <w:sz w:val="22"/>
          <w:szCs w:val="22"/>
          <w:color w:val="auto"/>
        </w:rPr>
        <w:t>37.0% increase in net sales (32.9% increase on a constant currency basis) of Titleist golf gear, largely due to sales volume increases across all product categories combined with the adverse impact of government-ordered shutdowns in the second quarter of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220"/>
          </w:cols>
          <w:pgMar w:left="320" w:top="1266" w:right="359" w:bottom="1440" w:gutter="0" w:footer="0" w:header="0"/>
        </w:sectPr>
      </w:pPr>
    </w:p>
    <w:bookmarkStart w:id="6" w:name="page7"/>
    <w:bookmarkEnd w:id="6"/>
    <w:p>
      <w:pPr>
        <w:ind w:left="1300" w:right="260" w:hanging="320"/>
        <w:spacing w:after="0" w:line="297" w:lineRule="auto"/>
        <w:tabs>
          <w:tab w:leader="none" w:pos="1288" w:val="left"/>
        </w:tabs>
        <w:numPr>
          <w:ilvl w:val="0"/>
          <w:numId w:val="5"/>
        </w:numPr>
        <w:rPr>
          <w:rFonts w:ascii="Arial" w:cs="Arial" w:eastAsia="Arial" w:hAnsi="Arial"/>
          <w:sz w:val="18"/>
          <w:szCs w:val="18"/>
          <w:color w:val="auto"/>
        </w:rPr>
      </w:pPr>
      <w:r>
        <w:rPr>
          <w:rFonts w:ascii="Arial" w:cs="Arial" w:eastAsia="Arial" w:hAnsi="Arial"/>
          <w:sz w:val="19"/>
          <w:szCs w:val="19"/>
          <w:color w:val="auto"/>
        </w:rPr>
        <w:t>46.8% increase in net sales (42.0% increase on a constant currency basis) in FootJoy golf wear, largely due to increased sales volumes and higher average selling prices across all product categories. Also contributing to the increase was the adverse impact of government-ordered shutdowns in the second quarter of 2020.</w:t>
      </w:r>
    </w:p>
    <w:p>
      <w:pPr>
        <w:spacing w:after="0" w:line="174" w:lineRule="exact"/>
        <w:rPr>
          <w:sz w:val="20"/>
          <w:szCs w:val="20"/>
          <w:color w:val="auto"/>
        </w:rPr>
      </w:pPr>
    </w:p>
    <w:p>
      <w:pPr>
        <w:ind w:right="40"/>
        <w:spacing w:after="0" w:line="287" w:lineRule="auto"/>
        <w:rPr>
          <w:sz w:val="20"/>
          <w:szCs w:val="20"/>
          <w:color w:val="auto"/>
        </w:rPr>
      </w:pPr>
      <w:r>
        <w:rPr>
          <w:rFonts w:ascii="Arial" w:cs="Arial" w:eastAsia="Arial" w:hAnsi="Arial"/>
          <w:sz w:val="21"/>
          <w:szCs w:val="21"/>
          <w:color w:val="auto"/>
        </w:rPr>
        <w:t>Net income attributable to Acushnet Holdings Corp. improved by $130.9 million to $205.3 million, year over year, primarily as a result of an increase in income from operations, partially offset by an increase in income tax expense.</w:t>
      </w:r>
    </w:p>
    <w:p>
      <w:pPr>
        <w:spacing w:after="0" w:line="151" w:lineRule="exact"/>
        <w:rPr>
          <w:sz w:val="20"/>
          <w:szCs w:val="20"/>
          <w:color w:val="auto"/>
        </w:rPr>
      </w:pPr>
    </w:p>
    <w:p>
      <w:pPr>
        <w:ind w:right="180"/>
        <w:spacing w:after="0" w:line="263" w:lineRule="auto"/>
        <w:rPr>
          <w:sz w:val="20"/>
          <w:szCs w:val="20"/>
          <w:color w:val="auto"/>
        </w:rPr>
      </w:pPr>
      <w:r>
        <w:rPr>
          <w:rFonts w:ascii="Arial" w:cs="Arial" w:eastAsia="Arial" w:hAnsi="Arial"/>
          <w:sz w:val="22"/>
          <w:szCs w:val="22"/>
          <w:color w:val="auto"/>
        </w:rPr>
        <w:t>Adjusted EBITDA was $333.3 million up 80.1% year over year. Adjusted EBITDA margin was 19.3% for the first nine months versus 15.5% for the prior year period.</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Cash Dividend and Share Repurchase</w:t>
      </w:r>
    </w:p>
    <w:p>
      <w:pPr>
        <w:spacing w:after="0" w:line="226" w:lineRule="exact"/>
        <w:rPr>
          <w:sz w:val="20"/>
          <w:szCs w:val="20"/>
          <w:color w:val="auto"/>
        </w:rPr>
      </w:pPr>
    </w:p>
    <w:p>
      <w:pPr>
        <w:ind w:right="120"/>
        <w:spacing w:after="0" w:line="253" w:lineRule="auto"/>
        <w:rPr>
          <w:sz w:val="20"/>
          <w:szCs w:val="20"/>
          <w:color w:val="auto"/>
        </w:rPr>
      </w:pPr>
      <w:r>
        <w:rPr>
          <w:rFonts w:ascii="Arial" w:cs="Arial" w:eastAsia="Arial" w:hAnsi="Arial"/>
          <w:sz w:val="22"/>
          <w:szCs w:val="22"/>
          <w:color w:val="auto"/>
        </w:rPr>
        <w:t>Acushnet's Board of Directors today declared a quarterly cash dividend of $0.165 per share of common stock. The dividend will be payable on December 17, 2021 to shareholders of record on December 3, 2021. The number of shares outstanding as of October 29, 2021 was 73,629,759.</w:t>
      </w:r>
    </w:p>
    <w:p>
      <w:pPr>
        <w:spacing w:after="0" w:line="172" w:lineRule="exact"/>
        <w:rPr>
          <w:sz w:val="20"/>
          <w:szCs w:val="20"/>
          <w:color w:val="auto"/>
        </w:rPr>
      </w:pPr>
    </w:p>
    <w:p>
      <w:pPr>
        <w:jc w:val="both"/>
        <w:ind w:right="40"/>
        <w:spacing w:after="0" w:line="282" w:lineRule="auto"/>
        <w:rPr>
          <w:sz w:val="20"/>
          <w:szCs w:val="20"/>
          <w:color w:val="auto"/>
        </w:rPr>
      </w:pPr>
      <w:r>
        <w:rPr>
          <w:rFonts w:ascii="Arial" w:cs="Arial" w:eastAsia="Arial" w:hAnsi="Arial"/>
          <w:sz w:val="19"/>
          <w:szCs w:val="19"/>
          <w:color w:val="auto"/>
        </w:rPr>
        <w:t>During the quarter, the Company repurchased 242,420 shares of common stock on the open market at an average price of $50.58 for an aggregate of $12.3 million. On October 20, 2021, Acushnet's Board of Directors authorized the Company to repurchase up to an additional $100.0 million of its issued and outstanding common stock, bringing the total authorization up to $200.0 million.</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Impact of COVID-19 on our Business</w:t>
      </w:r>
    </w:p>
    <w:p>
      <w:pPr>
        <w:spacing w:after="0" w:line="226" w:lineRule="exact"/>
        <w:rPr>
          <w:sz w:val="20"/>
          <w:szCs w:val="20"/>
          <w:color w:val="auto"/>
        </w:rPr>
      </w:pPr>
    </w:p>
    <w:p>
      <w:pPr>
        <w:spacing w:after="0" w:line="294" w:lineRule="auto"/>
        <w:rPr>
          <w:sz w:val="20"/>
          <w:szCs w:val="20"/>
          <w:color w:val="auto"/>
        </w:rPr>
      </w:pPr>
      <w:r>
        <w:rPr>
          <w:rFonts w:ascii="Arial" w:cs="Arial" w:eastAsia="Arial" w:hAnsi="Arial"/>
          <w:sz w:val="19"/>
          <w:szCs w:val="19"/>
          <w:color w:val="auto"/>
        </w:rPr>
        <w:t>In March 2020, the World Health Organization declared a pandemic related to the novel coronavirus (“COVID-19”), which led to government-ordered shutdowns of non-essential businesses, travel restrictions and restrictions on public gatherings and, as a result, our results of operations for the second quarter and first half of 2020 were negatively impacted. As restrictions were eased, the game of golf experienced a surge in rounds of play around the world, which resulted in increased demand for our products. On a Company-wide basis, we quickly began to experience demand pressures across all brands and product categories, which challenged, and continue to challenge, our supply chain and our ability to service our trade partners and golfers.</w:t>
      </w:r>
    </w:p>
    <w:p>
      <w:pPr>
        <w:spacing w:after="0" w:line="149" w:lineRule="exact"/>
        <w:rPr>
          <w:sz w:val="20"/>
          <w:szCs w:val="20"/>
          <w:color w:val="auto"/>
        </w:rPr>
      </w:pPr>
    </w:p>
    <w:p>
      <w:pPr>
        <w:ind w:right="320"/>
        <w:spacing w:after="0" w:line="271" w:lineRule="auto"/>
        <w:rPr>
          <w:sz w:val="20"/>
          <w:szCs w:val="20"/>
          <w:color w:val="auto"/>
        </w:rPr>
      </w:pPr>
      <w:r>
        <w:rPr>
          <w:rFonts w:ascii="Arial" w:cs="Arial" w:eastAsia="Arial" w:hAnsi="Arial"/>
          <w:sz w:val="21"/>
          <w:szCs w:val="21"/>
          <w:color w:val="auto"/>
        </w:rPr>
        <w:t>During the first nine months of 2021, rounds of play remained high and we continued to see an increase in demand for our products, leading to increased sales volumes across all reportable segments. However, during this period, we also experienced supply chain disruptions causing shortages of various raw materials and increased freight charges.</w:t>
      </w:r>
    </w:p>
    <w:p>
      <w:pPr>
        <w:spacing w:after="0" w:line="113" w:lineRule="exact"/>
        <w:rPr>
          <w:sz w:val="20"/>
          <w:szCs w:val="20"/>
          <w:color w:val="auto"/>
        </w:rPr>
      </w:pPr>
    </w:p>
    <w:p>
      <w:pPr>
        <w:ind w:right="100"/>
        <w:spacing w:after="0" w:line="297" w:lineRule="auto"/>
        <w:rPr>
          <w:sz w:val="20"/>
          <w:szCs w:val="20"/>
          <w:color w:val="auto"/>
        </w:rPr>
      </w:pPr>
      <w:r>
        <w:rPr>
          <w:rFonts w:ascii="Arial" w:cs="Arial" w:eastAsia="Arial" w:hAnsi="Arial"/>
          <w:sz w:val="19"/>
          <w:szCs w:val="19"/>
          <w:color w:val="auto"/>
        </w:rPr>
        <w:t>While government-ordered shutdowns and restrictions have eased in most regions and mass vaccination programs are underway, the emergence of virus variants and resurgences of positive cases has led to an increase in restrictions in some regions and could prompt increased restrictions in other regions, which could further disrupt our supply chain. Although we have seen increased rounds of play and demand for golf-related products, over the course of the pandemic, this could change as mass vaccination programs continue to advance and restrictions are further eased on other activities.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220"/>
          </w:cols>
          <w:pgMar w:left="320" w:top="1252" w:right="359" w:bottom="1440" w:gutter="0" w:footer="0" w:header="0"/>
        </w:sectPr>
      </w:pPr>
    </w:p>
    <w:bookmarkStart w:id="7" w:name="page8"/>
    <w:bookmarkEnd w:id="7"/>
    <w:p>
      <w:pPr>
        <w:spacing w:after="0"/>
        <w:rPr>
          <w:sz w:val="20"/>
          <w:szCs w:val="20"/>
          <w:color w:val="auto"/>
        </w:rPr>
      </w:pPr>
      <w:r>
        <w:rPr>
          <w:rFonts w:ascii="Arial" w:cs="Arial" w:eastAsia="Arial" w:hAnsi="Arial"/>
          <w:sz w:val="22"/>
          <w:szCs w:val="22"/>
          <w:b w:val="1"/>
          <w:bCs w:val="1"/>
          <w:u w:val="single" w:color="auto"/>
          <w:color w:val="auto"/>
        </w:rPr>
        <w:t>2021 Outlook</w:t>
      </w:r>
    </w:p>
    <w:p>
      <w:pPr>
        <w:spacing w:after="0" w:line="226" w:lineRule="exact"/>
        <w:rPr>
          <w:sz w:val="20"/>
          <w:szCs w:val="20"/>
          <w:color w:val="auto"/>
        </w:rPr>
      </w:pPr>
    </w:p>
    <w:p>
      <w:pPr>
        <w:ind w:right="60"/>
        <w:spacing w:after="0" w:line="248" w:lineRule="auto"/>
        <w:rPr>
          <w:sz w:val="20"/>
          <w:szCs w:val="20"/>
          <w:color w:val="auto"/>
        </w:rPr>
      </w:pPr>
      <w:r>
        <w:rPr>
          <w:rFonts w:ascii="Arial" w:cs="Arial" w:eastAsia="Arial" w:hAnsi="Arial"/>
          <w:sz w:val="22"/>
          <w:szCs w:val="22"/>
          <w:color w:val="auto"/>
        </w:rPr>
        <w:t>The Company expects full-year consolidated net sales to be approximately $2,080 to $2,110 million and Adjusted EBITDA to be approximately $305 to $325 million. On a constant currency basis, consolidated net sales are expected to be in the range of up 26.1% to 28.0%. The Company's outlook assumes no significant worsening of the COVID-19 pandemic, including incremental closures of global markets and additional supply chain disruptions. The Company plans to share additional details of the 2021 Outlook during its investor conference call.</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Investor Conference Call</w:t>
      </w:r>
    </w:p>
    <w:p>
      <w:pPr>
        <w:spacing w:after="0" w:line="226" w:lineRule="exact"/>
        <w:rPr>
          <w:sz w:val="20"/>
          <w:szCs w:val="20"/>
          <w:color w:val="auto"/>
        </w:rPr>
      </w:pPr>
    </w:p>
    <w:p>
      <w:pPr>
        <w:jc w:val="both"/>
        <w:ind w:right="200"/>
        <w:spacing w:after="0" w:line="271" w:lineRule="auto"/>
        <w:rPr>
          <w:sz w:val="20"/>
          <w:szCs w:val="20"/>
          <w:color w:val="auto"/>
        </w:rPr>
      </w:pPr>
      <w:r>
        <w:rPr>
          <w:rFonts w:ascii="Arial" w:cs="Arial" w:eastAsia="Arial" w:hAnsi="Arial"/>
          <w:sz w:val="21"/>
          <w:szCs w:val="21"/>
          <w:color w:val="auto"/>
        </w:rPr>
        <w:t>Acushnet will hold a conference call at 8:30 am (Eastern Time) on November 4, 2021 to discuss the financial results and host a question and answer session. A live webcast of the conference call will be accessible at www.AcushnetHoldingsCorp.com/ir. A replay archive of the webcast will be available shortly after the call concludes.</w:t>
      </w:r>
    </w:p>
    <w:p>
      <w:pPr>
        <w:spacing w:after="0" w:line="16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About Acushnet Holdings Corp.</w:t>
      </w:r>
    </w:p>
    <w:p>
      <w:pPr>
        <w:spacing w:after="0" w:line="226" w:lineRule="exact"/>
        <w:rPr>
          <w:sz w:val="20"/>
          <w:szCs w:val="20"/>
          <w:color w:val="auto"/>
        </w:rPr>
      </w:pPr>
    </w:p>
    <w:p>
      <w:pPr>
        <w:spacing w:after="0" w:line="260" w:lineRule="auto"/>
        <w:rPr>
          <w:sz w:val="20"/>
          <w:szCs w:val="20"/>
          <w:color w:val="auto"/>
        </w:rPr>
      </w:pPr>
      <w:r>
        <w:rPr>
          <w:rFonts w:ascii="Arial" w:cs="Arial" w:eastAsia="Arial" w:hAnsi="Arial"/>
          <w:sz w:val="21"/>
          <w:szCs w:val="21"/>
          <w:color w:val="auto"/>
        </w:rPr>
        <w:t>We are the global leader in the design, development, manufacture and distribution of performance-driven golf products, which are widely recognized for their quality excellence. Driven by our focus on dedicated and discerning golfers and the golf shops that serve them, we believe we are the most authentic and enduring company in the golf industry. Our mission - to be the performance and quality leader in every golf product category in which we compete - has remained consistent since we entered the golf ball business in 1932. Today, we are the steward of two of the most revered brands in golf – Titleist, one of golf’s leading performance equipment brands, and FootJoy, one of golf’s leading performance wear brands. Additional information can be found at www.acushnetholdingscorp.com.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220"/>
          </w:cols>
          <w:pgMar w:left="320" w:top="1260" w:right="359" w:bottom="1440" w:gutter="0" w:footer="0" w:header="0"/>
        </w:sectPr>
      </w:pPr>
    </w:p>
    <w:bookmarkStart w:id="8" w:name="page9"/>
    <w:bookmarkEnd w:id="8"/>
    <w:p>
      <w:pPr>
        <w:spacing w:after="0"/>
        <w:rPr>
          <w:sz w:val="20"/>
          <w:szCs w:val="20"/>
          <w:color w:val="auto"/>
        </w:rPr>
      </w:pPr>
      <w:r>
        <w:rPr>
          <w:rFonts w:ascii="Arial" w:cs="Arial" w:eastAsia="Arial" w:hAnsi="Arial"/>
          <w:sz w:val="22"/>
          <w:szCs w:val="22"/>
          <w:b w:val="1"/>
          <w:bCs w:val="1"/>
          <w:u w:val="single" w:color="auto"/>
          <w:color w:val="auto"/>
        </w:rPr>
        <w:t>Forward-Looking Statements</w:t>
      </w:r>
    </w:p>
    <w:p>
      <w:pPr>
        <w:spacing w:after="0" w:line="226" w:lineRule="exact"/>
        <w:rPr>
          <w:sz w:val="20"/>
          <w:szCs w:val="20"/>
          <w:color w:val="auto"/>
        </w:rPr>
      </w:pPr>
    </w:p>
    <w:p>
      <w:pPr>
        <w:ind w:right="240"/>
        <w:spacing w:after="0" w:line="245" w:lineRule="auto"/>
        <w:rPr>
          <w:sz w:val="20"/>
          <w:szCs w:val="20"/>
          <w:color w:val="auto"/>
        </w:rPr>
      </w:pPr>
      <w:r>
        <w:rPr>
          <w:rFonts w:ascii="Arial" w:cs="Arial" w:eastAsia="Arial" w:hAnsi="Arial"/>
          <w:sz w:val="22"/>
          <w:szCs w:val="22"/>
          <w:i w:val="1"/>
          <w:iCs w:val="1"/>
          <w:color w:val="auto"/>
        </w:rPr>
        <w:t>This press release includes forward-looking statements that reflect our current views with respect to, among other things, our 2021 outlook, our operations, our financial performance and the impact of the COVID-19 pandemic on our business. These forward-looking statements are included throughout this press release and relate to matters such as our industry, business strategy, goals and expectations concerning our market position, future operations, margins, profitability, capital expenditures, liquidity and capital resources and other financial and operating information such as our anticipated consolidated net sales, consolidated net sales on a constant currency basis and Adjusted EBITDA. We use words like “guidance,” “outlook,” “anticipate,” “assume,” “believe,” “continue,” “could,” “estimate,” “expect,” “intend,” “may,” “plan,” “potential,” “predict,” “project,” “future,” “will,” “seek,” “foreseeable” and similar terms and phrases to identify forward-looking statements in this press release.</w:t>
      </w:r>
    </w:p>
    <w:p>
      <w:pPr>
        <w:spacing w:after="0" w:line="227" w:lineRule="exact"/>
        <w:rPr>
          <w:sz w:val="20"/>
          <w:szCs w:val="20"/>
          <w:color w:val="auto"/>
        </w:rPr>
      </w:pPr>
    </w:p>
    <w:p>
      <w:pPr>
        <w:spacing w:after="0" w:line="284" w:lineRule="auto"/>
        <w:rPr>
          <w:sz w:val="20"/>
          <w:szCs w:val="20"/>
          <w:color w:val="auto"/>
        </w:rPr>
      </w:pPr>
      <w:r>
        <w:rPr>
          <w:rFonts w:ascii="Arial" w:cs="Arial" w:eastAsia="Arial" w:hAnsi="Arial"/>
          <w:sz w:val="19"/>
          <w:szCs w:val="19"/>
          <w:i w:val="1"/>
          <w:iCs w:val="1"/>
          <w:color w:val="auto"/>
        </w:rPr>
        <w:t>The forward-looking statements contained in this press release are based on management’s current expectations and are subject to uncertainty and changes in circumstances. We cannot assure you that future developments affecting us will be those that we have anticipated. Actual results may differ materially from these expectations due to changes in global, regional or local economic, business, competitive, market, regulatory and other factors, many of which are beyond our control. Important factors that could cause or contribute to such differences include: the duration and impact of the COVID-19 pandemic, which may precipitate or exacerbate one or more of the following risks and uncertainties; a reduction in the number of rounds of golf played or in the number of golf participants; unfavorable weather conditions may impact the number of playable days and rounds played in a given year; consumer spending habits and macroeconomic factors may affect the number of rounds of golf played and related spending on golf products; demographic factors may affect the number of golf participants and related spending on our products; a significant disruption in the operations of our manufacturing, assembly or distribution facilities; our ability to procure raw materials or components of our products; a disruption in the operations of our suppliers; the cost of raw materials and components; currency transaction and translation risk; our ability to successfully manage the frequent introduction of new products or satisfy changing consumer preferences, quality and regulatory standards; our reliance on technical innovation and high-quality products; changes to the Rules of Golf with respect to equipment; our ability to adequately enforce and protect our intellectual property rights; involvement in lawsuits to protect, defend or enforce our intellectual property rights; our ability to prevent infringement of intellectual property rights by others; changes to patent laws; intense competition and our ability to maintain a competitive advantage in each of our markets; limited opportunities for future growth in sales of certain of our products, including golf balls, golf shoes and golf gloves; our customers’ financial condition, their levels of business activity and their ability to pay trade obligations; a decrease in corporate spending on our custom logo golf balls; our ability to maintain and further develop our sales channels; consolidation of retailers or concentration of retail market share; our ability to maintain and enhance our brands; seasonal fluctuations of our business; fluctuations of our business based on the timing of new product introductions; risks associated with doing business globally; compliance with laws, regulations and policies, including the U.S. Foreign Corrupt Practices Act or other applicable anti-corruption legislation, as well as federal, state and local policies and executive orders regarding the COVID-19 pandemic; our ability to secure professional golfers to endorse or use our products; negative publicity relating to us or the golfers who use our products or the golf industry in general; our ability to accurately forecast demand for our products; a disruption in the service or a significant increase in the cost, of our primary delivery and shipping services or a significant disruption at shipping ports; our ability to maintain our information systems to adequately perform their functions; cybersecurity risks; the ability of our eCommerce systems to function effectively; impairment of goodwill and identifiable intangible assets; our ability to attract and/or retain management and other key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240"/>
          </w:cols>
          <w:pgMar w:left="320" w:top="1260" w:right="339" w:bottom="1440" w:gutter="0" w:footer="0" w:header="0"/>
        </w:sectPr>
      </w:pPr>
    </w:p>
    <w:bookmarkStart w:id="9" w:name="page10"/>
    <w:bookmarkEnd w:id="9"/>
    <w:p>
      <w:pPr>
        <w:spacing w:after="0" w:line="285" w:lineRule="auto"/>
        <w:rPr>
          <w:sz w:val="20"/>
          <w:szCs w:val="20"/>
          <w:color w:val="auto"/>
        </w:rPr>
      </w:pPr>
      <w:r>
        <w:rPr>
          <w:rFonts w:ascii="Arial" w:cs="Arial" w:eastAsia="Arial" w:hAnsi="Arial"/>
          <w:sz w:val="19"/>
          <w:szCs w:val="19"/>
          <w:i w:val="1"/>
          <w:iCs w:val="1"/>
          <w:color w:val="auto"/>
        </w:rPr>
        <w:t>employees and hire qualified management, technical and manufacturing personnel; our ability to prohibit sales of our products by unauthorized retailers or distributors; our ability to grow our presence in existing international markets and expand into additional international markets; tax uncertainties, including potential changes in tax laws, unanticipated tax liabilities and limitations on utilization of tax attributes after any change of control; adequate levels of coverage of our insurance policies; product liability, warranty and recall claims; litigation and other regulatory proceedings; compliance with environmental, health and safety laws and regulations; our ability to secure additional capital at all or on terms acceptable to us and potential dilution of holders of our common stock; risks associated with acquisitions and investments; our estimates or judgments relating to our critical accounting estimates; terrorist activities and international political instability; occurrence of natural disasters or pandemic diseases, including the COVID-19 pandemic; our substantial leverage, ability to service our indebtedness, ability to incur more indebtedness and restrictions in the agreements governing our indebtedness; our use of derivative financial instruments; the ability of our controlling shareholder to control significant corporate activities, and that our controlling shareholder’s interests may conflict with yours; our status as a controlled company; the market price of shares of our common stock; our ability to maintain effective internal controls over financial reporting; our ability to pay dividends; our status as a holding company; dilution from future issuances or sales of our common stock; anti-takeover provisions in our organizational documents and Delaware law; reports from securities analysts; and the other factors set forth in the section entitled “Risk Factors” in our Annual Report on Form 10-K for the year ended December 31, 2020 filed with the Securities and Exchange Commission ("SEC") on February 25, 2021 as it may be updated by our periodic reports subsequently filed with the SEC. These factors should not be construed as exhaustive. Should one or more of these risks or uncertainties materialize, or should any of our assumptions prove incorrect, our actual results may vary in material respects from those projected in these forward-looking statements.</w:t>
      </w:r>
    </w:p>
    <w:p>
      <w:pPr>
        <w:spacing w:after="0" w:line="200" w:lineRule="exact"/>
        <w:rPr>
          <w:sz w:val="20"/>
          <w:szCs w:val="20"/>
          <w:color w:val="auto"/>
        </w:rPr>
      </w:pPr>
    </w:p>
    <w:p>
      <w:pPr>
        <w:spacing w:after="0" w:line="243" w:lineRule="exact"/>
        <w:rPr>
          <w:sz w:val="20"/>
          <w:szCs w:val="20"/>
          <w:color w:val="auto"/>
        </w:rPr>
      </w:pPr>
    </w:p>
    <w:p>
      <w:pPr>
        <w:ind w:right="60"/>
        <w:spacing w:after="0" w:line="292" w:lineRule="auto"/>
        <w:rPr>
          <w:sz w:val="20"/>
          <w:szCs w:val="20"/>
          <w:color w:val="auto"/>
        </w:rPr>
      </w:pPr>
      <w:r>
        <w:rPr>
          <w:rFonts w:ascii="Arial" w:cs="Arial" w:eastAsia="Arial" w:hAnsi="Arial"/>
          <w:sz w:val="19"/>
          <w:szCs w:val="19"/>
          <w:i w:val="1"/>
          <w:iCs w:val="1"/>
          <w:color w:val="auto"/>
        </w:rPr>
        <w:t>Any forward-looking statement made by us in this press release speaks only as of the date of this press release. Factors or events that could cause our actual results to differ may emerge from time to time, and it is not possible for us to predict all of them.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investments or other strategic transactions we may make. We undertake no obligation to publicly update or review any forward-looking statement, whether as a result of new information, future developments or otherwise, except as may be required by any applicable securities laws.</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 Contact:</w:t>
      </w:r>
    </w:p>
    <w:p>
      <w:pPr>
        <w:spacing w:after="0" w:line="27" w:lineRule="exact"/>
        <w:rPr>
          <w:sz w:val="20"/>
          <w:szCs w:val="20"/>
          <w:color w:val="auto"/>
        </w:rPr>
      </w:pPr>
    </w:p>
    <w:p>
      <w:pPr>
        <w:spacing w:after="0"/>
        <w:rPr>
          <w:sz w:val="20"/>
          <w:szCs w:val="20"/>
          <w:color w:val="auto"/>
        </w:rPr>
      </w:pPr>
      <w:r>
        <w:rPr>
          <w:rFonts w:ascii="Arial" w:cs="Arial" w:eastAsia="Arial" w:hAnsi="Arial"/>
          <w:sz w:val="22"/>
          <w:szCs w:val="22"/>
          <w:u w:val="single" w:color="auto"/>
          <w:color w:val="0000FF"/>
        </w:rPr>
        <w:t>AcushnetPR@icrinc.com</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Investor Contact:</w:t>
      </w:r>
    </w:p>
    <w:p>
      <w:pPr>
        <w:spacing w:after="0" w:line="27" w:lineRule="exact"/>
        <w:rPr>
          <w:sz w:val="20"/>
          <w:szCs w:val="20"/>
          <w:color w:val="auto"/>
        </w:rPr>
      </w:pPr>
    </w:p>
    <w:p>
      <w:pPr>
        <w:spacing w:after="0"/>
        <w:rPr>
          <w:sz w:val="20"/>
          <w:szCs w:val="20"/>
          <w:color w:val="auto"/>
        </w:rPr>
      </w:pPr>
      <w:r>
        <w:rPr>
          <w:rFonts w:ascii="Arial" w:cs="Arial" w:eastAsia="Arial" w:hAnsi="Arial"/>
          <w:sz w:val="22"/>
          <w:szCs w:val="22"/>
          <w:u w:val="single" w:color="auto"/>
          <w:color w:val="0000FF"/>
        </w:rPr>
        <w:t>IR@AcushnetGolf.com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59"/>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180"/>
          </w:cols>
          <w:pgMar w:left="320" w:top="1266" w:right="399" w:bottom="1440" w:gutter="0" w:footer="0" w:header="0"/>
        </w:sectPr>
      </w:pPr>
    </w:p>
    <w:bookmarkStart w:id="10" w:name="page11"/>
    <w:bookmarkEnd w:id="10"/>
    <w:p>
      <w:pPr>
        <w:jc w:val="center"/>
        <w:ind w:right="-459"/>
        <w:spacing w:after="0"/>
        <w:rPr>
          <w:sz w:val="20"/>
          <w:szCs w:val="20"/>
          <w:color w:val="auto"/>
        </w:rPr>
      </w:pPr>
      <w:r>
        <w:rPr>
          <w:rFonts w:ascii="Arial" w:cs="Arial" w:eastAsia="Arial" w:hAnsi="Arial"/>
          <w:sz w:val="22"/>
          <w:szCs w:val="22"/>
          <w:b w:val="1"/>
          <w:bCs w:val="1"/>
          <w:color w:val="auto"/>
        </w:rPr>
        <w:t>ACUSHNET HOLDINGS CORP.</w:t>
      </w:r>
    </w:p>
    <w:p>
      <w:pPr>
        <w:spacing w:after="0" w:line="247" w:lineRule="exact"/>
        <w:rPr>
          <w:sz w:val="20"/>
          <w:szCs w:val="20"/>
          <w:color w:val="auto"/>
        </w:rPr>
      </w:pPr>
    </w:p>
    <w:p>
      <w:pPr>
        <w:ind w:left="1640"/>
        <w:spacing w:after="0"/>
        <w:rPr>
          <w:sz w:val="20"/>
          <w:szCs w:val="20"/>
          <w:color w:val="auto"/>
        </w:rPr>
      </w:pPr>
      <w:r>
        <w:rPr>
          <w:rFonts w:ascii="Arial" w:cs="Arial" w:eastAsia="Arial" w:hAnsi="Arial"/>
          <w:sz w:val="22"/>
          <w:szCs w:val="22"/>
          <w:b w:val="1"/>
          <w:bCs w:val="1"/>
          <w:color w:val="auto"/>
        </w:rPr>
        <w:t>CONDENSED CONSOLIDATED STATEMENTS OF OPERATIONS (UNAUDITED)</w:t>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4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580" w:type="dxa"/>
            <w:vAlign w:val="bottom"/>
            <w:gridSpan w:val="5"/>
          </w:tcPr>
          <w:p>
            <w:pPr>
              <w:ind w:left="80"/>
              <w:spacing w:after="0"/>
              <w:rPr>
                <w:sz w:val="20"/>
                <w:szCs w:val="20"/>
                <w:color w:val="auto"/>
              </w:rPr>
            </w:pPr>
            <w:r>
              <w:rPr>
                <w:rFonts w:ascii="Arial" w:cs="Arial" w:eastAsia="Arial" w:hAnsi="Arial"/>
                <w:sz w:val="14"/>
                <w:szCs w:val="14"/>
                <w:b w:val="1"/>
                <w:bCs w:val="1"/>
                <w:color w:val="auto"/>
              </w:rPr>
              <w:t>Three months ended September 30,</w:t>
            </w:r>
          </w:p>
        </w:tc>
        <w:tc>
          <w:tcPr>
            <w:tcW w:w="180" w:type="dxa"/>
            <w:vAlign w:val="bottom"/>
          </w:tcPr>
          <w:p>
            <w:pPr>
              <w:spacing w:after="0"/>
              <w:rPr>
                <w:sz w:val="16"/>
                <w:szCs w:val="16"/>
                <w:color w:val="auto"/>
              </w:rPr>
            </w:pPr>
          </w:p>
        </w:tc>
        <w:tc>
          <w:tcPr>
            <w:tcW w:w="2440" w:type="dxa"/>
            <w:vAlign w:val="bottom"/>
            <w:gridSpan w:val="4"/>
          </w:tcPr>
          <w:p>
            <w:pPr>
              <w:jc w:val="right"/>
              <w:ind w:right="179"/>
              <w:spacing w:after="0"/>
              <w:rPr>
                <w:sz w:val="20"/>
                <w:szCs w:val="20"/>
                <w:color w:val="auto"/>
              </w:rPr>
            </w:pPr>
            <w:r>
              <w:rPr>
                <w:rFonts w:ascii="Arial" w:cs="Arial" w:eastAsia="Arial" w:hAnsi="Arial"/>
                <w:sz w:val="14"/>
                <w:szCs w:val="14"/>
                <w:b w:val="1"/>
                <w:bCs w:val="1"/>
                <w:color w:val="auto"/>
                <w:w w:val="94"/>
              </w:rPr>
              <w:t>Nine months ended September 30,</w:t>
            </w:r>
          </w:p>
        </w:tc>
      </w:tr>
      <w:tr>
        <w:trPr>
          <w:trHeight w:val="199"/>
        </w:trPr>
        <w:tc>
          <w:tcPr>
            <w:tcW w:w="542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i w:val="1"/>
                <w:iCs w:val="1"/>
                <w:color w:val="auto"/>
              </w:rPr>
              <w:t>(in thousands, except share and per share amounts)</w:t>
            </w:r>
          </w:p>
        </w:tc>
        <w:tc>
          <w:tcPr>
            <w:tcW w:w="160" w:type="dxa"/>
            <w:vAlign w:val="bottom"/>
            <w:tcBorders>
              <w:top w:val="single" w:sz="8" w:color="auto"/>
              <w:bottom w:val="single" w:sz="8" w:color="auto"/>
            </w:tcBorders>
          </w:tcPr>
          <w:p>
            <w:pPr>
              <w:spacing w:after="0"/>
              <w:rPr>
                <w:sz w:val="17"/>
                <w:szCs w:val="17"/>
                <w:color w:val="auto"/>
              </w:rPr>
            </w:pPr>
          </w:p>
        </w:tc>
        <w:tc>
          <w:tcPr>
            <w:tcW w:w="1060" w:type="dxa"/>
            <w:vAlign w:val="bottom"/>
            <w:tcBorders>
              <w:top w:val="single" w:sz="8" w:color="auto"/>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bottom w:val="single" w:sz="8" w:color="CCEEFF"/>
            </w:tcBorders>
          </w:tcPr>
          <w:p>
            <w:pPr>
              <w:spacing w:after="0"/>
              <w:rPr>
                <w:sz w:val="17"/>
                <w:szCs w:val="17"/>
                <w:color w:val="auto"/>
              </w:rPr>
            </w:pPr>
          </w:p>
        </w:tc>
        <w:tc>
          <w:tcPr>
            <w:tcW w:w="30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1100" w:type="dxa"/>
            <w:vAlign w:val="bottom"/>
            <w:tcBorders>
              <w:top w:val="single" w:sz="8" w:color="auto"/>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2020</w:t>
            </w:r>
          </w:p>
        </w:tc>
      </w:tr>
      <w:tr>
        <w:trPr>
          <w:trHeight w:val="213"/>
        </w:trPr>
        <w:tc>
          <w:tcPr>
            <w:tcW w:w="542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sales</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521,629</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482,932</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1,727,364</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1,191,675</w:t>
            </w:r>
          </w:p>
        </w:tc>
      </w:tr>
      <w:tr>
        <w:trPr>
          <w:trHeight w:val="213"/>
        </w:trPr>
        <w:tc>
          <w:tcPr>
            <w:tcW w:w="54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Cost of goods sold</w:t>
            </w:r>
          </w:p>
        </w:tc>
        <w:tc>
          <w:tcPr>
            <w:tcW w:w="1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252,792</w:t>
            </w:r>
          </w:p>
        </w:tc>
        <w:tc>
          <w:tcPr>
            <w:tcW w:w="12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230,911</w:t>
            </w: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813,362</w:t>
            </w:r>
          </w:p>
        </w:tc>
        <w:tc>
          <w:tcPr>
            <w:tcW w:w="10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582,242</w:t>
            </w:r>
          </w:p>
        </w:tc>
      </w:tr>
      <w:tr>
        <w:trPr>
          <w:trHeight w:val="213"/>
        </w:trPr>
        <w:tc>
          <w:tcPr>
            <w:tcW w:w="5420" w:type="dxa"/>
            <w:vAlign w:val="bottom"/>
            <w:shd w:val="clear" w:color="auto" w:fill="CCEEFF"/>
          </w:tcPr>
          <w:p>
            <w:pPr>
              <w:ind w:left="560"/>
              <w:spacing w:after="0"/>
              <w:rPr>
                <w:sz w:val="20"/>
                <w:szCs w:val="20"/>
                <w:color w:val="auto"/>
              </w:rPr>
            </w:pPr>
            <w:r>
              <w:rPr>
                <w:rFonts w:ascii="Arial" w:cs="Arial" w:eastAsia="Arial" w:hAnsi="Arial"/>
                <w:sz w:val="16"/>
                <w:szCs w:val="16"/>
                <w:color w:val="auto"/>
              </w:rPr>
              <w:t>Gross profit</w:t>
            </w: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268,837</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252,021</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914,002</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609,433</w:t>
            </w:r>
          </w:p>
        </w:tc>
      </w:tr>
      <w:tr>
        <w:trPr>
          <w:trHeight w:val="213"/>
        </w:trPr>
        <w:tc>
          <w:tcPr>
            <w:tcW w:w="5420" w:type="dxa"/>
            <w:vAlign w:val="bottom"/>
          </w:tcPr>
          <w:p>
            <w:pPr>
              <w:ind w:left="20"/>
              <w:spacing w:after="0"/>
              <w:rPr>
                <w:sz w:val="20"/>
                <w:szCs w:val="20"/>
                <w:color w:val="auto"/>
              </w:rPr>
            </w:pPr>
            <w:r>
              <w:rPr>
                <w:rFonts w:ascii="Arial" w:cs="Arial" w:eastAsia="Arial" w:hAnsi="Arial"/>
                <w:sz w:val="16"/>
                <w:szCs w:val="16"/>
                <w:color w:val="auto"/>
              </w:rPr>
              <w:t>Operating expenses:</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19"/>
        </w:trPr>
        <w:tc>
          <w:tcPr>
            <w:tcW w:w="54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Selling, general and administrative</w:t>
            </w:r>
          </w:p>
        </w:tc>
        <w:tc>
          <w:tcPr>
            <w:tcW w:w="1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199,787</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153,724</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586,411</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436,982</w:t>
            </w:r>
          </w:p>
        </w:tc>
      </w:tr>
      <w:tr>
        <w:trPr>
          <w:trHeight w:val="213"/>
        </w:trPr>
        <w:tc>
          <w:tcPr>
            <w:tcW w:w="5420" w:type="dxa"/>
            <w:vAlign w:val="bottom"/>
          </w:tcPr>
          <w:p>
            <w:pPr>
              <w:ind w:left="220"/>
              <w:spacing w:after="0"/>
              <w:rPr>
                <w:sz w:val="20"/>
                <w:szCs w:val="20"/>
                <w:color w:val="auto"/>
              </w:rPr>
            </w:pPr>
            <w:r>
              <w:rPr>
                <w:rFonts w:ascii="Arial" w:cs="Arial" w:eastAsia="Arial" w:hAnsi="Arial"/>
                <w:sz w:val="16"/>
                <w:szCs w:val="16"/>
                <w:color w:val="auto"/>
              </w:rPr>
              <w:t>Research and development</w:t>
            </w: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14,597</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10,611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39,947</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34,963</w:t>
            </w:r>
          </w:p>
        </w:tc>
      </w:tr>
      <w:tr>
        <w:trPr>
          <w:trHeight w:val="219"/>
        </w:trPr>
        <w:tc>
          <w:tcPr>
            <w:tcW w:w="54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Intangible amortization</w:t>
            </w:r>
          </w:p>
        </w:tc>
        <w:tc>
          <w:tcPr>
            <w:tcW w:w="1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1,967</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1,964</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5,909</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5,875</w:t>
            </w:r>
          </w:p>
        </w:tc>
      </w:tr>
      <w:tr>
        <w:trPr>
          <w:trHeight w:val="213"/>
        </w:trPr>
        <w:tc>
          <w:tcPr>
            <w:tcW w:w="5420" w:type="dxa"/>
            <w:vAlign w:val="bottom"/>
          </w:tcPr>
          <w:p>
            <w:pPr>
              <w:ind w:left="220"/>
              <w:spacing w:after="0"/>
              <w:rPr>
                <w:sz w:val="20"/>
                <w:szCs w:val="20"/>
                <w:color w:val="auto"/>
              </w:rPr>
            </w:pPr>
            <w:r>
              <w:rPr>
                <w:rFonts w:ascii="Arial" w:cs="Arial" w:eastAsia="Arial" w:hAnsi="Arial"/>
                <w:sz w:val="16"/>
                <w:szCs w:val="16"/>
                <w:color w:val="auto"/>
              </w:rPr>
              <w:t>Restructuring charges</w:t>
            </w:r>
          </w:p>
        </w:tc>
        <w:tc>
          <w:tcPr>
            <w:tcW w:w="16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518</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13,250</w:t>
            </w:r>
          </w:p>
        </w:tc>
      </w:tr>
      <w:tr>
        <w:trPr>
          <w:trHeight w:val="213"/>
        </w:trPr>
        <w:tc>
          <w:tcPr>
            <w:tcW w:w="5420" w:type="dxa"/>
            <w:vAlign w:val="bottom"/>
            <w:tcBorders>
              <w:top w:val="single" w:sz="8" w:color="CCEEFF"/>
            </w:tcBorders>
            <w:shd w:val="clear" w:color="auto" w:fill="CCEEFF"/>
          </w:tcPr>
          <w:p>
            <w:pPr>
              <w:ind w:left="560"/>
              <w:spacing w:after="0"/>
              <w:rPr>
                <w:sz w:val="20"/>
                <w:szCs w:val="20"/>
                <w:color w:val="auto"/>
              </w:rPr>
            </w:pPr>
            <w:r>
              <w:rPr>
                <w:rFonts w:ascii="Arial" w:cs="Arial" w:eastAsia="Arial" w:hAnsi="Arial"/>
                <w:sz w:val="16"/>
                <w:szCs w:val="16"/>
                <w:color w:val="auto"/>
              </w:rPr>
              <w:t>Income from operations</w:t>
            </w:r>
          </w:p>
        </w:tc>
        <w:tc>
          <w:tcPr>
            <w:tcW w:w="16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52,486</w:t>
            </w:r>
          </w:p>
        </w:tc>
        <w:tc>
          <w:tcPr>
            <w:tcW w:w="12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85,204</w:t>
            </w: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281,735</w:t>
            </w:r>
          </w:p>
        </w:tc>
        <w:tc>
          <w:tcPr>
            <w:tcW w:w="1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118,363</w:t>
            </w:r>
          </w:p>
        </w:tc>
      </w:tr>
      <w:tr>
        <w:trPr>
          <w:trHeight w:val="213"/>
        </w:trPr>
        <w:tc>
          <w:tcPr>
            <w:tcW w:w="5420" w:type="dxa"/>
            <w:vAlign w:val="bottom"/>
          </w:tcPr>
          <w:p>
            <w:pPr>
              <w:ind w:left="20"/>
              <w:spacing w:after="0"/>
              <w:rPr>
                <w:sz w:val="20"/>
                <w:szCs w:val="20"/>
                <w:color w:val="auto"/>
              </w:rPr>
            </w:pPr>
            <w:r>
              <w:rPr>
                <w:rFonts w:ascii="Arial" w:cs="Arial" w:eastAsia="Arial" w:hAnsi="Arial"/>
                <w:sz w:val="16"/>
                <w:szCs w:val="16"/>
                <w:color w:val="auto"/>
              </w:rPr>
              <w:t>Interest expense, net</w:t>
            </w: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1,147</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3,831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6,611</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12,356</w:t>
            </w:r>
          </w:p>
        </w:tc>
      </w:tr>
      <w:tr>
        <w:trPr>
          <w:trHeight w:val="219"/>
        </w:trPr>
        <w:tc>
          <w:tcPr>
            <w:tcW w:w="5420" w:type="dxa"/>
            <w:vAlign w:val="bottom"/>
            <w:shd w:val="clear" w:color="auto" w:fill="CCEEFF"/>
          </w:tcPr>
          <w:p>
            <w:pPr>
              <w:ind w:left="20"/>
              <w:spacing w:after="0"/>
              <w:rPr>
                <w:sz w:val="20"/>
                <w:szCs w:val="20"/>
                <w:color w:val="auto"/>
              </w:rPr>
            </w:pPr>
            <w:r>
              <w:rPr>
                <w:rFonts w:ascii="Arial" w:cs="Arial" w:eastAsia="Arial" w:hAnsi="Arial"/>
                <w:sz w:val="16"/>
                <w:szCs w:val="16"/>
                <w:color w:val="auto"/>
              </w:rPr>
              <w:t>Other expense, net</w:t>
            </w:r>
          </w:p>
        </w:tc>
        <w:tc>
          <w:tcPr>
            <w:tcW w:w="1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939</w:t>
            </w:r>
          </w:p>
        </w:tc>
        <w:tc>
          <w:tcPr>
            <w:tcW w:w="12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3,186</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3,170</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8,050</w:t>
            </w:r>
          </w:p>
        </w:tc>
      </w:tr>
      <w:tr>
        <w:trPr>
          <w:trHeight w:val="207"/>
        </w:trPr>
        <w:tc>
          <w:tcPr>
            <w:tcW w:w="5420" w:type="dxa"/>
            <w:vAlign w:val="bottom"/>
          </w:tcPr>
          <w:p>
            <w:pPr>
              <w:ind w:left="560"/>
              <w:spacing w:after="0"/>
              <w:rPr>
                <w:sz w:val="20"/>
                <w:szCs w:val="20"/>
                <w:color w:val="auto"/>
              </w:rPr>
            </w:pPr>
            <w:r>
              <w:rPr>
                <w:rFonts w:ascii="Arial" w:cs="Arial" w:eastAsia="Arial" w:hAnsi="Arial"/>
                <w:sz w:val="16"/>
                <w:szCs w:val="16"/>
                <w:color w:val="auto"/>
              </w:rPr>
              <w:t>Income before income taxes</w:t>
            </w:r>
          </w:p>
        </w:tc>
        <w:tc>
          <w:tcPr>
            <w:tcW w:w="16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50,400</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78,187</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271,954</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97,957</w:t>
            </w:r>
          </w:p>
        </w:tc>
      </w:tr>
      <w:tr>
        <w:trPr>
          <w:trHeight w:val="219"/>
        </w:trPr>
        <w:tc>
          <w:tcPr>
            <w:tcW w:w="542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Income tax expense</w:t>
            </w:r>
          </w:p>
        </w:tc>
        <w:tc>
          <w:tcPr>
            <w:tcW w:w="1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10,475</w:t>
            </w:r>
          </w:p>
        </w:tc>
        <w:tc>
          <w:tcPr>
            <w:tcW w:w="12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14,141</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62,882</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21,183</w:t>
            </w:r>
          </w:p>
        </w:tc>
      </w:tr>
      <w:tr>
        <w:trPr>
          <w:trHeight w:val="207"/>
        </w:trPr>
        <w:tc>
          <w:tcPr>
            <w:tcW w:w="5420" w:type="dxa"/>
            <w:vAlign w:val="bottom"/>
          </w:tcPr>
          <w:p>
            <w:pPr>
              <w:ind w:left="560"/>
              <w:spacing w:after="0"/>
              <w:rPr>
                <w:sz w:val="20"/>
                <w:szCs w:val="20"/>
                <w:color w:val="auto"/>
              </w:rPr>
            </w:pPr>
            <w:r>
              <w:rPr>
                <w:rFonts w:ascii="Arial" w:cs="Arial" w:eastAsia="Arial" w:hAnsi="Arial"/>
                <w:sz w:val="16"/>
                <w:szCs w:val="16"/>
                <w:color w:val="auto"/>
              </w:rPr>
              <w:t>Net income</w:t>
            </w:r>
          </w:p>
        </w:tc>
        <w:tc>
          <w:tcPr>
            <w:tcW w:w="16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39,925</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64,046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209,072</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76,774</w:t>
            </w:r>
          </w:p>
        </w:tc>
      </w:tr>
      <w:tr>
        <w:trPr>
          <w:trHeight w:val="216"/>
        </w:trPr>
        <w:tc>
          <w:tcPr>
            <w:tcW w:w="5420" w:type="dxa"/>
            <w:vAlign w:val="bottom"/>
            <w:shd w:val="clear" w:color="auto" w:fill="CCEEFF"/>
          </w:tcPr>
          <w:p>
            <w:pPr>
              <w:ind w:left="20"/>
              <w:spacing w:after="0"/>
              <w:rPr>
                <w:sz w:val="20"/>
                <w:szCs w:val="20"/>
                <w:color w:val="auto"/>
              </w:rPr>
            </w:pPr>
            <w:r>
              <w:rPr>
                <w:rFonts w:ascii="Arial" w:cs="Arial" w:eastAsia="Arial" w:hAnsi="Arial"/>
                <w:sz w:val="16"/>
                <w:szCs w:val="16"/>
                <w:color w:val="auto"/>
              </w:rPr>
              <w:t>Less: Net income attributable to noncontrolling interests</w:t>
            </w:r>
          </w:p>
        </w:tc>
        <w:tc>
          <w:tcPr>
            <w:tcW w:w="16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(661)</w:t>
            </w:r>
          </w:p>
        </w:tc>
        <w:tc>
          <w:tcPr>
            <w:tcW w:w="1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(830)</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(3,765)</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(2,368)</w:t>
            </w:r>
          </w:p>
        </w:tc>
      </w:tr>
      <w:tr>
        <w:trPr>
          <w:trHeight w:val="213"/>
        </w:trPr>
        <w:tc>
          <w:tcPr>
            <w:tcW w:w="5420" w:type="dxa"/>
            <w:vAlign w:val="bottom"/>
          </w:tcPr>
          <w:p>
            <w:pPr>
              <w:ind w:left="20"/>
              <w:spacing w:after="0"/>
              <w:rPr>
                <w:sz w:val="20"/>
                <w:szCs w:val="20"/>
                <w:color w:val="auto"/>
              </w:rPr>
            </w:pPr>
            <w:r>
              <w:rPr>
                <w:rFonts w:ascii="Arial" w:cs="Arial" w:eastAsia="Arial" w:hAnsi="Arial"/>
                <w:sz w:val="16"/>
                <w:szCs w:val="16"/>
                <w:color w:val="auto"/>
              </w:rPr>
              <w:t>Net income attributable to Acushnet Holdings Corp.</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39,264</w:t>
            </w:r>
          </w:p>
        </w:tc>
        <w:tc>
          <w:tcPr>
            <w:tcW w:w="120" w:type="dxa"/>
            <w:vAlign w:val="bottom"/>
          </w:tcPr>
          <w:p>
            <w:pPr>
              <w:spacing w:after="0"/>
              <w:rPr>
                <w:sz w:val="18"/>
                <w:szCs w:val="18"/>
                <w:color w:val="auto"/>
              </w:rPr>
            </w:pP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63,216</w:t>
            </w:r>
          </w:p>
        </w:tc>
        <w:tc>
          <w:tcPr>
            <w:tcW w:w="1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205,307</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74,406</w:t>
            </w:r>
          </w:p>
        </w:tc>
      </w:tr>
      <w:tr>
        <w:trPr>
          <w:trHeight w:val="20"/>
        </w:trPr>
        <w:tc>
          <w:tcPr>
            <w:tcW w:w="54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r>
        <w:trPr>
          <w:trHeight w:val="183"/>
        </w:trPr>
        <w:tc>
          <w:tcPr>
            <w:tcW w:w="54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r>
      <w:tr>
        <w:trPr>
          <w:trHeight w:val="213"/>
        </w:trPr>
        <w:tc>
          <w:tcPr>
            <w:tcW w:w="5420" w:type="dxa"/>
            <w:vAlign w:val="bottom"/>
          </w:tcPr>
          <w:p>
            <w:pPr>
              <w:ind w:left="20"/>
              <w:spacing w:after="0"/>
              <w:rPr>
                <w:sz w:val="20"/>
                <w:szCs w:val="20"/>
                <w:color w:val="auto"/>
              </w:rPr>
            </w:pPr>
            <w:r>
              <w:rPr>
                <w:rFonts w:ascii="Arial" w:cs="Arial" w:eastAsia="Arial" w:hAnsi="Arial"/>
                <w:sz w:val="16"/>
                <w:szCs w:val="16"/>
                <w:color w:val="auto"/>
              </w:rPr>
              <w:t>Net income per common share attributable to Acushnet Holdings Corp.:</w:t>
            </w: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19"/>
        </w:trPr>
        <w:tc>
          <w:tcPr>
            <w:tcW w:w="5420" w:type="dxa"/>
            <w:vAlign w:val="bottom"/>
            <w:shd w:val="clear" w:color="auto" w:fill="CCEEFF"/>
          </w:tcPr>
          <w:p>
            <w:pPr>
              <w:ind w:left="560"/>
              <w:spacing w:after="0"/>
              <w:rPr>
                <w:sz w:val="20"/>
                <w:szCs w:val="20"/>
                <w:color w:val="auto"/>
              </w:rPr>
            </w:pPr>
            <w:r>
              <w:rPr>
                <w:rFonts w:ascii="Arial" w:cs="Arial" w:eastAsia="Arial" w:hAnsi="Arial"/>
                <w:sz w:val="16"/>
                <w:szCs w:val="16"/>
                <w:color w:val="auto"/>
              </w:rPr>
              <w:t>Basic</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0.53</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0.85</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2.75</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w:t>
            </w:r>
          </w:p>
        </w:tc>
      </w:tr>
      <w:tr>
        <w:trPr>
          <w:trHeight w:val="213"/>
        </w:trPr>
        <w:tc>
          <w:tcPr>
            <w:tcW w:w="5420" w:type="dxa"/>
            <w:vAlign w:val="bottom"/>
          </w:tcPr>
          <w:p>
            <w:pPr>
              <w:ind w:left="560"/>
              <w:spacing w:after="0"/>
              <w:rPr>
                <w:sz w:val="20"/>
                <w:szCs w:val="20"/>
                <w:color w:val="auto"/>
              </w:rPr>
            </w:pPr>
            <w:r>
              <w:rPr>
                <w:rFonts w:ascii="Arial" w:cs="Arial" w:eastAsia="Arial" w:hAnsi="Arial"/>
                <w:sz w:val="16"/>
                <w:szCs w:val="16"/>
                <w:color w:val="auto"/>
              </w:rPr>
              <w:t>Diluted</w:t>
            </w: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0.52</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0.84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2.73</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0.99</w:t>
            </w:r>
          </w:p>
        </w:tc>
      </w:tr>
      <w:tr>
        <w:trPr>
          <w:trHeight w:val="219"/>
        </w:trPr>
        <w:tc>
          <w:tcPr>
            <w:tcW w:w="5420" w:type="dxa"/>
            <w:vAlign w:val="bottom"/>
            <w:shd w:val="clear" w:color="auto" w:fill="CCEEFF"/>
          </w:tcPr>
          <w:p>
            <w:pPr>
              <w:ind w:left="20"/>
              <w:spacing w:after="0"/>
              <w:rPr>
                <w:sz w:val="20"/>
                <w:szCs w:val="20"/>
                <w:color w:val="auto"/>
              </w:rPr>
            </w:pPr>
            <w:r>
              <w:rPr>
                <w:rFonts w:ascii="Arial" w:cs="Arial" w:eastAsia="Arial" w:hAnsi="Arial"/>
                <w:sz w:val="16"/>
                <w:szCs w:val="16"/>
                <w:color w:val="auto"/>
              </w:rPr>
              <w:t>Weighted average number of common shares:</w:t>
            </w:r>
          </w:p>
        </w:tc>
        <w:tc>
          <w:tcPr>
            <w:tcW w:w="16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r>
      <w:tr>
        <w:trPr>
          <w:trHeight w:val="213"/>
        </w:trPr>
        <w:tc>
          <w:tcPr>
            <w:tcW w:w="5420" w:type="dxa"/>
            <w:vAlign w:val="bottom"/>
          </w:tcPr>
          <w:p>
            <w:pPr>
              <w:ind w:left="560"/>
              <w:spacing w:after="0"/>
              <w:rPr>
                <w:sz w:val="20"/>
                <w:szCs w:val="20"/>
                <w:color w:val="auto"/>
              </w:rPr>
            </w:pPr>
            <w:r>
              <w:rPr>
                <w:rFonts w:ascii="Arial" w:cs="Arial" w:eastAsia="Arial" w:hAnsi="Arial"/>
                <w:sz w:val="16"/>
                <w:szCs w:val="16"/>
                <w:color w:val="auto"/>
              </w:rPr>
              <w:t>Basic</w:t>
            </w: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74,533,652</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74,448,733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74,656,837</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74,498,841</w:t>
            </w:r>
          </w:p>
        </w:tc>
      </w:tr>
      <w:tr>
        <w:trPr>
          <w:trHeight w:val="219"/>
        </w:trPr>
        <w:tc>
          <w:tcPr>
            <w:tcW w:w="5420" w:type="dxa"/>
            <w:vAlign w:val="bottom"/>
            <w:shd w:val="clear" w:color="auto" w:fill="CCEEFF"/>
          </w:tcPr>
          <w:p>
            <w:pPr>
              <w:ind w:left="560"/>
              <w:spacing w:after="0"/>
              <w:rPr>
                <w:sz w:val="20"/>
                <w:szCs w:val="20"/>
                <w:color w:val="auto"/>
              </w:rPr>
            </w:pPr>
            <w:r>
              <w:rPr>
                <w:rFonts w:ascii="Arial" w:cs="Arial" w:eastAsia="Arial" w:hAnsi="Arial"/>
                <w:sz w:val="16"/>
                <w:szCs w:val="16"/>
                <w:color w:val="auto"/>
              </w:rPr>
              <w:t>Diluted</w:t>
            </w:r>
          </w:p>
        </w:tc>
        <w:tc>
          <w:tcPr>
            <w:tcW w:w="16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75,301,431</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75,082,805</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75,292,647</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75,017,229</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459"/>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0780"/>
          </w:cols>
          <w:pgMar w:left="320" w:top="1260" w:right="799" w:bottom="1440" w:gutter="0" w:footer="0" w:header="0"/>
        </w:sectPr>
      </w:pPr>
    </w:p>
    <w:bookmarkStart w:id="11" w:name="page12"/>
    <w:bookmarkEnd w:id="11"/>
    <w:p>
      <w:pPr>
        <w:jc w:val="center"/>
        <w:spacing w:after="0"/>
        <w:rPr>
          <w:sz w:val="20"/>
          <w:szCs w:val="20"/>
          <w:color w:val="auto"/>
        </w:rPr>
      </w:pPr>
      <w:r>
        <w:rPr>
          <w:rFonts w:ascii="Arial" w:cs="Arial" w:eastAsia="Arial" w:hAnsi="Arial"/>
          <w:sz w:val="22"/>
          <w:szCs w:val="22"/>
          <w:b w:val="1"/>
          <w:bCs w:val="1"/>
          <w:color w:val="auto"/>
        </w:rPr>
        <w:t>ACUSHNET HOLDINGS CORP.</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CONDENSED CONSOLIDATED BALANCE SHEETS (UNAUDITED)</w:t>
      </w:r>
    </w:p>
    <w:p>
      <w:pPr>
        <w:spacing w:after="0" w:line="3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gridSpan w:val="2"/>
          </w:tcPr>
          <w:p>
            <w:pPr>
              <w:ind w:left="2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6"/>
                <w:szCs w:val="16"/>
                <w:color w:val="auto"/>
              </w:rPr>
            </w:pPr>
          </w:p>
        </w:tc>
        <w:tc>
          <w:tcPr>
            <w:tcW w:w="1000" w:type="dxa"/>
            <w:vAlign w:val="bottom"/>
          </w:tcPr>
          <w:p>
            <w:pPr>
              <w:jc w:val="right"/>
              <w:ind w:right="68"/>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95"/>
        </w:trPr>
        <w:tc>
          <w:tcPr>
            <w:tcW w:w="888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(in thousands, except share and per share amounts)</w:t>
            </w: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75"/>
        </w:trPr>
        <w:tc>
          <w:tcPr>
            <w:tcW w:w="888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1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8880" w:type="dxa"/>
            <w:vAlign w:val="bottom"/>
          </w:tcPr>
          <w:p>
            <w:pPr>
              <w:ind w:left="20"/>
              <w:spacing w:after="0"/>
              <w:rPr>
                <w:sz w:val="20"/>
                <w:szCs w:val="20"/>
                <w:color w:val="auto"/>
              </w:rPr>
            </w:pPr>
            <w:r>
              <w:rPr>
                <w:rFonts w:ascii="Arial" w:cs="Arial" w:eastAsia="Arial" w:hAnsi="Arial"/>
                <w:sz w:val="14"/>
                <w:szCs w:val="14"/>
                <w:color w:val="auto"/>
              </w:rPr>
              <w:t>Current assets</w:t>
            </w: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Cash, cash equivalents and restricted cash ($12,085 and $6,843 attributable to the FootJoy golf shoe joint venture ("JV"))</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320,506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151,452</w:t>
            </w:r>
          </w:p>
        </w:tc>
        <w:tc>
          <w:tcPr>
            <w:tcW w:w="0" w:type="dxa"/>
            <w:vAlign w:val="bottom"/>
          </w:tcPr>
          <w:p>
            <w:pPr>
              <w:spacing w:after="0"/>
              <w:rPr>
                <w:sz w:val="1"/>
                <w:szCs w:val="1"/>
                <w:color w:val="auto"/>
              </w:rPr>
            </w:pPr>
          </w:p>
        </w:tc>
      </w:tr>
      <w:tr>
        <w:trPr>
          <w:trHeight w:val="186"/>
        </w:trPr>
        <w:tc>
          <w:tcPr>
            <w:tcW w:w="8880" w:type="dxa"/>
            <w:vAlign w:val="bottom"/>
          </w:tcPr>
          <w:p>
            <w:pPr>
              <w:ind w:left="140"/>
              <w:spacing w:after="0"/>
              <w:rPr>
                <w:sz w:val="20"/>
                <w:szCs w:val="20"/>
                <w:color w:val="auto"/>
              </w:rPr>
            </w:pPr>
            <w:r>
              <w:rPr>
                <w:rFonts w:ascii="Arial" w:cs="Arial" w:eastAsia="Arial" w:hAnsi="Arial"/>
                <w:sz w:val="14"/>
                <w:szCs w:val="14"/>
                <w:color w:val="auto"/>
              </w:rPr>
              <w:t>Accounts receivable, net</w:t>
            </w:r>
          </w:p>
        </w:tc>
        <w:tc>
          <w:tcPr>
            <w:tcW w:w="1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300,331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201,518</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Inventories ($12,503 and $13,830 attributable to the FootJoy JV)</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325,488</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357,682</w:t>
            </w:r>
          </w:p>
        </w:tc>
        <w:tc>
          <w:tcPr>
            <w:tcW w:w="0" w:type="dxa"/>
            <w:vAlign w:val="bottom"/>
          </w:tcPr>
          <w:p>
            <w:pPr>
              <w:spacing w:after="0"/>
              <w:rPr>
                <w:sz w:val="1"/>
                <w:szCs w:val="1"/>
                <w:color w:val="auto"/>
              </w:rPr>
            </w:pPr>
          </w:p>
        </w:tc>
      </w:tr>
      <w:tr>
        <w:trPr>
          <w:trHeight w:val="186"/>
        </w:trPr>
        <w:tc>
          <w:tcPr>
            <w:tcW w:w="888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Prepaid and other assets</w:t>
            </w: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101,640</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89,155</w:t>
            </w:r>
          </w:p>
        </w:tc>
        <w:tc>
          <w:tcPr>
            <w:tcW w:w="0" w:type="dxa"/>
            <w:vAlign w:val="bottom"/>
          </w:tcPr>
          <w:p>
            <w:pPr>
              <w:spacing w:after="0"/>
              <w:rPr>
                <w:sz w:val="1"/>
                <w:szCs w:val="1"/>
                <w:color w:val="auto"/>
              </w:rPr>
            </w:pPr>
          </w:p>
        </w:tc>
      </w:tr>
      <w:tr>
        <w:trPr>
          <w:trHeight w:val="186"/>
        </w:trPr>
        <w:tc>
          <w:tcPr>
            <w:tcW w:w="8880" w:type="dxa"/>
            <w:vAlign w:val="bottom"/>
            <w:shd w:val="clear" w:color="auto" w:fill="CCEEFF"/>
          </w:tcPr>
          <w:p>
            <w:pPr>
              <w:ind w:left="560"/>
              <w:spacing w:after="0"/>
              <w:rPr>
                <w:sz w:val="20"/>
                <w:szCs w:val="20"/>
                <w:color w:val="auto"/>
              </w:rPr>
            </w:pPr>
            <w:r>
              <w:rPr>
                <w:rFonts w:ascii="Arial" w:cs="Arial" w:eastAsia="Arial" w:hAnsi="Arial"/>
                <w:sz w:val="14"/>
                <w:szCs w:val="14"/>
                <w:color w:val="auto"/>
              </w:rPr>
              <w:t>Total current assets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1,047,965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799,807</w:t>
            </w:r>
          </w:p>
        </w:tc>
        <w:tc>
          <w:tcPr>
            <w:tcW w:w="0" w:type="dxa"/>
            <w:vAlign w:val="bottom"/>
          </w:tcPr>
          <w:p>
            <w:pPr>
              <w:spacing w:after="0"/>
              <w:rPr>
                <w:sz w:val="1"/>
                <w:szCs w:val="1"/>
                <w:color w:val="auto"/>
              </w:rPr>
            </w:pPr>
          </w:p>
        </w:tc>
      </w:tr>
      <w:tr>
        <w:trPr>
          <w:trHeight w:val="186"/>
        </w:trPr>
        <w:tc>
          <w:tcPr>
            <w:tcW w:w="8880" w:type="dxa"/>
            <w:vAlign w:val="bottom"/>
          </w:tcPr>
          <w:p>
            <w:pPr>
              <w:ind w:left="20"/>
              <w:spacing w:after="0"/>
              <w:rPr>
                <w:sz w:val="20"/>
                <w:szCs w:val="20"/>
                <w:color w:val="auto"/>
              </w:rPr>
            </w:pPr>
            <w:r>
              <w:rPr>
                <w:rFonts w:ascii="Arial" w:cs="Arial" w:eastAsia="Arial" w:hAnsi="Arial"/>
                <w:sz w:val="14"/>
                <w:szCs w:val="14"/>
                <w:color w:val="auto"/>
              </w:rPr>
              <w:t>Property, plant and equipment, net ($10,402 and $10,538 attributable to the FootJoy JV)</w:t>
            </w:r>
          </w:p>
        </w:tc>
        <w:tc>
          <w:tcPr>
            <w:tcW w:w="1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217,757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222,811</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20"/>
              <w:spacing w:after="0"/>
              <w:rPr>
                <w:sz w:val="20"/>
                <w:szCs w:val="20"/>
                <w:color w:val="auto"/>
              </w:rPr>
            </w:pPr>
            <w:r>
              <w:rPr>
                <w:rFonts w:ascii="Arial" w:cs="Arial" w:eastAsia="Arial" w:hAnsi="Arial"/>
                <w:sz w:val="14"/>
                <w:szCs w:val="14"/>
                <w:color w:val="auto"/>
              </w:rPr>
              <w:t>Goodwill ($32,312 and $32,312 attributable to the FootJoy JV)</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211,936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215,186</w:t>
            </w:r>
          </w:p>
        </w:tc>
        <w:tc>
          <w:tcPr>
            <w:tcW w:w="0" w:type="dxa"/>
            <w:vAlign w:val="bottom"/>
          </w:tcPr>
          <w:p>
            <w:pPr>
              <w:spacing w:after="0"/>
              <w:rPr>
                <w:sz w:val="1"/>
                <w:szCs w:val="1"/>
                <w:color w:val="auto"/>
              </w:rPr>
            </w:pPr>
          </w:p>
        </w:tc>
      </w:tr>
      <w:tr>
        <w:trPr>
          <w:trHeight w:val="186"/>
        </w:trPr>
        <w:tc>
          <w:tcPr>
            <w:tcW w:w="8880" w:type="dxa"/>
            <w:vAlign w:val="bottom"/>
          </w:tcPr>
          <w:p>
            <w:pPr>
              <w:ind w:left="20"/>
              <w:spacing w:after="0"/>
              <w:rPr>
                <w:sz w:val="20"/>
                <w:szCs w:val="20"/>
                <w:color w:val="auto"/>
              </w:rPr>
            </w:pPr>
            <w:r>
              <w:rPr>
                <w:rFonts w:ascii="Arial" w:cs="Arial" w:eastAsia="Arial" w:hAnsi="Arial"/>
                <w:sz w:val="14"/>
                <w:szCs w:val="14"/>
                <w:color w:val="auto"/>
              </w:rPr>
              <w:t>Intangible assets, net</w:t>
            </w:r>
          </w:p>
        </w:tc>
        <w:tc>
          <w:tcPr>
            <w:tcW w:w="1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467,380</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473,533</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20"/>
              <w:spacing w:after="0"/>
              <w:rPr>
                <w:sz w:val="20"/>
                <w:szCs w:val="20"/>
                <w:color w:val="auto"/>
              </w:rPr>
            </w:pPr>
            <w:r>
              <w:rPr>
                <w:rFonts w:ascii="Arial" w:cs="Arial" w:eastAsia="Arial" w:hAnsi="Arial"/>
                <w:sz w:val="14"/>
                <w:szCs w:val="14"/>
                <w:color w:val="auto"/>
              </w:rPr>
              <w:t>Deferred income taxes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58,586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80,060</w:t>
            </w:r>
          </w:p>
        </w:tc>
        <w:tc>
          <w:tcPr>
            <w:tcW w:w="0" w:type="dxa"/>
            <w:vAlign w:val="bottom"/>
          </w:tcPr>
          <w:p>
            <w:pPr>
              <w:spacing w:after="0"/>
              <w:rPr>
                <w:sz w:val="1"/>
                <w:szCs w:val="1"/>
                <w:color w:val="auto"/>
              </w:rPr>
            </w:pPr>
          </w:p>
        </w:tc>
      </w:tr>
      <w:tr>
        <w:trPr>
          <w:trHeight w:val="186"/>
        </w:trPr>
        <w:tc>
          <w:tcPr>
            <w:tcW w:w="88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Other assets ($2,198 and $2,239 attributable to the FootJoy JV)</w:t>
            </w: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71,601</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75,158</w:t>
            </w:r>
          </w:p>
        </w:tc>
        <w:tc>
          <w:tcPr>
            <w:tcW w:w="0" w:type="dxa"/>
            <w:vAlign w:val="bottom"/>
          </w:tcPr>
          <w:p>
            <w:pPr>
              <w:spacing w:after="0"/>
              <w:rPr>
                <w:sz w:val="1"/>
                <w:szCs w:val="1"/>
                <w:color w:val="auto"/>
              </w:rPr>
            </w:pPr>
          </w:p>
        </w:tc>
      </w:tr>
      <w:tr>
        <w:trPr>
          <w:trHeight w:val="211"/>
        </w:trPr>
        <w:tc>
          <w:tcPr>
            <w:tcW w:w="8880" w:type="dxa"/>
            <w:vAlign w:val="bottom"/>
            <w:tcBorders>
              <w:bottom w:val="single" w:sz="8" w:color="CCEEFF"/>
            </w:tcBorders>
            <w:shd w:val="clear" w:color="auto" w:fill="CCEEFF"/>
          </w:tcPr>
          <w:p>
            <w:pPr>
              <w:ind w:left="560"/>
              <w:spacing w:after="0"/>
              <w:rPr>
                <w:sz w:val="20"/>
                <w:szCs w:val="20"/>
                <w:color w:val="auto"/>
              </w:rPr>
            </w:pPr>
            <w:r>
              <w:rPr>
                <w:rFonts w:ascii="Arial" w:cs="Arial" w:eastAsia="Arial" w:hAnsi="Arial"/>
                <w:sz w:val="14"/>
                <w:szCs w:val="14"/>
                <w:color w:val="auto"/>
              </w:rPr>
              <w:t>Total assets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2,075,225</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1,866,555</w:t>
            </w:r>
          </w:p>
        </w:tc>
        <w:tc>
          <w:tcPr>
            <w:tcW w:w="0" w:type="dxa"/>
            <w:vAlign w:val="bottom"/>
          </w:tcPr>
          <w:p>
            <w:pPr>
              <w:spacing w:after="0"/>
              <w:rPr>
                <w:sz w:val="1"/>
                <w:szCs w:val="1"/>
                <w:color w:val="auto"/>
              </w:rPr>
            </w:pPr>
          </w:p>
        </w:tc>
      </w:tr>
      <w:tr>
        <w:trPr>
          <w:trHeight w:val="20"/>
        </w:trPr>
        <w:tc>
          <w:tcPr>
            <w:tcW w:w="88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4"/>
                <w:szCs w:val="14"/>
                <w:b w:val="1"/>
                <w:bCs w:val="1"/>
                <w:color w:val="auto"/>
              </w:rPr>
              <w:t>Liabilities, Redeemable Noncontrolling Interest and Shareholders' Equity</w:t>
            </w: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5"/>
        </w:trPr>
        <w:tc>
          <w:tcPr>
            <w:tcW w:w="888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0"/>
        </w:trPr>
        <w:tc>
          <w:tcPr>
            <w:tcW w:w="88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Current liabilities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8880" w:type="dxa"/>
            <w:vAlign w:val="bottom"/>
          </w:tcPr>
          <w:p>
            <w:pPr>
              <w:ind w:left="140"/>
              <w:spacing w:after="0"/>
              <w:rPr>
                <w:sz w:val="20"/>
                <w:szCs w:val="20"/>
                <w:color w:val="auto"/>
              </w:rPr>
            </w:pPr>
            <w:r>
              <w:rPr>
                <w:rFonts w:ascii="Arial" w:cs="Arial" w:eastAsia="Arial" w:hAnsi="Arial"/>
                <w:sz w:val="14"/>
                <w:szCs w:val="14"/>
                <w:color w:val="auto"/>
              </w:rPr>
              <w:t>Short-term debt</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589</w:t>
            </w:r>
          </w:p>
        </w:tc>
        <w:tc>
          <w:tcPr>
            <w:tcW w:w="10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2,810</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Current portion of long-term debt</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17,500</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17,500</w:t>
            </w:r>
          </w:p>
        </w:tc>
        <w:tc>
          <w:tcPr>
            <w:tcW w:w="0" w:type="dxa"/>
            <w:vAlign w:val="bottom"/>
          </w:tcPr>
          <w:p>
            <w:pPr>
              <w:spacing w:after="0"/>
              <w:rPr>
                <w:sz w:val="1"/>
                <w:szCs w:val="1"/>
                <w:color w:val="auto"/>
              </w:rPr>
            </w:pPr>
          </w:p>
        </w:tc>
      </w:tr>
      <w:tr>
        <w:trPr>
          <w:trHeight w:val="186"/>
        </w:trPr>
        <w:tc>
          <w:tcPr>
            <w:tcW w:w="8880" w:type="dxa"/>
            <w:vAlign w:val="bottom"/>
          </w:tcPr>
          <w:p>
            <w:pPr>
              <w:ind w:left="140"/>
              <w:spacing w:after="0"/>
              <w:rPr>
                <w:sz w:val="20"/>
                <w:szCs w:val="20"/>
                <w:color w:val="auto"/>
              </w:rPr>
            </w:pPr>
            <w:r>
              <w:rPr>
                <w:rFonts w:ascii="Arial" w:cs="Arial" w:eastAsia="Arial" w:hAnsi="Arial"/>
                <w:sz w:val="14"/>
                <w:szCs w:val="14"/>
                <w:color w:val="auto"/>
              </w:rPr>
              <w:t>Accounts payable ($11,416 and $8,702 attributable to the FootJoy JV)</w:t>
            </w:r>
          </w:p>
        </w:tc>
        <w:tc>
          <w:tcPr>
            <w:tcW w:w="1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138,535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112,867</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Accrued taxes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62,868</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40,952</w:t>
            </w:r>
          </w:p>
        </w:tc>
        <w:tc>
          <w:tcPr>
            <w:tcW w:w="0" w:type="dxa"/>
            <w:vAlign w:val="bottom"/>
          </w:tcPr>
          <w:p>
            <w:pPr>
              <w:spacing w:after="0"/>
              <w:rPr>
                <w:sz w:val="1"/>
                <w:szCs w:val="1"/>
                <w:color w:val="auto"/>
              </w:rPr>
            </w:pPr>
          </w:p>
        </w:tc>
      </w:tr>
      <w:tr>
        <w:trPr>
          <w:trHeight w:val="186"/>
        </w:trPr>
        <w:tc>
          <w:tcPr>
            <w:tcW w:w="8880" w:type="dxa"/>
            <w:vAlign w:val="bottom"/>
          </w:tcPr>
          <w:p>
            <w:pPr>
              <w:ind w:left="140"/>
              <w:spacing w:after="0"/>
              <w:rPr>
                <w:sz w:val="20"/>
                <w:szCs w:val="20"/>
                <w:color w:val="auto"/>
              </w:rPr>
            </w:pPr>
            <w:r>
              <w:rPr>
                <w:rFonts w:ascii="Arial" w:cs="Arial" w:eastAsia="Arial" w:hAnsi="Arial"/>
                <w:sz w:val="14"/>
                <w:szCs w:val="14"/>
                <w:color w:val="auto"/>
              </w:rPr>
              <w:t>Accrued compensation and benefits ($1,624 and $1,454 attributable to the FootJoy JV)</w:t>
            </w:r>
          </w:p>
        </w:tc>
        <w:tc>
          <w:tcPr>
            <w:tcW w:w="1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96,434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82,290</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Accrued expenses and other liabilities ($4,146 and $3,699 attributable to the FootJoy JV)</w:t>
            </w:r>
          </w:p>
        </w:tc>
        <w:tc>
          <w:tcPr>
            <w:tcW w:w="1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126,753</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101,260</w:t>
            </w:r>
          </w:p>
        </w:tc>
        <w:tc>
          <w:tcPr>
            <w:tcW w:w="0" w:type="dxa"/>
            <w:vAlign w:val="bottom"/>
          </w:tcPr>
          <w:p>
            <w:pPr>
              <w:spacing w:after="0"/>
              <w:rPr>
                <w:sz w:val="1"/>
                <w:szCs w:val="1"/>
                <w:color w:val="auto"/>
              </w:rPr>
            </w:pPr>
          </w:p>
        </w:tc>
      </w:tr>
      <w:tr>
        <w:trPr>
          <w:trHeight w:val="179"/>
        </w:trPr>
        <w:tc>
          <w:tcPr>
            <w:tcW w:w="8880" w:type="dxa"/>
            <w:vAlign w:val="bottom"/>
          </w:tcPr>
          <w:p>
            <w:pPr>
              <w:ind w:left="560"/>
              <w:spacing w:after="0"/>
              <w:rPr>
                <w:sz w:val="20"/>
                <w:szCs w:val="20"/>
                <w:color w:val="auto"/>
              </w:rPr>
            </w:pPr>
            <w:r>
              <w:rPr>
                <w:rFonts w:ascii="Arial" w:cs="Arial" w:eastAsia="Arial" w:hAnsi="Arial"/>
                <w:sz w:val="14"/>
                <w:szCs w:val="14"/>
                <w:color w:val="auto"/>
              </w:rPr>
              <w:t>Total current liabilities</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442,679</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357,679</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20"/>
              <w:spacing w:after="0"/>
              <w:rPr>
                <w:sz w:val="20"/>
                <w:szCs w:val="20"/>
                <w:color w:val="auto"/>
              </w:rPr>
            </w:pPr>
            <w:r>
              <w:rPr>
                <w:rFonts w:ascii="Arial" w:cs="Arial" w:eastAsia="Arial" w:hAnsi="Arial"/>
                <w:sz w:val="14"/>
                <w:szCs w:val="14"/>
                <w:color w:val="auto"/>
              </w:rPr>
              <w:t>Long-term debt</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301,038</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313,619</w:t>
            </w:r>
          </w:p>
        </w:tc>
        <w:tc>
          <w:tcPr>
            <w:tcW w:w="0" w:type="dxa"/>
            <w:vAlign w:val="bottom"/>
          </w:tcPr>
          <w:p>
            <w:pPr>
              <w:spacing w:after="0"/>
              <w:rPr>
                <w:sz w:val="1"/>
                <w:szCs w:val="1"/>
                <w:color w:val="auto"/>
              </w:rPr>
            </w:pPr>
          </w:p>
        </w:tc>
      </w:tr>
      <w:tr>
        <w:trPr>
          <w:trHeight w:val="186"/>
        </w:trPr>
        <w:tc>
          <w:tcPr>
            <w:tcW w:w="8880" w:type="dxa"/>
            <w:vAlign w:val="bottom"/>
          </w:tcPr>
          <w:p>
            <w:pPr>
              <w:ind w:left="20"/>
              <w:spacing w:after="0"/>
              <w:rPr>
                <w:sz w:val="20"/>
                <w:szCs w:val="20"/>
                <w:color w:val="auto"/>
              </w:rPr>
            </w:pPr>
            <w:r>
              <w:rPr>
                <w:rFonts w:ascii="Arial" w:cs="Arial" w:eastAsia="Arial" w:hAnsi="Arial"/>
                <w:sz w:val="14"/>
                <w:szCs w:val="14"/>
                <w:color w:val="auto"/>
              </w:rPr>
              <w:t>Deferred income taxes</w:t>
            </w:r>
          </w:p>
        </w:tc>
        <w:tc>
          <w:tcPr>
            <w:tcW w:w="1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4,327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3,821</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Accrued pension and other postretirement benefits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102,588</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121,929</w:t>
            </w:r>
          </w:p>
        </w:tc>
        <w:tc>
          <w:tcPr>
            <w:tcW w:w="0" w:type="dxa"/>
            <w:vAlign w:val="bottom"/>
          </w:tcPr>
          <w:p>
            <w:pPr>
              <w:spacing w:after="0"/>
              <w:rPr>
                <w:sz w:val="1"/>
                <w:szCs w:val="1"/>
                <w:color w:val="auto"/>
              </w:rPr>
            </w:pPr>
          </w:p>
        </w:tc>
      </w:tr>
      <w:tr>
        <w:trPr>
          <w:trHeight w:val="186"/>
        </w:trPr>
        <w:tc>
          <w:tcPr>
            <w:tcW w:w="88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Other noncurrent liabilities ($2,209 and $2,261 attributable to the FootJoy JV)</w:t>
            </w: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48,529</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52,128</w:t>
            </w:r>
          </w:p>
        </w:tc>
        <w:tc>
          <w:tcPr>
            <w:tcW w:w="0" w:type="dxa"/>
            <w:vAlign w:val="bottom"/>
          </w:tcPr>
          <w:p>
            <w:pPr>
              <w:spacing w:after="0"/>
              <w:rPr>
                <w:sz w:val="1"/>
                <w:szCs w:val="1"/>
                <w:color w:val="auto"/>
              </w:rPr>
            </w:pPr>
          </w:p>
        </w:tc>
      </w:tr>
      <w:tr>
        <w:trPr>
          <w:trHeight w:val="186"/>
        </w:trPr>
        <w:tc>
          <w:tcPr>
            <w:tcW w:w="8880" w:type="dxa"/>
            <w:vAlign w:val="bottom"/>
            <w:shd w:val="clear" w:color="auto" w:fill="CCEEFF"/>
          </w:tcPr>
          <w:p>
            <w:pPr>
              <w:ind w:left="560"/>
              <w:spacing w:after="0"/>
              <w:rPr>
                <w:sz w:val="20"/>
                <w:szCs w:val="20"/>
                <w:color w:val="auto"/>
              </w:rPr>
            </w:pPr>
            <w:r>
              <w:rPr>
                <w:rFonts w:ascii="Arial" w:cs="Arial" w:eastAsia="Arial" w:hAnsi="Arial"/>
                <w:sz w:val="14"/>
                <w:szCs w:val="14"/>
                <w:color w:val="auto"/>
              </w:rPr>
              <w:t>Total liabilities</w:t>
            </w:r>
          </w:p>
        </w:tc>
        <w:tc>
          <w:tcPr>
            <w:tcW w:w="1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899,161</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849,176</w:t>
            </w:r>
          </w:p>
        </w:tc>
        <w:tc>
          <w:tcPr>
            <w:tcW w:w="0" w:type="dxa"/>
            <w:vAlign w:val="bottom"/>
          </w:tcPr>
          <w:p>
            <w:pPr>
              <w:spacing w:after="0"/>
              <w:rPr>
                <w:sz w:val="1"/>
                <w:szCs w:val="1"/>
                <w:color w:val="auto"/>
              </w:rPr>
            </w:pPr>
          </w:p>
        </w:tc>
      </w:tr>
      <w:tr>
        <w:trPr>
          <w:trHeight w:val="179"/>
        </w:trPr>
        <w:tc>
          <w:tcPr>
            <w:tcW w:w="88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Redeemable noncontrolling interest</w:t>
            </w: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1,386</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126</w:t>
            </w:r>
          </w:p>
        </w:tc>
        <w:tc>
          <w:tcPr>
            <w:tcW w:w="0" w:type="dxa"/>
            <w:vAlign w:val="bottom"/>
          </w:tcPr>
          <w:p>
            <w:pPr>
              <w:spacing w:after="0"/>
              <w:rPr>
                <w:sz w:val="1"/>
                <w:szCs w:val="1"/>
                <w:color w:val="auto"/>
              </w:rPr>
            </w:pPr>
          </w:p>
        </w:tc>
      </w:tr>
      <w:tr>
        <w:trPr>
          <w:trHeight w:val="172"/>
        </w:trPr>
        <w:tc>
          <w:tcPr>
            <w:tcW w:w="8880" w:type="dxa"/>
            <w:vAlign w:val="bottom"/>
            <w:shd w:val="clear" w:color="auto" w:fill="CCEEFF"/>
          </w:tcPr>
          <w:p>
            <w:pPr>
              <w:ind w:left="20"/>
              <w:spacing w:after="0"/>
              <w:rPr>
                <w:sz w:val="20"/>
                <w:szCs w:val="20"/>
                <w:color w:val="auto"/>
              </w:rPr>
            </w:pPr>
            <w:r>
              <w:rPr>
                <w:rFonts w:ascii="Arial" w:cs="Arial" w:eastAsia="Arial" w:hAnsi="Arial"/>
                <w:sz w:val="14"/>
                <w:szCs w:val="14"/>
                <w:color w:val="auto"/>
              </w:rPr>
              <w:t>Shareholders' equity</w:t>
            </w:r>
          </w:p>
        </w:tc>
        <w:tc>
          <w:tcPr>
            <w:tcW w:w="12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8880" w:type="dxa"/>
            <w:vAlign w:val="bottom"/>
          </w:tcPr>
          <w:p>
            <w:pPr>
              <w:ind w:left="140"/>
              <w:spacing w:after="0"/>
              <w:rPr>
                <w:sz w:val="20"/>
                <w:szCs w:val="20"/>
                <w:color w:val="auto"/>
              </w:rPr>
            </w:pPr>
            <w:r>
              <w:rPr>
                <w:rFonts w:ascii="Arial" w:cs="Arial" w:eastAsia="Arial" w:hAnsi="Arial"/>
                <w:sz w:val="14"/>
                <w:szCs w:val="14"/>
                <w:color w:val="auto"/>
              </w:rPr>
              <w:t>Common stock, $0.001 par value, 500,000,000 shares authorized; 75,855,036 and 75,666,367 shares issued</w:t>
            </w:r>
          </w:p>
        </w:tc>
        <w:tc>
          <w:tcPr>
            <w:tcW w:w="1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76</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76</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Additional paid-in capital</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941,771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925,385</w:t>
            </w:r>
          </w:p>
        </w:tc>
        <w:tc>
          <w:tcPr>
            <w:tcW w:w="0" w:type="dxa"/>
            <w:vAlign w:val="bottom"/>
          </w:tcPr>
          <w:p>
            <w:pPr>
              <w:spacing w:after="0"/>
              <w:rPr>
                <w:sz w:val="1"/>
                <w:szCs w:val="1"/>
                <w:color w:val="auto"/>
              </w:rPr>
            </w:pPr>
          </w:p>
        </w:tc>
      </w:tr>
      <w:tr>
        <w:trPr>
          <w:trHeight w:val="186"/>
        </w:trPr>
        <w:tc>
          <w:tcPr>
            <w:tcW w:w="8880" w:type="dxa"/>
            <w:vAlign w:val="bottom"/>
          </w:tcPr>
          <w:p>
            <w:pPr>
              <w:ind w:left="140"/>
              <w:spacing w:after="0"/>
              <w:rPr>
                <w:sz w:val="20"/>
                <w:szCs w:val="20"/>
                <w:color w:val="auto"/>
              </w:rPr>
            </w:pPr>
            <w:r>
              <w:rPr>
                <w:rFonts w:ascii="Arial" w:cs="Arial" w:eastAsia="Arial" w:hAnsi="Arial"/>
                <w:sz w:val="14"/>
                <w:szCs w:val="14"/>
                <w:color w:val="auto"/>
              </w:rPr>
              <w:t>Accumulated other comprehensive loss, net of tax</w:t>
            </w:r>
          </w:p>
        </w:tc>
        <w:tc>
          <w:tcPr>
            <w:tcW w:w="1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(102,365)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(96,182)</w:t>
            </w:r>
          </w:p>
        </w:tc>
        <w:tc>
          <w:tcPr>
            <w:tcW w:w="0" w:type="dxa"/>
            <w:vAlign w:val="bottom"/>
          </w:tcPr>
          <w:p>
            <w:pPr>
              <w:spacing w:after="0"/>
              <w:rPr>
                <w:sz w:val="1"/>
                <w:szCs w:val="1"/>
                <w:color w:val="auto"/>
              </w:rPr>
            </w:pPr>
          </w:p>
        </w:tc>
      </w:tr>
      <w:tr>
        <w:trPr>
          <w:trHeight w:val="192"/>
        </w:trPr>
        <w:tc>
          <w:tcPr>
            <w:tcW w:w="88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Retained earnings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365,205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199,776</w:t>
            </w:r>
          </w:p>
        </w:tc>
        <w:tc>
          <w:tcPr>
            <w:tcW w:w="0" w:type="dxa"/>
            <w:vAlign w:val="bottom"/>
          </w:tcPr>
          <w:p>
            <w:pPr>
              <w:spacing w:after="0"/>
              <w:rPr>
                <w:sz w:val="1"/>
                <w:szCs w:val="1"/>
                <w:color w:val="auto"/>
              </w:rPr>
            </w:pPr>
          </w:p>
        </w:tc>
      </w:tr>
      <w:tr>
        <w:trPr>
          <w:trHeight w:val="186"/>
        </w:trPr>
        <w:tc>
          <w:tcPr>
            <w:tcW w:w="888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Treasury stock, at cost; 2,114,277 and 1,671,754 shares (including 299,894 of accrued share repurchases as of December 31, 2020)</w:t>
            </w: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(66,474)</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(45,106)</w:t>
            </w:r>
          </w:p>
        </w:tc>
        <w:tc>
          <w:tcPr>
            <w:tcW w:w="0" w:type="dxa"/>
            <w:vAlign w:val="bottom"/>
          </w:tcPr>
          <w:p>
            <w:pPr>
              <w:spacing w:after="0"/>
              <w:rPr>
                <w:sz w:val="1"/>
                <w:szCs w:val="1"/>
                <w:color w:val="auto"/>
              </w:rPr>
            </w:pPr>
          </w:p>
        </w:tc>
      </w:tr>
      <w:tr>
        <w:trPr>
          <w:trHeight w:val="186"/>
        </w:trPr>
        <w:tc>
          <w:tcPr>
            <w:tcW w:w="8880" w:type="dxa"/>
            <w:vAlign w:val="bottom"/>
            <w:shd w:val="clear" w:color="auto" w:fill="CCEEFF"/>
          </w:tcPr>
          <w:p>
            <w:pPr>
              <w:ind w:left="560"/>
              <w:spacing w:after="0"/>
              <w:rPr>
                <w:sz w:val="20"/>
                <w:szCs w:val="20"/>
                <w:color w:val="auto"/>
              </w:rPr>
            </w:pPr>
            <w:r>
              <w:rPr>
                <w:rFonts w:ascii="Arial" w:cs="Arial" w:eastAsia="Arial" w:hAnsi="Arial"/>
                <w:sz w:val="14"/>
                <w:szCs w:val="14"/>
                <w:color w:val="auto"/>
              </w:rPr>
              <w:t>Total equity attributable to Acushnet Holdings Corp.</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1,138,213</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983,949</w:t>
            </w:r>
          </w:p>
        </w:tc>
        <w:tc>
          <w:tcPr>
            <w:tcW w:w="0" w:type="dxa"/>
            <w:vAlign w:val="bottom"/>
          </w:tcPr>
          <w:p>
            <w:pPr>
              <w:spacing w:after="0"/>
              <w:rPr>
                <w:sz w:val="1"/>
                <w:szCs w:val="1"/>
                <w:color w:val="auto"/>
              </w:rPr>
            </w:pPr>
          </w:p>
        </w:tc>
      </w:tr>
      <w:tr>
        <w:trPr>
          <w:trHeight w:val="186"/>
        </w:trPr>
        <w:tc>
          <w:tcPr>
            <w:tcW w:w="888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Noncontrolling interests</w:t>
            </w: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36,465</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33,304</w:t>
            </w:r>
          </w:p>
        </w:tc>
        <w:tc>
          <w:tcPr>
            <w:tcW w:w="0" w:type="dxa"/>
            <w:vAlign w:val="bottom"/>
          </w:tcPr>
          <w:p>
            <w:pPr>
              <w:spacing w:after="0"/>
              <w:rPr>
                <w:sz w:val="1"/>
                <w:szCs w:val="1"/>
                <w:color w:val="auto"/>
              </w:rPr>
            </w:pPr>
          </w:p>
        </w:tc>
      </w:tr>
      <w:tr>
        <w:trPr>
          <w:trHeight w:val="183"/>
        </w:trPr>
        <w:tc>
          <w:tcPr>
            <w:tcW w:w="8880" w:type="dxa"/>
            <w:vAlign w:val="bottom"/>
            <w:shd w:val="clear" w:color="auto" w:fill="CCEEFF"/>
          </w:tcPr>
          <w:p>
            <w:pPr>
              <w:ind w:left="560"/>
              <w:spacing w:after="0"/>
              <w:rPr>
                <w:sz w:val="20"/>
                <w:szCs w:val="20"/>
                <w:color w:val="auto"/>
              </w:rPr>
            </w:pPr>
            <w:r>
              <w:rPr>
                <w:rFonts w:ascii="Arial" w:cs="Arial" w:eastAsia="Arial" w:hAnsi="Arial"/>
                <w:sz w:val="14"/>
                <w:szCs w:val="14"/>
                <w:color w:val="auto"/>
              </w:rPr>
              <w:t>Total shareholders' equity</w:t>
            </w:r>
          </w:p>
        </w:tc>
        <w:tc>
          <w:tcPr>
            <w:tcW w:w="120" w:type="dxa"/>
            <w:vAlign w:val="bottom"/>
            <w:tcBorders>
              <w:bottom w:val="single" w:sz="8" w:color="auto"/>
            </w:tcBorders>
            <w:shd w:val="clear" w:color="auto" w:fill="CCEEFF"/>
          </w:tcPr>
          <w:p>
            <w:pPr>
              <w:spacing w:after="0"/>
              <w:rPr>
                <w:sz w:val="15"/>
                <w:szCs w:val="15"/>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1,174,678</w:t>
            </w:r>
          </w:p>
        </w:tc>
        <w:tc>
          <w:tcPr>
            <w:tcW w:w="10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1,017,253</w:t>
            </w:r>
          </w:p>
        </w:tc>
        <w:tc>
          <w:tcPr>
            <w:tcW w:w="0" w:type="dxa"/>
            <w:vAlign w:val="bottom"/>
          </w:tcPr>
          <w:p>
            <w:pPr>
              <w:spacing w:after="0"/>
              <w:rPr>
                <w:sz w:val="1"/>
                <w:szCs w:val="1"/>
                <w:color w:val="auto"/>
              </w:rPr>
            </w:pPr>
          </w:p>
        </w:tc>
      </w:tr>
      <w:tr>
        <w:trPr>
          <w:trHeight w:val="186"/>
        </w:trPr>
        <w:tc>
          <w:tcPr>
            <w:tcW w:w="8880" w:type="dxa"/>
            <w:vAlign w:val="bottom"/>
          </w:tcPr>
          <w:p>
            <w:pPr>
              <w:ind w:left="560"/>
              <w:spacing w:after="0"/>
              <w:rPr>
                <w:sz w:val="20"/>
                <w:szCs w:val="20"/>
                <w:color w:val="auto"/>
              </w:rPr>
            </w:pPr>
            <w:r>
              <w:rPr>
                <w:rFonts w:ascii="Arial" w:cs="Arial" w:eastAsia="Arial" w:hAnsi="Arial"/>
                <w:sz w:val="14"/>
                <w:szCs w:val="14"/>
                <w:color w:val="auto"/>
              </w:rPr>
              <w:t>Total liabilities, redeemable noncontrolling interest and shareholders' equity</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2,075,225</w:t>
            </w:r>
          </w:p>
        </w:tc>
        <w:tc>
          <w:tcPr>
            <w:tcW w:w="10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1,866,555</w:t>
            </w:r>
          </w:p>
        </w:tc>
        <w:tc>
          <w:tcPr>
            <w:tcW w:w="0" w:type="dxa"/>
            <w:vAlign w:val="bottom"/>
          </w:tcPr>
          <w:p>
            <w:pPr>
              <w:spacing w:after="0"/>
              <w:rPr>
                <w:sz w:val="1"/>
                <w:szCs w:val="1"/>
                <w:color w:val="auto"/>
              </w:rPr>
            </w:pPr>
          </w:p>
        </w:tc>
      </w:tr>
      <w:tr>
        <w:trPr>
          <w:trHeight w:val="20"/>
        </w:trPr>
        <w:tc>
          <w:tcPr>
            <w:tcW w:w="88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240"/>
          </w:cols>
          <w:pgMar w:left="320" w:top="1260" w:right="339" w:bottom="1440" w:gutter="0" w:footer="0" w:header="0"/>
        </w:sectPr>
      </w:pPr>
    </w:p>
    <w:bookmarkStart w:id="12" w:name="page13"/>
    <w:bookmarkEnd w:id="12"/>
    <w:p>
      <w:pPr>
        <w:jc w:val="center"/>
        <w:ind w:right="-339"/>
        <w:spacing w:after="0"/>
        <w:rPr>
          <w:sz w:val="20"/>
          <w:szCs w:val="20"/>
          <w:color w:val="auto"/>
        </w:rPr>
      </w:pPr>
      <w:r>
        <w:rPr>
          <w:rFonts w:ascii="Arial" w:cs="Arial" w:eastAsia="Arial" w:hAnsi="Arial"/>
          <w:sz w:val="22"/>
          <w:szCs w:val="22"/>
          <w:b w:val="1"/>
          <w:bCs w:val="1"/>
          <w:color w:val="auto"/>
        </w:rPr>
        <w:t>ACUSHNET HOLDINGS CORP.</w:t>
      </w:r>
    </w:p>
    <w:p>
      <w:pPr>
        <w:spacing w:after="0" w:line="247" w:lineRule="exact"/>
        <w:rPr>
          <w:sz w:val="20"/>
          <w:szCs w:val="20"/>
          <w:color w:val="auto"/>
        </w:rPr>
      </w:pPr>
    </w:p>
    <w:p>
      <w:pPr>
        <w:ind w:left="1620"/>
        <w:spacing w:after="0"/>
        <w:rPr>
          <w:sz w:val="20"/>
          <w:szCs w:val="20"/>
          <w:color w:val="auto"/>
        </w:rPr>
      </w:pPr>
      <w:r>
        <w:rPr>
          <w:rFonts w:ascii="Arial" w:cs="Arial" w:eastAsia="Arial" w:hAnsi="Arial"/>
          <w:sz w:val="22"/>
          <w:szCs w:val="22"/>
          <w:b w:val="1"/>
          <w:bCs w:val="1"/>
          <w:color w:val="auto"/>
        </w:rPr>
        <w:t>CONDENSED CONSOLIDATED STATEMENTS OF CASH FLOWS (UNAUDITED)</w:t>
      </w:r>
    </w:p>
    <w:p>
      <w:pPr>
        <w:spacing w:after="0" w:line="3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4"/>
          </w:tcPr>
          <w:p>
            <w:pPr>
              <w:jc w:val="right"/>
              <w:ind w:right="168"/>
              <w:spacing w:after="0"/>
              <w:rPr>
                <w:sz w:val="20"/>
                <w:szCs w:val="20"/>
                <w:color w:val="auto"/>
              </w:rPr>
            </w:pPr>
            <w:r>
              <w:rPr>
                <w:rFonts w:ascii="Arial" w:cs="Arial" w:eastAsia="Arial" w:hAnsi="Arial"/>
                <w:sz w:val="14"/>
                <w:szCs w:val="14"/>
                <w:b w:val="1"/>
                <w:bCs w:val="1"/>
                <w:color w:val="auto"/>
                <w:w w:val="93"/>
              </w:rPr>
              <w:t>Nine months ended September 30,</w:t>
            </w:r>
          </w:p>
        </w:tc>
      </w:tr>
      <w:tr>
        <w:trPr>
          <w:trHeight w:val="188"/>
        </w:trPr>
        <w:tc>
          <w:tcPr>
            <w:tcW w:w="834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(in thousands)</w:t>
            </w: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2020</w:t>
            </w:r>
          </w:p>
        </w:tc>
      </w:tr>
      <w:tr>
        <w:trPr>
          <w:trHeight w:val="184"/>
        </w:trPr>
        <w:tc>
          <w:tcPr>
            <w:tcW w:w="83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Cash flows from operating activities</w:t>
            </w:r>
          </w:p>
        </w:tc>
        <w:tc>
          <w:tcPr>
            <w:tcW w:w="16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r>
      <w:tr>
        <w:trPr>
          <w:trHeight w:val="186"/>
        </w:trPr>
        <w:tc>
          <w:tcPr>
            <w:tcW w:w="8340" w:type="dxa"/>
            <w:vAlign w:val="bottom"/>
          </w:tcPr>
          <w:p>
            <w:pPr>
              <w:ind w:left="20"/>
              <w:spacing w:after="0"/>
              <w:rPr>
                <w:sz w:val="20"/>
                <w:szCs w:val="20"/>
                <w:color w:val="auto"/>
              </w:rPr>
            </w:pPr>
            <w:r>
              <w:rPr>
                <w:rFonts w:ascii="Arial" w:cs="Arial" w:eastAsia="Arial" w:hAnsi="Arial"/>
                <w:sz w:val="14"/>
                <w:szCs w:val="14"/>
                <w:color w:val="auto"/>
              </w:rPr>
              <w:t>Net income</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1060" w:type="dxa"/>
            <w:vAlign w:val="bottom"/>
          </w:tcPr>
          <w:p>
            <w:pPr>
              <w:jc w:val="right"/>
              <w:spacing w:after="0"/>
              <w:rPr>
                <w:sz w:val="20"/>
                <w:szCs w:val="20"/>
                <w:color w:val="auto"/>
              </w:rPr>
            </w:pPr>
            <w:r>
              <w:rPr>
                <w:rFonts w:ascii="Arial" w:cs="Arial" w:eastAsia="Arial" w:hAnsi="Arial"/>
                <w:sz w:val="14"/>
                <w:szCs w:val="14"/>
                <w:color w:val="auto"/>
              </w:rPr>
              <w:t>209,072</w:t>
            </w:r>
          </w:p>
        </w:tc>
        <w:tc>
          <w:tcPr>
            <w:tcW w:w="120" w:type="dxa"/>
            <w:vAlign w:val="bottom"/>
          </w:tcPr>
          <w:p>
            <w:pPr>
              <w:spacing w:after="0"/>
              <w:rPr>
                <w:sz w:val="16"/>
                <w:szCs w:val="16"/>
                <w:color w:val="auto"/>
              </w:rPr>
            </w:pPr>
          </w:p>
        </w:tc>
        <w:tc>
          <w:tcPr>
            <w:tcW w:w="280" w:type="dxa"/>
            <w:vAlign w:val="bottom"/>
          </w:tcPr>
          <w:p>
            <w:pPr>
              <w:jc w:val="right"/>
              <w:ind w:right="1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76,774</w:t>
            </w:r>
          </w:p>
        </w:tc>
      </w:tr>
      <w:tr>
        <w:trPr>
          <w:trHeight w:val="192"/>
        </w:trPr>
        <w:tc>
          <w:tcPr>
            <w:tcW w:w="8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Adjustments to reconcile net income to cash flows provided by operating activities</w:t>
            </w: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86"/>
        </w:trPr>
        <w:tc>
          <w:tcPr>
            <w:tcW w:w="8340" w:type="dxa"/>
            <w:vAlign w:val="bottom"/>
          </w:tcPr>
          <w:p>
            <w:pPr>
              <w:ind w:left="140"/>
              <w:spacing w:after="0"/>
              <w:rPr>
                <w:sz w:val="20"/>
                <w:szCs w:val="20"/>
                <w:color w:val="auto"/>
              </w:rPr>
            </w:pPr>
            <w:r>
              <w:rPr>
                <w:rFonts w:ascii="Arial" w:cs="Arial" w:eastAsia="Arial" w:hAnsi="Arial"/>
                <w:sz w:val="14"/>
                <w:szCs w:val="14"/>
                <w:color w:val="auto"/>
              </w:rPr>
              <w:t>Depreciation and amortization</w:t>
            </w: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30,816</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31,058</w:t>
            </w:r>
          </w:p>
        </w:tc>
      </w:tr>
      <w:tr>
        <w:trPr>
          <w:trHeight w:val="192"/>
        </w:trPr>
        <w:tc>
          <w:tcPr>
            <w:tcW w:w="83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Unrealized foreign exchange gains</w:t>
            </w: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(1,721)</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(518)</w:t>
            </w:r>
          </w:p>
        </w:tc>
      </w:tr>
      <w:tr>
        <w:trPr>
          <w:trHeight w:val="186"/>
        </w:trPr>
        <w:tc>
          <w:tcPr>
            <w:tcW w:w="8340" w:type="dxa"/>
            <w:vAlign w:val="bottom"/>
          </w:tcPr>
          <w:p>
            <w:pPr>
              <w:ind w:left="140"/>
              <w:spacing w:after="0"/>
              <w:rPr>
                <w:sz w:val="20"/>
                <w:szCs w:val="20"/>
                <w:color w:val="auto"/>
              </w:rPr>
            </w:pPr>
            <w:r>
              <w:rPr>
                <w:rFonts w:ascii="Arial" w:cs="Arial" w:eastAsia="Arial" w:hAnsi="Arial"/>
                <w:sz w:val="14"/>
                <w:szCs w:val="14"/>
                <w:color w:val="auto"/>
              </w:rPr>
              <w:t>Amortization of debt issuance costs</w:t>
            </w: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1,337</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961</w:t>
            </w:r>
          </w:p>
        </w:tc>
      </w:tr>
      <w:tr>
        <w:trPr>
          <w:trHeight w:val="192"/>
        </w:trPr>
        <w:tc>
          <w:tcPr>
            <w:tcW w:w="83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Share-based compensation</w:t>
            </w: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20,822</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10,077</w:t>
            </w:r>
          </w:p>
        </w:tc>
      </w:tr>
      <w:tr>
        <w:trPr>
          <w:trHeight w:val="186"/>
        </w:trPr>
        <w:tc>
          <w:tcPr>
            <w:tcW w:w="8340" w:type="dxa"/>
            <w:vAlign w:val="bottom"/>
          </w:tcPr>
          <w:p>
            <w:pPr>
              <w:ind w:left="140"/>
              <w:spacing w:after="0"/>
              <w:rPr>
                <w:sz w:val="20"/>
                <w:szCs w:val="20"/>
                <w:color w:val="auto"/>
              </w:rPr>
            </w:pPr>
            <w:r>
              <w:rPr>
                <w:rFonts w:ascii="Arial" w:cs="Arial" w:eastAsia="Arial" w:hAnsi="Arial"/>
                <w:sz w:val="14"/>
                <w:szCs w:val="14"/>
                <w:color w:val="auto"/>
              </w:rPr>
              <w:t>Loss on disposals of property, plant and equipment</w:t>
            </w: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146</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w:t>
            </w:r>
          </w:p>
        </w:tc>
      </w:tr>
      <w:tr>
        <w:trPr>
          <w:trHeight w:val="192"/>
        </w:trPr>
        <w:tc>
          <w:tcPr>
            <w:tcW w:w="83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Deferred income taxes</w:t>
            </w: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16,633</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1,739</w:t>
            </w:r>
          </w:p>
        </w:tc>
      </w:tr>
      <w:tr>
        <w:trPr>
          <w:trHeight w:val="186"/>
        </w:trPr>
        <w:tc>
          <w:tcPr>
            <w:tcW w:w="834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Changes in operating assets and liabilities</w:t>
            </w: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2,986</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47,018</w:t>
            </w:r>
          </w:p>
        </w:tc>
      </w:tr>
      <w:tr>
        <w:trPr>
          <w:trHeight w:val="186"/>
        </w:trPr>
        <w:tc>
          <w:tcPr>
            <w:tcW w:w="8340" w:type="dxa"/>
            <w:vAlign w:val="bottom"/>
            <w:shd w:val="clear" w:color="auto" w:fill="CCEEFF"/>
          </w:tcPr>
          <w:p>
            <w:pPr>
              <w:ind w:left="480"/>
              <w:spacing w:after="0"/>
              <w:rPr>
                <w:sz w:val="20"/>
                <w:szCs w:val="20"/>
                <w:color w:val="auto"/>
              </w:rPr>
            </w:pPr>
            <w:r>
              <w:rPr>
                <w:rFonts w:ascii="Arial" w:cs="Arial" w:eastAsia="Arial" w:hAnsi="Arial"/>
                <w:sz w:val="14"/>
                <w:szCs w:val="14"/>
                <w:color w:val="auto"/>
              </w:rPr>
              <w:t>Cash flows provided by operating activities</w:t>
            </w:r>
          </w:p>
        </w:tc>
        <w:tc>
          <w:tcPr>
            <w:tcW w:w="16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280,091</w:t>
            </w:r>
          </w:p>
        </w:tc>
        <w:tc>
          <w:tcPr>
            <w:tcW w:w="12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167,111</w:t>
            </w:r>
          </w:p>
        </w:tc>
      </w:tr>
      <w:tr>
        <w:trPr>
          <w:trHeight w:val="177"/>
        </w:trPr>
        <w:tc>
          <w:tcPr>
            <w:tcW w:w="8340" w:type="dxa"/>
            <w:vAlign w:val="bottom"/>
          </w:tcPr>
          <w:p>
            <w:pPr>
              <w:ind w:left="20"/>
              <w:spacing w:after="0"/>
              <w:rPr>
                <w:sz w:val="20"/>
                <w:szCs w:val="20"/>
                <w:color w:val="auto"/>
              </w:rPr>
            </w:pPr>
            <w:r>
              <w:rPr>
                <w:rFonts w:ascii="Arial" w:cs="Arial" w:eastAsia="Arial" w:hAnsi="Arial"/>
                <w:sz w:val="14"/>
                <w:szCs w:val="14"/>
                <w:b w:val="1"/>
                <w:bCs w:val="1"/>
                <w:color w:val="auto"/>
              </w:rPr>
              <w:t>Cash flows from investing activities</w:t>
            </w: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40" w:type="dxa"/>
            <w:vAlign w:val="bottom"/>
          </w:tcPr>
          <w:p>
            <w:pPr>
              <w:spacing w:after="0"/>
              <w:rPr>
                <w:sz w:val="15"/>
                <w:szCs w:val="15"/>
                <w:color w:val="auto"/>
              </w:rPr>
            </w:pPr>
          </w:p>
        </w:tc>
      </w:tr>
      <w:tr>
        <w:trPr>
          <w:trHeight w:val="195"/>
        </w:trPr>
        <w:tc>
          <w:tcPr>
            <w:tcW w:w="8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Additions to property, plant and equipment</w:t>
            </w:r>
          </w:p>
        </w:tc>
        <w:tc>
          <w:tcPr>
            <w:tcW w:w="16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(19,210)</w:t>
            </w:r>
          </w:p>
        </w:tc>
        <w:tc>
          <w:tcPr>
            <w:tcW w:w="12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(15,387)</w:t>
            </w:r>
          </w:p>
        </w:tc>
      </w:tr>
      <w:tr>
        <w:trPr>
          <w:trHeight w:val="179"/>
        </w:trPr>
        <w:tc>
          <w:tcPr>
            <w:tcW w:w="8340" w:type="dxa"/>
            <w:vAlign w:val="bottom"/>
            <w:tcBorders>
              <w:bottom w:val="single" w:sz="8" w:color="CCEEFF"/>
            </w:tcBorders>
          </w:tcPr>
          <w:p>
            <w:pPr>
              <w:ind w:left="480"/>
              <w:spacing w:after="0"/>
              <w:rPr>
                <w:sz w:val="20"/>
                <w:szCs w:val="20"/>
                <w:color w:val="auto"/>
              </w:rPr>
            </w:pPr>
            <w:r>
              <w:rPr>
                <w:rFonts w:ascii="Arial" w:cs="Arial" w:eastAsia="Arial" w:hAnsi="Arial"/>
                <w:sz w:val="14"/>
                <w:szCs w:val="14"/>
                <w:color w:val="auto"/>
              </w:rPr>
              <w:t>Cash flows used in investing activities</w:t>
            </w: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(19,210)</w:t>
            </w:r>
          </w:p>
        </w:tc>
        <w:tc>
          <w:tcPr>
            <w:tcW w:w="12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(15,387)</w:t>
            </w:r>
          </w:p>
        </w:tc>
      </w:tr>
      <w:tr>
        <w:trPr>
          <w:trHeight w:val="172"/>
        </w:trPr>
        <w:tc>
          <w:tcPr>
            <w:tcW w:w="83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Cash flows from financing activities</w:t>
            </w:r>
          </w:p>
        </w:tc>
        <w:tc>
          <w:tcPr>
            <w:tcW w:w="16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r>
      <w:tr>
        <w:trPr>
          <w:trHeight w:val="186"/>
        </w:trPr>
        <w:tc>
          <w:tcPr>
            <w:tcW w:w="8340" w:type="dxa"/>
            <w:vAlign w:val="bottom"/>
          </w:tcPr>
          <w:p>
            <w:pPr>
              <w:ind w:left="20"/>
              <w:spacing w:after="0"/>
              <w:rPr>
                <w:sz w:val="20"/>
                <w:szCs w:val="20"/>
                <w:color w:val="auto"/>
              </w:rPr>
            </w:pPr>
            <w:r>
              <w:rPr>
                <w:rFonts w:ascii="Arial" w:cs="Arial" w:eastAsia="Arial" w:hAnsi="Arial"/>
                <w:sz w:val="14"/>
                <w:szCs w:val="14"/>
                <w:color w:val="auto"/>
              </w:rPr>
              <w:t>Repayments of short-term borrowings, net</w:t>
            </w: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(2,177)</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(14,232)</w:t>
            </w:r>
          </w:p>
        </w:tc>
      </w:tr>
      <w:tr>
        <w:trPr>
          <w:trHeight w:val="192"/>
        </w:trPr>
        <w:tc>
          <w:tcPr>
            <w:tcW w:w="8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Repayments of term loan facility</w:t>
            </w: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(13,125)</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(13,125)</w:t>
            </w:r>
          </w:p>
        </w:tc>
      </w:tr>
      <w:tr>
        <w:trPr>
          <w:trHeight w:val="186"/>
        </w:trPr>
        <w:tc>
          <w:tcPr>
            <w:tcW w:w="8340" w:type="dxa"/>
            <w:vAlign w:val="bottom"/>
          </w:tcPr>
          <w:p>
            <w:pPr>
              <w:ind w:left="20"/>
              <w:spacing w:after="0"/>
              <w:rPr>
                <w:sz w:val="20"/>
                <w:szCs w:val="20"/>
                <w:color w:val="auto"/>
              </w:rPr>
            </w:pPr>
            <w:r>
              <w:rPr>
                <w:rFonts w:ascii="Arial" w:cs="Arial" w:eastAsia="Arial" w:hAnsi="Arial"/>
                <w:sz w:val="14"/>
                <w:szCs w:val="14"/>
                <w:color w:val="auto"/>
              </w:rPr>
              <w:t>Purchases of common stock</w:t>
            </w: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(30,146)</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(6,976)</w:t>
            </w:r>
          </w:p>
        </w:tc>
      </w:tr>
      <w:tr>
        <w:trPr>
          <w:trHeight w:val="192"/>
        </w:trPr>
        <w:tc>
          <w:tcPr>
            <w:tcW w:w="8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Debt issuance costs</w:t>
            </w:r>
          </w:p>
        </w:tc>
        <w:tc>
          <w:tcPr>
            <w:tcW w:w="16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(966)</w:t>
            </w:r>
          </w:p>
        </w:tc>
      </w:tr>
      <w:tr>
        <w:trPr>
          <w:trHeight w:val="186"/>
        </w:trPr>
        <w:tc>
          <w:tcPr>
            <w:tcW w:w="8340" w:type="dxa"/>
            <w:vAlign w:val="bottom"/>
          </w:tcPr>
          <w:p>
            <w:pPr>
              <w:ind w:left="20"/>
              <w:spacing w:after="0"/>
              <w:rPr>
                <w:sz w:val="20"/>
                <w:szCs w:val="20"/>
                <w:color w:val="auto"/>
              </w:rPr>
            </w:pPr>
            <w:r>
              <w:rPr>
                <w:rFonts w:ascii="Arial" w:cs="Arial" w:eastAsia="Arial" w:hAnsi="Arial"/>
                <w:sz w:val="14"/>
                <w:szCs w:val="14"/>
                <w:color w:val="auto"/>
              </w:rPr>
              <w:t>Dividends paid on common stock</w:t>
            </w: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(37,058)</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(34,550)</w:t>
            </w:r>
          </w:p>
        </w:tc>
      </w:tr>
      <w:tr>
        <w:trPr>
          <w:trHeight w:val="192"/>
        </w:trPr>
        <w:tc>
          <w:tcPr>
            <w:tcW w:w="8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Dividends paid to noncontrolling interests</w:t>
            </w: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(1,360)</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(4,302)</w:t>
            </w:r>
          </w:p>
        </w:tc>
      </w:tr>
      <w:tr>
        <w:trPr>
          <w:trHeight w:val="186"/>
        </w:trPr>
        <w:tc>
          <w:tcPr>
            <w:tcW w:w="83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Payment of employee restricted stock tax withholdings</w:t>
            </w: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(3,946)</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(496)</w:t>
            </w:r>
          </w:p>
        </w:tc>
      </w:tr>
      <w:tr>
        <w:trPr>
          <w:trHeight w:val="186"/>
        </w:trPr>
        <w:tc>
          <w:tcPr>
            <w:tcW w:w="8340" w:type="dxa"/>
            <w:vAlign w:val="bottom"/>
            <w:shd w:val="clear" w:color="auto" w:fill="CCEEFF"/>
          </w:tcPr>
          <w:p>
            <w:pPr>
              <w:ind w:left="480"/>
              <w:spacing w:after="0"/>
              <w:rPr>
                <w:sz w:val="20"/>
                <w:szCs w:val="20"/>
                <w:color w:val="auto"/>
              </w:rPr>
            </w:pPr>
            <w:r>
              <w:rPr>
                <w:rFonts w:ascii="Arial" w:cs="Arial" w:eastAsia="Arial" w:hAnsi="Arial"/>
                <w:sz w:val="14"/>
                <w:szCs w:val="14"/>
                <w:color w:val="auto"/>
              </w:rPr>
              <w:t>Cash flows used in financing activities</w:t>
            </w:r>
          </w:p>
        </w:tc>
        <w:tc>
          <w:tcPr>
            <w:tcW w:w="16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(87,812)</w:t>
            </w:r>
          </w:p>
        </w:tc>
        <w:tc>
          <w:tcPr>
            <w:tcW w:w="12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(74,647)</w:t>
            </w:r>
          </w:p>
        </w:tc>
      </w:tr>
      <w:tr>
        <w:trPr>
          <w:trHeight w:val="179"/>
        </w:trPr>
        <w:tc>
          <w:tcPr>
            <w:tcW w:w="83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Effect of foreign exchange rate changes on cash, cash equivalents and restricted cash</w:t>
            </w:r>
          </w:p>
        </w:tc>
        <w:tc>
          <w:tcPr>
            <w:tcW w:w="1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(4,015)</w:t>
            </w:r>
          </w:p>
        </w:tc>
        <w:tc>
          <w:tcPr>
            <w:tcW w:w="12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1,342</w:t>
            </w:r>
          </w:p>
        </w:tc>
      </w:tr>
      <w:tr>
        <w:trPr>
          <w:trHeight w:val="186"/>
        </w:trPr>
        <w:tc>
          <w:tcPr>
            <w:tcW w:w="8340" w:type="dxa"/>
            <w:vAlign w:val="bottom"/>
            <w:shd w:val="clear" w:color="auto" w:fill="CCEEFF"/>
          </w:tcPr>
          <w:p>
            <w:pPr>
              <w:ind w:left="480"/>
              <w:spacing w:after="0"/>
              <w:rPr>
                <w:sz w:val="20"/>
                <w:szCs w:val="20"/>
                <w:color w:val="auto"/>
              </w:rPr>
            </w:pPr>
            <w:r>
              <w:rPr>
                <w:rFonts w:ascii="Arial" w:cs="Arial" w:eastAsia="Arial" w:hAnsi="Arial"/>
                <w:sz w:val="14"/>
                <w:szCs w:val="14"/>
                <w:color w:val="auto"/>
              </w:rPr>
              <w:t>Net increase in cash, cash equivalents and restricted cash</w:t>
            </w: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169,054</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78,419</w:t>
            </w:r>
          </w:p>
        </w:tc>
      </w:tr>
      <w:tr>
        <w:trPr>
          <w:trHeight w:val="186"/>
        </w:trPr>
        <w:tc>
          <w:tcPr>
            <w:tcW w:w="83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Cash, cash equivalents and restricted cash, beginning of year</w:t>
            </w: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151,452</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34,184</w:t>
            </w:r>
          </w:p>
        </w:tc>
      </w:tr>
      <w:tr>
        <w:trPr>
          <w:trHeight w:val="211"/>
        </w:trPr>
        <w:tc>
          <w:tcPr>
            <w:tcW w:w="8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Cash, cash equivalents and restricted cash, end of period</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320,506</w:t>
            </w:r>
          </w:p>
        </w:tc>
        <w:tc>
          <w:tcPr>
            <w:tcW w:w="12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112,603</w:t>
            </w:r>
          </w:p>
        </w:tc>
      </w:tr>
      <w:tr>
        <w:trPr>
          <w:trHeight w:val="20"/>
        </w:trPr>
        <w:tc>
          <w:tcPr>
            <w:tcW w:w="83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339"/>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0900"/>
          </w:cols>
          <w:pgMar w:left="320" w:top="1260" w:right="679" w:bottom="1440" w:gutter="0" w:footer="0" w:header="0"/>
        </w:sectPr>
      </w:pPr>
    </w:p>
    <w:bookmarkStart w:id="13" w:name="page14"/>
    <w:bookmarkEnd w:id="13"/>
    <w:p>
      <w:pPr>
        <w:jc w:val="center"/>
        <w:ind w:right="-1100"/>
        <w:spacing w:after="0"/>
        <w:rPr>
          <w:sz w:val="20"/>
          <w:szCs w:val="20"/>
          <w:color w:val="auto"/>
        </w:rPr>
      </w:pPr>
      <w:r>
        <w:rPr>
          <w:rFonts w:ascii="Arial" w:cs="Arial" w:eastAsia="Arial" w:hAnsi="Arial"/>
          <w:sz w:val="22"/>
          <w:szCs w:val="22"/>
          <w:b w:val="1"/>
          <w:bCs w:val="1"/>
          <w:color w:val="auto"/>
        </w:rPr>
        <w:t>ACUSHNET HOLDINGS CORP.</w:t>
      </w:r>
    </w:p>
    <w:p>
      <w:pPr>
        <w:spacing w:after="0" w:line="27" w:lineRule="exact"/>
        <w:rPr>
          <w:sz w:val="20"/>
          <w:szCs w:val="20"/>
          <w:color w:val="auto"/>
        </w:rPr>
      </w:pPr>
    </w:p>
    <w:p>
      <w:pPr>
        <w:jc w:val="center"/>
        <w:ind w:right="-1100"/>
        <w:spacing w:after="0"/>
        <w:rPr>
          <w:sz w:val="20"/>
          <w:szCs w:val="20"/>
          <w:color w:val="auto"/>
        </w:rPr>
      </w:pPr>
      <w:r>
        <w:rPr>
          <w:rFonts w:ascii="Arial" w:cs="Arial" w:eastAsia="Arial" w:hAnsi="Arial"/>
          <w:sz w:val="22"/>
          <w:szCs w:val="22"/>
          <w:color w:val="auto"/>
        </w:rPr>
        <w:t>Supplemental Net Sales Information (Unaudited)</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Third Quarter Net Sales by Segment</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0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1"/>
              </w:rPr>
              <w:t>Three months ended</w:t>
            </w: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0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Constant Currency</w:t>
            </w:r>
          </w:p>
        </w:tc>
      </w:tr>
      <w:tr>
        <w:trPr>
          <w:trHeight w:val="194"/>
        </w:trPr>
        <w:tc>
          <w:tcPr>
            <w:tcW w:w="3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0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6"/>
                <w:szCs w:val="16"/>
                <w:color w:val="auto"/>
              </w:rPr>
            </w:pPr>
          </w:p>
        </w:tc>
        <w:tc>
          <w:tcPr>
            <w:tcW w:w="2100" w:type="dxa"/>
            <w:vAlign w:val="bottom"/>
            <w:gridSpan w:val="4"/>
          </w:tcPr>
          <w:p>
            <w:pPr>
              <w:ind w:left="320"/>
              <w:spacing w:after="0"/>
              <w:rPr>
                <w:sz w:val="20"/>
                <w:szCs w:val="20"/>
                <w:color w:val="auto"/>
              </w:rPr>
            </w:pPr>
            <w:r>
              <w:rPr>
                <w:rFonts w:ascii="Arial" w:cs="Arial" w:eastAsia="Arial" w:hAnsi="Arial"/>
                <w:sz w:val="14"/>
                <w:szCs w:val="14"/>
                <w:b w:val="1"/>
                <w:bCs w:val="1"/>
                <w:color w:val="auto"/>
              </w:rPr>
              <w:t>Increase/(Decrease)</w:t>
            </w:r>
          </w:p>
        </w:tc>
        <w:tc>
          <w:tcPr>
            <w:tcW w:w="160" w:type="dxa"/>
            <w:vAlign w:val="bottom"/>
          </w:tcPr>
          <w:p>
            <w:pPr>
              <w:spacing w:after="0"/>
              <w:rPr>
                <w:sz w:val="16"/>
                <w:szCs w:val="16"/>
                <w:color w:val="auto"/>
              </w:rPr>
            </w:pPr>
          </w:p>
        </w:tc>
        <w:tc>
          <w:tcPr>
            <w:tcW w:w="200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Increase/(Decrease)</w:t>
            </w:r>
          </w:p>
        </w:tc>
      </w:tr>
      <w:tr>
        <w:trPr>
          <w:trHeight w:val="188"/>
        </w:trPr>
        <w:tc>
          <w:tcPr>
            <w:tcW w:w="3320" w:type="dxa"/>
            <w:vAlign w:val="bottom"/>
          </w:tcPr>
          <w:p>
            <w:pPr>
              <w:ind w:left="20"/>
              <w:spacing w:after="0"/>
              <w:rPr>
                <w:sz w:val="20"/>
                <w:szCs w:val="20"/>
                <w:color w:val="auto"/>
              </w:rPr>
            </w:pPr>
            <w:r>
              <w:rPr>
                <w:rFonts w:ascii="Arial" w:cs="Arial" w:eastAsia="Arial" w:hAnsi="Arial"/>
                <w:sz w:val="14"/>
                <w:szCs w:val="14"/>
                <w:b w:val="1"/>
                <w:bCs w:val="1"/>
                <w:i w:val="1"/>
                <w:iCs w:val="1"/>
                <w:color w:val="auto"/>
              </w:rPr>
              <w:t>(in millions)</w:t>
            </w:r>
          </w:p>
        </w:tc>
        <w:tc>
          <w:tcPr>
            <w:tcW w:w="220" w:type="dxa"/>
            <w:vAlign w:val="bottom"/>
            <w:tcBorders>
              <w:top w:val="single" w:sz="8" w:color="auto"/>
            </w:tcBorders>
          </w:tcPr>
          <w:p>
            <w:pPr>
              <w:spacing w:after="0"/>
              <w:rPr>
                <w:sz w:val="16"/>
                <w:szCs w:val="16"/>
                <w:color w:val="auto"/>
              </w:rPr>
            </w:pPr>
          </w:p>
        </w:tc>
        <w:tc>
          <w:tcPr>
            <w:tcW w:w="740" w:type="dxa"/>
            <w:vAlign w:val="bottom"/>
            <w:tcBorders>
              <w:top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720" w:type="dxa"/>
            <w:vAlign w:val="bottom"/>
            <w:tcBorders>
              <w:top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 change</w:t>
            </w:r>
          </w:p>
        </w:tc>
        <w:tc>
          <w:tcPr>
            <w:tcW w:w="108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 change</w:t>
            </w:r>
          </w:p>
        </w:tc>
        <w:tc>
          <w:tcPr>
            <w:tcW w:w="10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 change</w:t>
            </w:r>
          </w:p>
        </w:tc>
        <w:tc>
          <w:tcPr>
            <w:tcW w:w="108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 change</w:t>
            </w:r>
          </w:p>
        </w:tc>
      </w:tr>
      <w:tr>
        <w:trPr>
          <w:trHeight w:val="184"/>
        </w:trPr>
        <w:tc>
          <w:tcPr>
            <w:tcW w:w="33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Titleist golf balls</w:t>
            </w: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167.2</w:t>
            </w:r>
          </w:p>
        </w:tc>
        <w:tc>
          <w:tcPr>
            <w:tcW w:w="10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170.1</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00" w:type="dxa"/>
            <w:vAlign w:val="bottom"/>
            <w:tcBorders>
              <w:top w:val="single" w:sz="8" w:color="CCEEFF"/>
            </w:tcBorders>
            <w:shd w:val="clear" w:color="auto" w:fill="CCEEFF"/>
          </w:tcPr>
          <w:p>
            <w:pPr>
              <w:spacing w:after="0"/>
              <w:rPr>
                <w:sz w:val="15"/>
                <w:szCs w:val="15"/>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w:t>
            </w:r>
          </w:p>
        </w:tc>
        <w:tc>
          <w:tcPr>
            <w:tcW w:w="120" w:type="dxa"/>
            <w:vAlign w:val="bottom"/>
            <w:tcBorders>
              <w:top w:val="single" w:sz="8" w:color="CCEEFF"/>
            </w:tcBorders>
            <w:shd w:val="clear" w:color="auto" w:fill="CCEEFF"/>
          </w:tcPr>
          <w:p>
            <w:pPr>
              <w:spacing w:after="0"/>
              <w:rPr>
                <w:sz w:val="15"/>
                <w:szCs w:val="15"/>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w:t>
            </w:r>
          </w:p>
        </w:tc>
      </w:tr>
      <w:tr>
        <w:trPr>
          <w:trHeight w:val="186"/>
        </w:trPr>
        <w:tc>
          <w:tcPr>
            <w:tcW w:w="3320" w:type="dxa"/>
            <w:vAlign w:val="bottom"/>
          </w:tcPr>
          <w:p>
            <w:pPr>
              <w:ind w:left="20"/>
              <w:spacing w:after="0"/>
              <w:rPr>
                <w:sz w:val="20"/>
                <w:szCs w:val="20"/>
                <w:color w:val="auto"/>
              </w:rPr>
            </w:pPr>
            <w:r>
              <w:rPr>
                <w:rFonts w:ascii="Arial" w:cs="Arial" w:eastAsia="Arial" w:hAnsi="Arial"/>
                <w:sz w:val="14"/>
                <w:szCs w:val="14"/>
                <w:color w:val="auto"/>
              </w:rPr>
              <w:t>Titleist golf clubs</w:t>
            </w: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135.6</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120.8</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14.8</w:t>
            </w:r>
          </w:p>
        </w:tc>
        <w:tc>
          <w:tcPr>
            <w:tcW w:w="10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12.3 %</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13.9</w:t>
            </w:r>
          </w:p>
        </w:tc>
        <w:tc>
          <w:tcPr>
            <w:tcW w:w="12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11.5 %</w:t>
            </w:r>
          </w:p>
        </w:tc>
      </w:tr>
      <w:tr>
        <w:trPr>
          <w:trHeight w:val="192"/>
        </w:trPr>
        <w:tc>
          <w:tcPr>
            <w:tcW w:w="3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Titleist golf gear</w:t>
            </w: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46.6</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44.3</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4.1 %</w:t>
            </w:r>
          </w:p>
        </w:tc>
      </w:tr>
      <w:tr>
        <w:trPr>
          <w:trHeight w:val="182"/>
        </w:trPr>
        <w:tc>
          <w:tcPr>
            <w:tcW w:w="3320" w:type="dxa"/>
            <w:vAlign w:val="bottom"/>
          </w:tcPr>
          <w:p>
            <w:pPr>
              <w:ind w:left="20"/>
              <w:spacing w:after="0"/>
              <w:rPr>
                <w:sz w:val="20"/>
                <w:szCs w:val="20"/>
                <w:color w:val="auto"/>
              </w:rPr>
            </w:pPr>
            <w:r>
              <w:rPr>
                <w:rFonts w:ascii="Arial" w:cs="Arial" w:eastAsia="Arial" w:hAnsi="Arial"/>
                <w:sz w:val="14"/>
                <w:szCs w:val="14"/>
                <w:color w:val="auto"/>
              </w:rPr>
              <w:t>FootJoy golf wear</w:t>
            </w:r>
          </w:p>
        </w:tc>
        <w:tc>
          <w:tcPr>
            <w:tcW w:w="22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137.9</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116.0</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21.9</w:t>
            </w:r>
          </w:p>
        </w:tc>
        <w:tc>
          <w:tcPr>
            <w:tcW w:w="10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18.9 %</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20.4</w:t>
            </w:r>
          </w:p>
        </w:tc>
        <w:tc>
          <w:tcPr>
            <w:tcW w:w="12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17.6 %</w:t>
            </w:r>
          </w:p>
        </w:tc>
      </w:tr>
    </w:tbl>
    <w:p>
      <w:pPr>
        <w:spacing w:after="0" w:line="303"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Third Quarter Net Sales by Region</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0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1"/>
              </w:rPr>
              <w:t>Three months ended</w:t>
            </w: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0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Constant Currency</w:t>
            </w:r>
          </w:p>
        </w:tc>
      </w:tr>
      <w:tr>
        <w:trPr>
          <w:trHeight w:val="195"/>
        </w:trPr>
        <w:tc>
          <w:tcPr>
            <w:tcW w:w="3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0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6"/>
                <w:szCs w:val="16"/>
                <w:color w:val="auto"/>
              </w:rPr>
            </w:pPr>
          </w:p>
        </w:tc>
        <w:tc>
          <w:tcPr>
            <w:tcW w:w="2100" w:type="dxa"/>
            <w:vAlign w:val="bottom"/>
            <w:gridSpan w:val="4"/>
          </w:tcPr>
          <w:p>
            <w:pPr>
              <w:ind w:left="320"/>
              <w:spacing w:after="0"/>
              <w:rPr>
                <w:sz w:val="20"/>
                <w:szCs w:val="20"/>
                <w:color w:val="auto"/>
              </w:rPr>
            </w:pPr>
            <w:r>
              <w:rPr>
                <w:rFonts w:ascii="Arial" w:cs="Arial" w:eastAsia="Arial" w:hAnsi="Arial"/>
                <w:sz w:val="14"/>
                <w:szCs w:val="14"/>
                <w:b w:val="1"/>
                <w:bCs w:val="1"/>
                <w:color w:val="auto"/>
              </w:rPr>
              <w:t>Increase/(Decrease)</w:t>
            </w:r>
          </w:p>
        </w:tc>
        <w:tc>
          <w:tcPr>
            <w:tcW w:w="160" w:type="dxa"/>
            <w:vAlign w:val="bottom"/>
          </w:tcPr>
          <w:p>
            <w:pPr>
              <w:spacing w:after="0"/>
              <w:rPr>
                <w:sz w:val="16"/>
                <w:szCs w:val="16"/>
                <w:color w:val="auto"/>
              </w:rPr>
            </w:pPr>
          </w:p>
        </w:tc>
        <w:tc>
          <w:tcPr>
            <w:tcW w:w="200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Increase/(Decrease)</w:t>
            </w:r>
          </w:p>
        </w:tc>
      </w:tr>
      <w:tr>
        <w:trPr>
          <w:trHeight w:val="188"/>
        </w:trPr>
        <w:tc>
          <w:tcPr>
            <w:tcW w:w="332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(in millions)</w:t>
            </w:r>
          </w:p>
        </w:tc>
        <w:tc>
          <w:tcPr>
            <w:tcW w:w="220" w:type="dxa"/>
            <w:vAlign w:val="bottom"/>
            <w:tcBorders>
              <w:top w:val="single" w:sz="8" w:color="auto"/>
              <w:bottom w:val="single" w:sz="8" w:color="auto"/>
            </w:tcBorders>
          </w:tcPr>
          <w:p>
            <w:pPr>
              <w:spacing w:after="0"/>
              <w:rPr>
                <w:sz w:val="16"/>
                <w:szCs w:val="16"/>
                <w:color w:val="auto"/>
              </w:rPr>
            </w:pPr>
          </w:p>
        </w:tc>
        <w:tc>
          <w:tcPr>
            <w:tcW w:w="74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820" w:type="dxa"/>
            <w:vAlign w:val="bottom"/>
            <w:tcBorders>
              <w:top w:val="single" w:sz="8" w:color="auto"/>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w w:val="95"/>
              </w:rPr>
              <w:t>$ change</w:t>
            </w:r>
          </w:p>
        </w:tc>
        <w:tc>
          <w:tcPr>
            <w:tcW w:w="100" w:type="dxa"/>
            <w:vAlign w:val="bottom"/>
            <w:tcBorders>
              <w:top w:val="single" w:sz="8" w:color="auto"/>
              <w:bottom w:val="single" w:sz="8" w:color="CCEEFF"/>
            </w:tcBorders>
          </w:tcPr>
          <w:p>
            <w:pPr>
              <w:spacing w:after="0"/>
              <w:rPr>
                <w:sz w:val="16"/>
                <w:szCs w:val="16"/>
                <w:color w:val="auto"/>
              </w:rPr>
            </w:pPr>
          </w:p>
        </w:tc>
        <w:tc>
          <w:tcPr>
            <w:tcW w:w="108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 change</w:t>
            </w:r>
          </w:p>
        </w:tc>
        <w:tc>
          <w:tcPr>
            <w:tcW w:w="100" w:type="dxa"/>
            <w:vAlign w:val="bottom"/>
            <w:tcBorders>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w w:val="95"/>
              </w:rPr>
              <w:t>$ change</w:t>
            </w:r>
          </w:p>
        </w:tc>
        <w:tc>
          <w:tcPr>
            <w:tcW w:w="120" w:type="dxa"/>
            <w:vAlign w:val="bottom"/>
            <w:tcBorders>
              <w:top w:val="single" w:sz="8" w:color="auto"/>
              <w:bottom w:val="single" w:sz="8" w:color="CCEEFF"/>
            </w:tcBorders>
          </w:tcPr>
          <w:p>
            <w:pPr>
              <w:spacing w:after="0"/>
              <w:rPr>
                <w:sz w:val="16"/>
                <w:szCs w:val="16"/>
                <w:color w:val="auto"/>
              </w:rPr>
            </w:pPr>
          </w:p>
        </w:tc>
        <w:tc>
          <w:tcPr>
            <w:tcW w:w="108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 change</w:t>
            </w:r>
          </w:p>
        </w:tc>
      </w:tr>
      <w:tr>
        <w:trPr>
          <w:trHeight w:val="184"/>
        </w:trPr>
        <w:tc>
          <w:tcPr>
            <w:tcW w:w="3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United States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282.6</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271.3</w:t>
            </w: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w:t>
            </w:r>
          </w:p>
        </w:tc>
        <w:tc>
          <w:tcPr>
            <w:tcW w:w="100" w:type="dxa"/>
            <w:vAlign w:val="bottom"/>
            <w:shd w:val="clear" w:color="auto" w:fill="CCEEFF"/>
          </w:tcPr>
          <w:p>
            <w:pPr>
              <w:spacing w:after="0"/>
              <w:rPr>
                <w:sz w:val="15"/>
                <w:szCs w:val="15"/>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4.2 %</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w:t>
            </w:r>
          </w:p>
        </w:tc>
        <w:tc>
          <w:tcPr>
            <w:tcW w:w="120" w:type="dxa"/>
            <w:vAlign w:val="bottom"/>
            <w:shd w:val="clear" w:color="auto" w:fill="CCEEFF"/>
          </w:tcPr>
          <w:p>
            <w:pPr>
              <w:spacing w:after="0"/>
              <w:rPr>
                <w:sz w:val="15"/>
                <w:szCs w:val="15"/>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4.2 %</w:t>
            </w:r>
          </w:p>
        </w:tc>
      </w:tr>
      <w:tr>
        <w:trPr>
          <w:trHeight w:val="186"/>
        </w:trPr>
        <w:tc>
          <w:tcPr>
            <w:tcW w:w="3320" w:type="dxa"/>
            <w:vAlign w:val="bottom"/>
          </w:tcPr>
          <w:p>
            <w:pPr>
              <w:ind w:left="20"/>
              <w:spacing w:after="0"/>
              <w:rPr>
                <w:sz w:val="20"/>
                <w:szCs w:val="20"/>
                <w:color w:val="auto"/>
              </w:rPr>
            </w:pPr>
            <w:r>
              <w:rPr>
                <w:rFonts w:ascii="Arial" w:cs="Arial" w:eastAsia="Arial" w:hAnsi="Arial"/>
                <w:sz w:val="14"/>
                <w:szCs w:val="14"/>
                <w:color w:val="auto"/>
              </w:rPr>
              <w:t>EMEA</w:t>
            </w: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68.9</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65.4</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3.5</w:t>
            </w:r>
          </w:p>
        </w:tc>
        <w:tc>
          <w:tcPr>
            <w:tcW w:w="1180" w:type="dxa"/>
            <w:vAlign w:val="bottom"/>
            <w:gridSpan w:val="2"/>
          </w:tcPr>
          <w:p>
            <w:pPr>
              <w:jc w:val="right"/>
              <w:spacing w:after="0"/>
              <w:rPr>
                <w:sz w:val="20"/>
                <w:szCs w:val="20"/>
                <w:color w:val="auto"/>
              </w:rPr>
            </w:pPr>
            <w:r>
              <w:rPr>
                <w:rFonts w:ascii="Arial" w:cs="Arial" w:eastAsia="Arial" w:hAnsi="Arial"/>
                <w:sz w:val="14"/>
                <w:szCs w:val="14"/>
                <w:color w:val="auto"/>
              </w:rPr>
              <w:t>5.4 %</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0.7</w:t>
            </w:r>
          </w:p>
        </w:tc>
        <w:tc>
          <w:tcPr>
            <w:tcW w:w="1200" w:type="dxa"/>
            <w:vAlign w:val="bottom"/>
            <w:gridSpan w:val="2"/>
          </w:tcPr>
          <w:p>
            <w:pPr>
              <w:jc w:val="right"/>
              <w:spacing w:after="0"/>
              <w:rPr>
                <w:sz w:val="20"/>
                <w:szCs w:val="20"/>
                <w:color w:val="auto"/>
              </w:rPr>
            </w:pPr>
            <w:r>
              <w:rPr>
                <w:rFonts w:ascii="Arial" w:cs="Arial" w:eastAsia="Arial" w:hAnsi="Arial"/>
                <w:sz w:val="14"/>
                <w:szCs w:val="14"/>
                <w:color w:val="auto"/>
              </w:rPr>
              <w:t>1.1 %</w:t>
            </w:r>
          </w:p>
        </w:tc>
      </w:tr>
      <w:tr>
        <w:trPr>
          <w:trHeight w:val="192"/>
        </w:trPr>
        <w:tc>
          <w:tcPr>
            <w:tcW w:w="3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Japan</w:t>
            </w: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47.9</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42.3</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13.2 %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17.5 %</w:t>
            </w:r>
          </w:p>
        </w:tc>
      </w:tr>
      <w:tr>
        <w:trPr>
          <w:trHeight w:val="186"/>
        </w:trPr>
        <w:tc>
          <w:tcPr>
            <w:tcW w:w="3320" w:type="dxa"/>
            <w:vAlign w:val="bottom"/>
          </w:tcPr>
          <w:p>
            <w:pPr>
              <w:ind w:left="20"/>
              <w:spacing w:after="0"/>
              <w:rPr>
                <w:sz w:val="20"/>
                <w:szCs w:val="20"/>
                <w:color w:val="auto"/>
              </w:rPr>
            </w:pPr>
            <w:r>
              <w:rPr>
                <w:rFonts w:ascii="Arial" w:cs="Arial" w:eastAsia="Arial" w:hAnsi="Arial"/>
                <w:sz w:val="14"/>
                <w:szCs w:val="14"/>
                <w:color w:val="auto"/>
              </w:rPr>
              <w:t>Korea</w:t>
            </w: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75.8</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61.5</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14.3</w:t>
            </w:r>
          </w:p>
        </w:tc>
        <w:tc>
          <w:tcPr>
            <w:tcW w:w="1180" w:type="dxa"/>
            <w:vAlign w:val="bottom"/>
            <w:gridSpan w:val="2"/>
          </w:tcPr>
          <w:p>
            <w:pPr>
              <w:jc w:val="right"/>
              <w:spacing w:after="0"/>
              <w:rPr>
                <w:sz w:val="20"/>
                <w:szCs w:val="20"/>
                <w:color w:val="auto"/>
              </w:rPr>
            </w:pPr>
            <w:r>
              <w:rPr>
                <w:rFonts w:ascii="Arial" w:cs="Arial" w:eastAsia="Arial" w:hAnsi="Arial"/>
                <w:sz w:val="14"/>
                <w:szCs w:val="14"/>
                <w:color w:val="auto"/>
              </w:rPr>
              <w:t>23.3 %</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12.3</w:t>
            </w:r>
          </w:p>
        </w:tc>
        <w:tc>
          <w:tcPr>
            <w:tcW w:w="1200" w:type="dxa"/>
            <w:vAlign w:val="bottom"/>
            <w:gridSpan w:val="2"/>
          </w:tcPr>
          <w:p>
            <w:pPr>
              <w:jc w:val="right"/>
              <w:spacing w:after="0"/>
              <w:rPr>
                <w:sz w:val="20"/>
                <w:szCs w:val="20"/>
                <w:color w:val="auto"/>
              </w:rPr>
            </w:pPr>
            <w:r>
              <w:rPr>
                <w:rFonts w:ascii="Arial" w:cs="Arial" w:eastAsia="Arial" w:hAnsi="Arial"/>
                <w:sz w:val="14"/>
                <w:szCs w:val="14"/>
                <w:color w:val="auto"/>
              </w:rPr>
              <w:t>20.0 %</w:t>
            </w:r>
          </w:p>
        </w:tc>
      </w:tr>
      <w:tr>
        <w:trPr>
          <w:trHeight w:val="189"/>
        </w:trPr>
        <w:tc>
          <w:tcPr>
            <w:tcW w:w="3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Rest of world</w:t>
            </w:r>
          </w:p>
        </w:tc>
        <w:tc>
          <w:tcPr>
            <w:tcW w:w="22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46.4</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42.4</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9.4 %</w:t>
            </w:r>
          </w:p>
        </w:tc>
        <w:tc>
          <w:tcPr>
            <w:tcW w:w="10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4.5 %</w:t>
            </w:r>
          </w:p>
        </w:tc>
      </w:tr>
      <w:tr>
        <w:trPr>
          <w:trHeight w:val="186"/>
        </w:trPr>
        <w:tc>
          <w:tcPr>
            <w:tcW w:w="3320" w:type="dxa"/>
            <w:vAlign w:val="bottom"/>
          </w:tcPr>
          <w:p>
            <w:pPr>
              <w:ind w:left="220"/>
              <w:spacing w:after="0"/>
              <w:rPr>
                <w:sz w:val="20"/>
                <w:szCs w:val="20"/>
                <w:color w:val="auto"/>
              </w:rPr>
            </w:pPr>
            <w:r>
              <w:rPr>
                <w:rFonts w:ascii="Arial" w:cs="Arial" w:eastAsia="Arial" w:hAnsi="Arial"/>
                <w:sz w:val="14"/>
                <w:szCs w:val="14"/>
                <w:b w:val="1"/>
                <w:bCs w:val="1"/>
                <w:color w:val="auto"/>
              </w:rPr>
              <w:t>Total net sales</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521.6</w:t>
            </w:r>
          </w:p>
        </w:tc>
        <w:tc>
          <w:tcPr>
            <w:tcW w:w="100" w:type="dxa"/>
            <w:vAlign w:val="bottom"/>
          </w:tcPr>
          <w:p>
            <w:pPr>
              <w:spacing w:after="0"/>
              <w:rPr>
                <w:sz w:val="16"/>
                <w:szCs w:val="16"/>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482.9</w:t>
            </w:r>
          </w:p>
        </w:tc>
        <w:tc>
          <w:tcPr>
            <w:tcW w:w="120" w:type="dxa"/>
            <w:vAlign w:val="bottom"/>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38.7</w:t>
            </w:r>
          </w:p>
        </w:tc>
        <w:tc>
          <w:tcPr>
            <w:tcW w:w="1180" w:type="dxa"/>
            <w:vAlign w:val="bottom"/>
            <w:gridSpan w:val="2"/>
          </w:tcPr>
          <w:p>
            <w:pPr>
              <w:jc w:val="right"/>
              <w:spacing w:after="0"/>
              <w:rPr>
                <w:sz w:val="20"/>
                <w:szCs w:val="20"/>
                <w:color w:val="auto"/>
              </w:rPr>
            </w:pPr>
            <w:r>
              <w:rPr>
                <w:rFonts w:ascii="Arial" w:cs="Arial" w:eastAsia="Arial" w:hAnsi="Arial"/>
                <w:sz w:val="14"/>
                <w:szCs w:val="14"/>
                <w:color w:val="auto"/>
              </w:rPr>
              <w:t>8.0 %</w:t>
            </w:r>
          </w:p>
        </w:tc>
        <w:tc>
          <w:tcPr>
            <w:tcW w:w="100" w:type="dxa"/>
            <w:vAlign w:val="bottom"/>
          </w:tcPr>
          <w:p>
            <w:pPr>
              <w:spacing w:after="0"/>
              <w:rPr>
                <w:sz w:val="16"/>
                <w:szCs w:val="16"/>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33.6</w:t>
            </w:r>
          </w:p>
        </w:tc>
        <w:tc>
          <w:tcPr>
            <w:tcW w:w="1200" w:type="dxa"/>
            <w:vAlign w:val="bottom"/>
            <w:gridSpan w:val="2"/>
          </w:tcPr>
          <w:p>
            <w:pPr>
              <w:jc w:val="right"/>
              <w:spacing w:after="0"/>
              <w:rPr>
                <w:sz w:val="20"/>
                <w:szCs w:val="20"/>
                <w:color w:val="auto"/>
              </w:rPr>
            </w:pPr>
            <w:r>
              <w:rPr>
                <w:rFonts w:ascii="Arial" w:cs="Arial" w:eastAsia="Arial" w:hAnsi="Arial"/>
                <w:sz w:val="14"/>
                <w:szCs w:val="14"/>
                <w:color w:val="auto"/>
              </w:rPr>
              <w:t>7.0 %</w:t>
            </w:r>
          </w:p>
        </w:tc>
      </w:tr>
      <w:tr>
        <w:trPr>
          <w:trHeight w:val="20"/>
        </w:trPr>
        <w:tc>
          <w:tcPr>
            <w:tcW w:w="33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Nine Months Net Sales by Segment</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00" w:type="dxa"/>
            <w:vAlign w:val="bottom"/>
            <w:gridSpan w:val="5"/>
          </w:tcPr>
          <w:p>
            <w:pPr>
              <w:ind w:left="200"/>
              <w:spacing w:after="0"/>
              <w:rPr>
                <w:sz w:val="20"/>
                <w:szCs w:val="20"/>
                <w:color w:val="auto"/>
              </w:rPr>
            </w:pPr>
            <w:r>
              <w:rPr>
                <w:rFonts w:ascii="Arial" w:cs="Arial" w:eastAsia="Arial" w:hAnsi="Arial"/>
                <w:sz w:val="14"/>
                <w:szCs w:val="14"/>
                <w:b w:val="1"/>
                <w:bCs w:val="1"/>
                <w:color w:val="auto"/>
              </w:rPr>
              <w:t>Nine months ended</w:t>
            </w: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0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Constant Currency</w:t>
            </w:r>
          </w:p>
        </w:tc>
      </w:tr>
      <w:tr>
        <w:trPr>
          <w:trHeight w:val="195"/>
        </w:trPr>
        <w:tc>
          <w:tcPr>
            <w:tcW w:w="3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00" w:type="dxa"/>
            <w:vAlign w:val="bottom"/>
            <w:gridSpan w:val="5"/>
          </w:tcPr>
          <w:p>
            <w:pPr>
              <w:ind w:left="34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6"/>
                <w:szCs w:val="16"/>
                <w:color w:val="auto"/>
              </w:rPr>
            </w:pPr>
          </w:p>
        </w:tc>
        <w:tc>
          <w:tcPr>
            <w:tcW w:w="2260" w:type="dxa"/>
            <w:vAlign w:val="bottom"/>
            <w:gridSpan w:val="5"/>
          </w:tcPr>
          <w:p>
            <w:pPr>
              <w:jc w:val="right"/>
              <w:ind w:right="668"/>
              <w:spacing w:after="0"/>
              <w:rPr>
                <w:sz w:val="20"/>
                <w:szCs w:val="20"/>
                <w:color w:val="auto"/>
              </w:rPr>
            </w:pPr>
            <w:r>
              <w:rPr>
                <w:rFonts w:ascii="Arial" w:cs="Arial" w:eastAsia="Arial" w:hAnsi="Arial"/>
                <w:sz w:val="14"/>
                <w:szCs w:val="14"/>
                <w:b w:val="1"/>
                <w:bCs w:val="1"/>
                <w:color w:val="auto"/>
              </w:rPr>
              <w:t>Increase/(Decrease)</w:t>
            </w:r>
          </w:p>
        </w:tc>
        <w:tc>
          <w:tcPr>
            <w:tcW w:w="200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Increase/(Decrease)</w:t>
            </w:r>
          </w:p>
        </w:tc>
      </w:tr>
      <w:tr>
        <w:trPr>
          <w:trHeight w:val="188"/>
        </w:trPr>
        <w:tc>
          <w:tcPr>
            <w:tcW w:w="3320" w:type="dxa"/>
            <w:vAlign w:val="bottom"/>
          </w:tcPr>
          <w:p>
            <w:pPr>
              <w:ind w:left="20"/>
              <w:spacing w:after="0"/>
              <w:rPr>
                <w:sz w:val="20"/>
                <w:szCs w:val="20"/>
                <w:color w:val="auto"/>
              </w:rPr>
            </w:pPr>
            <w:r>
              <w:rPr>
                <w:rFonts w:ascii="Arial" w:cs="Arial" w:eastAsia="Arial" w:hAnsi="Arial"/>
                <w:sz w:val="14"/>
                <w:szCs w:val="14"/>
                <w:b w:val="1"/>
                <w:bCs w:val="1"/>
                <w:i w:val="1"/>
                <w:iCs w:val="1"/>
                <w:color w:val="auto"/>
              </w:rPr>
              <w:t>(in millions)</w:t>
            </w:r>
          </w:p>
        </w:tc>
        <w:tc>
          <w:tcPr>
            <w:tcW w:w="220" w:type="dxa"/>
            <w:vAlign w:val="bottom"/>
            <w:tcBorders>
              <w:top w:val="single" w:sz="8" w:color="auto"/>
            </w:tcBorders>
          </w:tcPr>
          <w:p>
            <w:pPr>
              <w:spacing w:after="0"/>
              <w:rPr>
                <w:sz w:val="16"/>
                <w:szCs w:val="16"/>
                <w:color w:val="auto"/>
              </w:rPr>
            </w:pPr>
          </w:p>
        </w:tc>
        <w:tc>
          <w:tcPr>
            <w:tcW w:w="740" w:type="dxa"/>
            <w:vAlign w:val="bottom"/>
            <w:tcBorders>
              <w:top w:val="single" w:sz="8" w:color="auto"/>
            </w:tcBorders>
          </w:tcPr>
          <w:p>
            <w:pPr>
              <w:ind w:left="12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720" w:type="dxa"/>
            <w:vAlign w:val="bottom"/>
            <w:tcBorders>
              <w:top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 change</w:t>
            </w:r>
          </w:p>
        </w:tc>
        <w:tc>
          <w:tcPr>
            <w:tcW w:w="108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 change</w:t>
            </w:r>
          </w:p>
        </w:tc>
        <w:tc>
          <w:tcPr>
            <w:tcW w:w="10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 change</w:t>
            </w:r>
          </w:p>
        </w:tc>
        <w:tc>
          <w:tcPr>
            <w:tcW w:w="108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 change</w:t>
            </w:r>
          </w:p>
        </w:tc>
      </w:tr>
      <w:tr>
        <w:trPr>
          <w:trHeight w:val="184"/>
        </w:trPr>
        <w:tc>
          <w:tcPr>
            <w:tcW w:w="33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Titleist golf balls</w:t>
            </w: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ind w:left="340"/>
              <w:spacing w:after="0"/>
              <w:rPr>
                <w:sz w:val="20"/>
                <w:szCs w:val="20"/>
                <w:color w:val="auto"/>
              </w:rPr>
            </w:pPr>
            <w:r>
              <w:rPr>
                <w:rFonts w:ascii="Arial" w:cs="Arial" w:eastAsia="Arial" w:hAnsi="Arial"/>
                <w:sz w:val="14"/>
                <w:szCs w:val="14"/>
                <w:color w:val="auto"/>
              </w:rPr>
              <w:t>543.1</w:t>
            </w:r>
          </w:p>
        </w:tc>
        <w:tc>
          <w:tcPr>
            <w:tcW w:w="10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388.5</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154.6</w:t>
            </w:r>
          </w:p>
        </w:tc>
        <w:tc>
          <w:tcPr>
            <w:tcW w:w="100" w:type="dxa"/>
            <w:vAlign w:val="bottom"/>
            <w:tcBorders>
              <w:top w:val="single" w:sz="8" w:color="CCEEFF"/>
            </w:tcBorders>
            <w:shd w:val="clear" w:color="auto" w:fill="CCEEFF"/>
          </w:tcPr>
          <w:p>
            <w:pPr>
              <w:spacing w:after="0"/>
              <w:rPr>
                <w:sz w:val="15"/>
                <w:szCs w:val="15"/>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39.8 %</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142.0</w:t>
            </w:r>
          </w:p>
        </w:tc>
        <w:tc>
          <w:tcPr>
            <w:tcW w:w="120" w:type="dxa"/>
            <w:vAlign w:val="bottom"/>
            <w:tcBorders>
              <w:top w:val="single" w:sz="8" w:color="CCEEFF"/>
            </w:tcBorders>
            <w:shd w:val="clear" w:color="auto" w:fill="CCEEFF"/>
          </w:tcPr>
          <w:p>
            <w:pPr>
              <w:spacing w:after="0"/>
              <w:rPr>
                <w:sz w:val="15"/>
                <w:szCs w:val="15"/>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36.6 %</w:t>
            </w:r>
          </w:p>
        </w:tc>
      </w:tr>
      <w:tr>
        <w:trPr>
          <w:trHeight w:val="186"/>
        </w:trPr>
        <w:tc>
          <w:tcPr>
            <w:tcW w:w="3320" w:type="dxa"/>
            <w:vAlign w:val="bottom"/>
          </w:tcPr>
          <w:p>
            <w:pPr>
              <w:ind w:left="20"/>
              <w:spacing w:after="0"/>
              <w:rPr>
                <w:sz w:val="20"/>
                <w:szCs w:val="20"/>
                <w:color w:val="auto"/>
              </w:rPr>
            </w:pPr>
            <w:r>
              <w:rPr>
                <w:rFonts w:ascii="Arial" w:cs="Arial" w:eastAsia="Arial" w:hAnsi="Arial"/>
                <w:sz w:val="14"/>
                <w:szCs w:val="14"/>
                <w:color w:val="auto"/>
              </w:rPr>
              <w:t>Titleist golf clubs</w:t>
            </w:r>
          </w:p>
        </w:tc>
        <w:tc>
          <w:tcPr>
            <w:tcW w:w="220" w:type="dxa"/>
            <w:vAlign w:val="bottom"/>
          </w:tcPr>
          <w:p>
            <w:pPr>
              <w:spacing w:after="0"/>
              <w:rPr>
                <w:sz w:val="16"/>
                <w:szCs w:val="16"/>
                <w:color w:val="auto"/>
              </w:rPr>
            </w:pPr>
          </w:p>
        </w:tc>
        <w:tc>
          <w:tcPr>
            <w:tcW w:w="740" w:type="dxa"/>
            <w:vAlign w:val="bottom"/>
          </w:tcPr>
          <w:p>
            <w:pPr>
              <w:ind w:left="340"/>
              <w:spacing w:after="0"/>
              <w:rPr>
                <w:sz w:val="20"/>
                <w:szCs w:val="20"/>
                <w:color w:val="auto"/>
              </w:rPr>
            </w:pPr>
            <w:r>
              <w:rPr>
                <w:rFonts w:ascii="Arial" w:cs="Arial" w:eastAsia="Arial" w:hAnsi="Arial"/>
                <w:sz w:val="14"/>
                <w:szCs w:val="14"/>
                <w:color w:val="auto"/>
              </w:rPr>
              <w:t>444.3</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286.4</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157.9</w:t>
            </w:r>
          </w:p>
        </w:tc>
        <w:tc>
          <w:tcPr>
            <w:tcW w:w="10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55.1 %</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147.6</w:t>
            </w:r>
          </w:p>
        </w:tc>
        <w:tc>
          <w:tcPr>
            <w:tcW w:w="12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51.5 %</w:t>
            </w:r>
          </w:p>
        </w:tc>
      </w:tr>
      <w:tr>
        <w:trPr>
          <w:trHeight w:val="192"/>
        </w:trPr>
        <w:tc>
          <w:tcPr>
            <w:tcW w:w="3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Titleist golf gear</w:t>
            </w: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164.7</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120.2</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44.5</w:t>
            </w:r>
          </w:p>
        </w:tc>
        <w:tc>
          <w:tcPr>
            <w:tcW w:w="1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39.5</w:t>
            </w:r>
          </w:p>
        </w:tc>
        <w:tc>
          <w:tcPr>
            <w:tcW w:w="12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32.9 %</w:t>
            </w:r>
          </w:p>
        </w:tc>
      </w:tr>
      <w:tr>
        <w:trPr>
          <w:trHeight w:val="182"/>
        </w:trPr>
        <w:tc>
          <w:tcPr>
            <w:tcW w:w="3320" w:type="dxa"/>
            <w:vAlign w:val="bottom"/>
          </w:tcPr>
          <w:p>
            <w:pPr>
              <w:ind w:left="20"/>
              <w:spacing w:after="0"/>
              <w:rPr>
                <w:sz w:val="20"/>
                <w:szCs w:val="20"/>
                <w:color w:val="auto"/>
              </w:rPr>
            </w:pPr>
            <w:r>
              <w:rPr>
                <w:rFonts w:ascii="Arial" w:cs="Arial" w:eastAsia="Arial" w:hAnsi="Arial"/>
                <w:sz w:val="14"/>
                <w:szCs w:val="14"/>
                <w:color w:val="auto"/>
              </w:rPr>
              <w:t>FootJoy golf wear</w:t>
            </w:r>
          </w:p>
        </w:tc>
        <w:tc>
          <w:tcPr>
            <w:tcW w:w="220" w:type="dxa"/>
            <w:vAlign w:val="bottom"/>
          </w:tcPr>
          <w:p>
            <w:pPr>
              <w:spacing w:after="0"/>
              <w:rPr>
                <w:sz w:val="15"/>
                <w:szCs w:val="15"/>
                <w:color w:val="auto"/>
              </w:rPr>
            </w:pPr>
          </w:p>
        </w:tc>
        <w:tc>
          <w:tcPr>
            <w:tcW w:w="740" w:type="dxa"/>
            <w:vAlign w:val="bottom"/>
          </w:tcPr>
          <w:p>
            <w:pPr>
              <w:ind w:left="340"/>
              <w:spacing w:after="0"/>
              <w:rPr>
                <w:sz w:val="20"/>
                <w:szCs w:val="20"/>
                <w:color w:val="auto"/>
              </w:rPr>
            </w:pPr>
            <w:r>
              <w:rPr>
                <w:rFonts w:ascii="Arial" w:cs="Arial" w:eastAsia="Arial" w:hAnsi="Arial"/>
                <w:sz w:val="14"/>
                <w:szCs w:val="14"/>
                <w:color w:val="auto"/>
              </w:rPr>
              <w:t>462.0</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314.7</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147.3</w:t>
            </w:r>
          </w:p>
        </w:tc>
        <w:tc>
          <w:tcPr>
            <w:tcW w:w="10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46.8 %</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132.2</w:t>
            </w:r>
          </w:p>
        </w:tc>
        <w:tc>
          <w:tcPr>
            <w:tcW w:w="12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42.0 %</w:t>
            </w:r>
          </w:p>
        </w:tc>
      </w:tr>
    </w:tbl>
    <w:p>
      <w:pPr>
        <w:spacing w:after="0" w:line="303"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Nine Months Net Sales by Region</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0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0"/>
              </w:rPr>
              <w:t>Nine months ended</w:t>
            </w: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0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Constant Currency</w:t>
            </w:r>
          </w:p>
        </w:tc>
      </w:tr>
      <w:tr>
        <w:trPr>
          <w:trHeight w:val="194"/>
        </w:trPr>
        <w:tc>
          <w:tcPr>
            <w:tcW w:w="3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0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1"/>
              </w:rPr>
              <w:t>September 30,</w:t>
            </w:r>
          </w:p>
        </w:tc>
        <w:tc>
          <w:tcPr>
            <w:tcW w:w="140" w:type="dxa"/>
            <w:vAlign w:val="bottom"/>
          </w:tcPr>
          <w:p>
            <w:pPr>
              <w:spacing w:after="0"/>
              <w:rPr>
                <w:sz w:val="16"/>
                <w:szCs w:val="16"/>
                <w:color w:val="auto"/>
              </w:rPr>
            </w:pPr>
          </w:p>
        </w:tc>
        <w:tc>
          <w:tcPr>
            <w:tcW w:w="2100" w:type="dxa"/>
            <w:vAlign w:val="bottom"/>
            <w:gridSpan w:val="4"/>
          </w:tcPr>
          <w:p>
            <w:pPr>
              <w:ind w:left="320"/>
              <w:spacing w:after="0"/>
              <w:rPr>
                <w:sz w:val="20"/>
                <w:szCs w:val="20"/>
                <w:color w:val="auto"/>
              </w:rPr>
            </w:pPr>
            <w:r>
              <w:rPr>
                <w:rFonts w:ascii="Arial" w:cs="Arial" w:eastAsia="Arial" w:hAnsi="Arial"/>
                <w:sz w:val="14"/>
                <w:szCs w:val="14"/>
                <w:b w:val="1"/>
                <w:bCs w:val="1"/>
                <w:color w:val="auto"/>
              </w:rPr>
              <w:t>Increase/(Decrease)</w:t>
            </w:r>
          </w:p>
        </w:tc>
        <w:tc>
          <w:tcPr>
            <w:tcW w:w="160" w:type="dxa"/>
            <w:vAlign w:val="bottom"/>
          </w:tcPr>
          <w:p>
            <w:pPr>
              <w:spacing w:after="0"/>
              <w:rPr>
                <w:sz w:val="16"/>
                <w:szCs w:val="16"/>
                <w:color w:val="auto"/>
              </w:rPr>
            </w:pPr>
          </w:p>
        </w:tc>
        <w:tc>
          <w:tcPr>
            <w:tcW w:w="2000" w:type="dxa"/>
            <w:vAlign w:val="bottom"/>
            <w:gridSpan w:val="3"/>
          </w:tcPr>
          <w:p>
            <w:pPr>
              <w:jc w:val="right"/>
              <w:ind w:right="408"/>
              <w:spacing w:after="0"/>
              <w:rPr>
                <w:sz w:val="20"/>
                <w:szCs w:val="20"/>
                <w:color w:val="auto"/>
              </w:rPr>
            </w:pPr>
            <w:r>
              <w:rPr>
                <w:rFonts w:ascii="Arial" w:cs="Arial" w:eastAsia="Arial" w:hAnsi="Arial"/>
                <w:sz w:val="14"/>
                <w:szCs w:val="14"/>
                <w:b w:val="1"/>
                <w:bCs w:val="1"/>
                <w:color w:val="auto"/>
              </w:rPr>
              <w:t>Increase/(Decrease)</w:t>
            </w:r>
          </w:p>
        </w:tc>
      </w:tr>
      <w:tr>
        <w:trPr>
          <w:trHeight w:val="188"/>
        </w:trPr>
        <w:tc>
          <w:tcPr>
            <w:tcW w:w="332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i w:val="1"/>
                <w:iCs w:val="1"/>
                <w:color w:val="auto"/>
              </w:rPr>
              <w:t>(in millions)</w:t>
            </w:r>
          </w:p>
        </w:tc>
        <w:tc>
          <w:tcPr>
            <w:tcW w:w="220" w:type="dxa"/>
            <w:vAlign w:val="bottom"/>
            <w:tcBorders>
              <w:top w:val="single" w:sz="8" w:color="auto"/>
              <w:bottom w:val="single" w:sz="8" w:color="auto"/>
            </w:tcBorders>
          </w:tcPr>
          <w:p>
            <w:pPr>
              <w:spacing w:after="0"/>
              <w:rPr>
                <w:sz w:val="16"/>
                <w:szCs w:val="16"/>
                <w:color w:val="auto"/>
              </w:rPr>
            </w:pPr>
          </w:p>
        </w:tc>
        <w:tc>
          <w:tcPr>
            <w:tcW w:w="74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820" w:type="dxa"/>
            <w:vAlign w:val="bottom"/>
            <w:tcBorders>
              <w:top w:val="single" w:sz="8" w:color="auto"/>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w w:val="95"/>
              </w:rPr>
              <w:t>$ change</w:t>
            </w:r>
          </w:p>
        </w:tc>
        <w:tc>
          <w:tcPr>
            <w:tcW w:w="100" w:type="dxa"/>
            <w:vAlign w:val="bottom"/>
            <w:tcBorders>
              <w:top w:val="single" w:sz="8" w:color="auto"/>
              <w:bottom w:val="single" w:sz="8" w:color="CCEEFF"/>
            </w:tcBorders>
          </w:tcPr>
          <w:p>
            <w:pPr>
              <w:spacing w:after="0"/>
              <w:rPr>
                <w:sz w:val="16"/>
                <w:szCs w:val="16"/>
                <w:color w:val="auto"/>
              </w:rPr>
            </w:pPr>
          </w:p>
        </w:tc>
        <w:tc>
          <w:tcPr>
            <w:tcW w:w="108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 change</w:t>
            </w:r>
          </w:p>
        </w:tc>
        <w:tc>
          <w:tcPr>
            <w:tcW w:w="100" w:type="dxa"/>
            <w:vAlign w:val="bottom"/>
            <w:tcBorders>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w w:val="95"/>
              </w:rPr>
              <w:t>$ change</w:t>
            </w:r>
          </w:p>
        </w:tc>
        <w:tc>
          <w:tcPr>
            <w:tcW w:w="120" w:type="dxa"/>
            <w:vAlign w:val="bottom"/>
            <w:tcBorders>
              <w:top w:val="single" w:sz="8" w:color="auto"/>
              <w:bottom w:val="single" w:sz="8" w:color="CCEEFF"/>
            </w:tcBorders>
          </w:tcPr>
          <w:p>
            <w:pPr>
              <w:spacing w:after="0"/>
              <w:rPr>
                <w:sz w:val="16"/>
                <w:szCs w:val="16"/>
                <w:color w:val="auto"/>
              </w:rPr>
            </w:pPr>
          </w:p>
        </w:tc>
        <w:tc>
          <w:tcPr>
            <w:tcW w:w="108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 change</w:t>
            </w:r>
          </w:p>
        </w:tc>
      </w:tr>
      <w:tr>
        <w:trPr>
          <w:trHeight w:val="184"/>
        </w:trPr>
        <w:tc>
          <w:tcPr>
            <w:tcW w:w="3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United States</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906.6</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627.5</w:t>
            </w: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279.1</w:t>
            </w:r>
          </w:p>
        </w:tc>
        <w:tc>
          <w:tcPr>
            <w:tcW w:w="100" w:type="dxa"/>
            <w:vAlign w:val="bottom"/>
            <w:shd w:val="clear" w:color="auto" w:fill="CCEEFF"/>
          </w:tcPr>
          <w:p>
            <w:pPr>
              <w:spacing w:after="0"/>
              <w:rPr>
                <w:sz w:val="15"/>
                <w:szCs w:val="15"/>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44.5 %</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279.1</w:t>
            </w:r>
          </w:p>
        </w:tc>
        <w:tc>
          <w:tcPr>
            <w:tcW w:w="120" w:type="dxa"/>
            <w:vAlign w:val="bottom"/>
            <w:shd w:val="clear" w:color="auto" w:fill="CCEEFF"/>
          </w:tcPr>
          <w:p>
            <w:pPr>
              <w:spacing w:after="0"/>
              <w:rPr>
                <w:sz w:val="15"/>
                <w:szCs w:val="15"/>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44.5 %</w:t>
            </w:r>
          </w:p>
        </w:tc>
      </w:tr>
      <w:tr>
        <w:trPr>
          <w:trHeight w:val="186"/>
        </w:trPr>
        <w:tc>
          <w:tcPr>
            <w:tcW w:w="3320" w:type="dxa"/>
            <w:vAlign w:val="bottom"/>
          </w:tcPr>
          <w:p>
            <w:pPr>
              <w:ind w:left="20"/>
              <w:spacing w:after="0"/>
              <w:rPr>
                <w:sz w:val="20"/>
                <w:szCs w:val="20"/>
                <w:color w:val="auto"/>
              </w:rPr>
            </w:pPr>
            <w:r>
              <w:rPr>
                <w:rFonts w:ascii="Arial" w:cs="Arial" w:eastAsia="Arial" w:hAnsi="Arial"/>
                <w:sz w:val="14"/>
                <w:szCs w:val="14"/>
                <w:color w:val="auto"/>
              </w:rPr>
              <w:t>EMEA</w:t>
            </w: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246.9</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174.2</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72.7</w:t>
            </w:r>
          </w:p>
        </w:tc>
        <w:tc>
          <w:tcPr>
            <w:tcW w:w="1180" w:type="dxa"/>
            <w:vAlign w:val="bottom"/>
            <w:gridSpan w:val="2"/>
          </w:tcPr>
          <w:p>
            <w:pPr>
              <w:jc w:val="right"/>
              <w:spacing w:after="0"/>
              <w:rPr>
                <w:sz w:val="20"/>
                <w:szCs w:val="20"/>
                <w:color w:val="auto"/>
              </w:rPr>
            </w:pPr>
            <w:r>
              <w:rPr>
                <w:rFonts w:ascii="Arial" w:cs="Arial" w:eastAsia="Arial" w:hAnsi="Arial"/>
                <w:sz w:val="14"/>
                <w:szCs w:val="14"/>
                <w:color w:val="auto"/>
              </w:rPr>
              <w:t>41.7 %</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52.7</w:t>
            </w:r>
          </w:p>
        </w:tc>
        <w:tc>
          <w:tcPr>
            <w:tcW w:w="1200" w:type="dxa"/>
            <w:vAlign w:val="bottom"/>
            <w:gridSpan w:val="2"/>
          </w:tcPr>
          <w:p>
            <w:pPr>
              <w:jc w:val="right"/>
              <w:spacing w:after="0"/>
              <w:rPr>
                <w:sz w:val="20"/>
                <w:szCs w:val="20"/>
                <w:color w:val="auto"/>
              </w:rPr>
            </w:pPr>
            <w:r>
              <w:rPr>
                <w:rFonts w:ascii="Arial" w:cs="Arial" w:eastAsia="Arial" w:hAnsi="Arial"/>
                <w:sz w:val="14"/>
                <w:szCs w:val="14"/>
                <w:color w:val="auto"/>
              </w:rPr>
              <w:t>30.3 %</w:t>
            </w:r>
          </w:p>
        </w:tc>
      </w:tr>
      <w:tr>
        <w:trPr>
          <w:trHeight w:val="192"/>
        </w:trPr>
        <w:tc>
          <w:tcPr>
            <w:tcW w:w="3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Japan</w:t>
            </w: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149.9</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102.0</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47.9</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47.0 %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49.0</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48.0 %</w:t>
            </w:r>
          </w:p>
        </w:tc>
      </w:tr>
      <w:tr>
        <w:trPr>
          <w:trHeight w:val="186"/>
        </w:trPr>
        <w:tc>
          <w:tcPr>
            <w:tcW w:w="3320" w:type="dxa"/>
            <w:vAlign w:val="bottom"/>
          </w:tcPr>
          <w:p>
            <w:pPr>
              <w:ind w:left="20"/>
              <w:spacing w:after="0"/>
              <w:rPr>
                <w:sz w:val="20"/>
                <w:szCs w:val="20"/>
                <w:color w:val="auto"/>
              </w:rPr>
            </w:pPr>
            <w:r>
              <w:rPr>
                <w:rFonts w:ascii="Arial" w:cs="Arial" w:eastAsia="Arial" w:hAnsi="Arial"/>
                <w:sz w:val="14"/>
                <w:szCs w:val="14"/>
                <w:color w:val="auto"/>
              </w:rPr>
              <w:t>Korea</w:t>
            </w: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251.8</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177.8</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74.0</w:t>
            </w:r>
          </w:p>
        </w:tc>
        <w:tc>
          <w:tcPr>
            <w:tcW w:w="1180" w:type="dxa"/>
            <w:vAlign w:val="bottom"/>
            <w:gridSpan w:val="2"/>
          </w:tcPr>
          <w:p>
            <w:pPr>
              <w:jc w:val="right"/>
              <w:spacing w:after="0"/>
              <w:rPr>
                <w:sz w:val="20"/>
                <w:szCs w:val="20"/>
                <w:color w:val="auto"/>
              </w:rPr>
            </w:pPr>
            <w:r>
              <w:rPr>
                <w:rFonts w:ascii="Arial" w:cs="Arial" w:eastAsia="Arial" w:hAnsi="Arial"/>
                <w:sz w:val="14"/>
                <w:szCs w:val="14"/>
                <w:color w:val="auto"/>
              </w:rPr>
              <w:t>41.6 %</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58.9</w:t>
            </w:r>
          </w:p>
        </w:tc>
        <w:tc>
          <w:tcPr>
            <w:tcW w:w="1200" w:type="dxa"/>
            <w:vAlign w:val="bottom"/>
            <w:gridSpan w:val="2"/>
          </w:tcPr>
          <w:p>
            <w:pPr>
              <w:jc w:val="right"/>
              <w:spacing w:after="0"/>
              <w:rPr>
                <w:sz w:val="20"/>
                <w:szCs w:val="20"/>
                <w:color w:val="auto"/>
              </w:rPr>
            </w:pPr>
            <w:r>
              <w:rPr>
                <w:rFonts w:ascii="Arial" w:cs="Arial" w:eastAsia="Arial" w:hAnsi="Arial"/>
                <w:sz w:val="14"/>
                <w:szCs w:val="14"/>
                <w:color w:val="auto"/>
              </w:rPr>
              <w:t>33.1 %</w:t>
            </w:r>
          </w:p>
        </w:tc>
      </w:tr>
      <w:tr>
        <w:trPr>
          <w:trHeight w:val="189"/>
        </w:trPr>
        <w:tc>
          <w:tcPr>
            <w:tcW w:w="3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Rest of world</w:t>
            </w:r>
          </w:p>
        </w:tc>
        <w:tc>
          <w:tcPr>
            <w:tcW w:w="22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172.2</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110.2</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62.0</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56.3 %</w:t>
            </w:r>
          </w:p>
        </w:tc>
        <w:tc>
          <w:tcPr>
            <w:tcW w:w="10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47.9</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43.5 %</w:t>
            </w:r>
          </w:p>
        </w:tc>
      </w:tr>
      <w:tr>
        <w:trPr>
          <w:trHeight w:val="186"/>
        </w:trPr>
        <w:tc>
          <w:tcPr>
            <w:tcW w:w="3320" w:type="dxa"/>
            <w:vAlign w:val="bottom"/>
          </w:tcPr>
          <w:p>
            <w:pPr>
              <w:ind w:left="220"/>
              <w:spacing w:after="0"/>
              <w:rPr>
                <w:sz w:val="20"/>
                <w:szCs w:val="20"/>
                <w:color w:val="auto"/>
              </w:rPr>
            </w:pPr>
            <w:r>
              <w:rPr>
                <w:rFonts w:ascii="Arial" w:cs="Arial" w:eastAsia="Arial" w:hAnsi="Arial"/>
                <w:sz w:val="14"/>
                <w:szCs w:val="14"/>
                <w:b w:val="1"/>
                <w:bCs w:val="1"/>
                <w:color w:val="auto"/>
              </w:rPr>
              <w:t>Total net sales</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1,727.4</w:t>
            </w:r>
          </w:p>
        </w:tc>
        <w:tc>
          <w:tcPr>
            <w:tcW w:w="100" w:type="dxa"/>
            <w:vAlign w:val="bottom"/>
          </w:tcPr>
          <w:p>
            <w:pPr>
              <w:spacing w:after="0"/>
              <w:rPr>
                <w:sz w:val="16"/>
                <w:szCs w:val="16"/>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1,191.7</w:t>
            </w:r>
          </w:p>
        </w:tc>
        <w:tc>
          <w:tcPr>
            <w:tcW w:w="120" w:type="dxa"/>
            <w:vAlign w:val="bottom"/>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535.7</w:t>
            </w:r>
          </w:p>
        </w:tc>
        <w:tc>
          <w:tcPr>
            <w:tcW w:w="1180" w:type="dxa"/>
            <w:vAlign w:val="bottom"/>
            <w:gridSpan w:val="2"/>
          </w:tcPr>
          <w:p>
            <w:pPr>
              <w:jc w:val="right"/>
              <w:spacing w:after="0"/>
              <w:rPr>
                <w:sz w:val="20"/>
                <w:szCs w:val="20"/>
                <w:color w:val="auto"/>
              </w:rPr>
            </w:pPr>
            <w:r>
              <w:rPr>
                <w:rFonts w:ascii="Arial" w:cs="Arial" w:eastAsia="Arial" w:hAnsi="Arial"/>
                <w:sz w:val="14"/>
                <w:szCs w:val="14"/>
                <w:color w:val="auto"/>
              </w:rPr>
              <w:t>45.0 %</w:t>
            </w:r>
          </w:p>
        </w:tc>
        <w:tc>
          <w:tcPr>
            <w:tcW w:w="100" w:type="dxa"/>
            <w:vAlign w:val="bottom"/>
          </w:tcPr>
          <w:p>
            <w:pPr>
              <w:spacing w:after="0"/>
              <w:rPr>
                <w:sz w:val="16"/>
                <w:szCs w:val="16"/>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487.6</w:t>
            </w:r>
          </w:p>
        </w:tc>
        <w:tc>
          <w:tcPr>
            <w:tcW w:w="1200" w:type="dxa"/>
            <w:vAlign w:val="bottom"/>
            <w:gridSpan w:val="2"/>
          </w:tcPr>
          <w:p>
            <w:pPr>
              <w:jc w:val="right"/>
              <w:spacing w:after="0"/>
              <w:rPr>
                <w:sz w:val="20"/>
                <w:szCs w:val="20"/>
                <w:color w:val="auto"/>
              </w:rPr>
            </w:pPr>
            <w:r>
              <w:rPr>
                <w:rFonts w:ascii="Arial" w:cs="Arial" w:eastAsia="Arial" w:hAnsi="Arial"/>
                <w:sz w:val="14"/>
                <w:szCs w:val="14"/>
                <w:color w:val="auto"/>
              </w:rPr>
              <w:t>40.9 %</w:t>
            </w:r>
          </w:p>
        </w:tc>
      </w:tr>
      <w:tr>
        <w:trPr>
          <w:trHeight w:val="20"/>
        </w:trPr>
        <w:tc>
          <w:tcPr>
            <w:tcW w:w="33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5520"/>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0139"/>
          </w:cols>
          <w:pgMar w:left="320" w:top="1260" w:right="1440" w:bottom="1440" w:gutter="0" w:footer="0" w:header="0"/>
        </w:sectPr>
      </w:pPr>
    </w:p>
    <w:bookmarkStart w:id="14" w:name="page15"/>
    <w:bookmarkEnd w:id="14"/>
    <w:p>
      <w:pPr>
        <w:jc w:val="center"/>
        <w:ind w:right="-19"/>
        <w:spacing w:after="0"/>
        <w:rPr>
          <w:sz w:val="20"/>
          <w:szCs w:val="20"/>
          <w:color w:val="auto"/>
        </w:rPr>
      </w:pPr>
      <w:r>
        <w:rPr>
          <w:rFonts w:ascii="Arial" w:cs="Arial" w:eastAsia="Arial" w:hAnsi="Arial"/>
          <w:sz w:val="22"/>
          <w:szCs w:val="22"/>
          <w:b w:val="1"/>
          <w:bCs w:val="1"/>
          <w:color w:val="auto"/>
        </w:rPr>
        <w:t>ACUSHNET HOLDINGS CORP.</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Reconciliation of GAAP to Non-GAAP Measures</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(Unaudited)</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Use of Non-GAAP Financial Measures</w:t>
      </w:r>
    </w:p>
    <w:p>
      <w:pPr>
        <w:spacing w:after="0" w:line="226" w:lineRule="exact"/>
        <w:rPr>
          <w:sz w:val="20"/>
          <w:szCs w:val="20"/>
          <w:color w:val="auto"/>
        </w:rPr>
      </w:pPr>
    </w:p>
    <w:p>
      <w:pPr>
        <w:ind w:right="200"/>
        <w:spacing w:after="0" w:line="292" w:lineRule="auto"/>
        <w:rPr>
          <w:sz w:val="20"/>
          <w:szCs w:val="20"/>
          <w:color w:val="auto"/>
        </w:rPr>
      </w:pPr>
      <w:r>
        <w:rPr>
          <w:rFonts w:ascii="Arial" w:cs="Arial" w:eastAsia="Arial" w:hAnsi="Arial"/>
          <w:sz w:val="19"/>
          <w:szCs w:val="19"/>
          <w:color w:val="auto"/>
        </w:rPr>
        <w:t>The Company reports its financial results in accordance with generally accepted accounting principles in the United States (“GAAP”). However, this release includes the non-GAAP financial measures of net sales in constant currency, Adjusted EBITDA and Adjusted EBITDA margin. These non-GAAP financial measures are not measures of financial performance in accordance with GAAP and may exclude items that are significant to understanding and assessing the Company’s financial results. Therefore, these measures should not be considered in isolation or as an alternative to net sales, net income or other measures of profitability or performance under GAAP. You should be aware that the Company’s presentation of these measures may not be comparable to similarly-titled measures used by other companies.</w:t>
      </w:r>
    </w:p>
    <w:p>
      <w:pPr>
        <w:spacing w:after="0" w:line="151" w:lineRule="exact"/>
        <w:rPr>
          <w:sz w:val="20"/>
          <w:szCs w:val="20"/>
          <w:color w:val="auto"/>
        </w:rPr>
      </w:pPr>
    </w:p>
    <w:p>
      <w:pPr>
        <w:spacing w:after="0" w:line="292" w:lineRule="auto"/>
        <w:rPr>
          <w:sz w:val="20"/>
          <w:szCs w:val="20"/>
          <w:color w:val="auto"/>
        </w:rPr>
      </w:pPr>
      <w:r>
        <w:rPr>
          <w:rFonts w:ascii="Arial" w:cs="Arial" w:eastAsia="Arial" w:hAnsi="Arial"/>
          <w:sz w:val="19"/>
          <w:szCs w:val="19"/>
          <w:color w:val="auto"/>
        </w:rPr>
        <w:t>We use net sales on a constant currency basis to evaluate the sales performance of our business in period over period comparisons and for forecasting our business going forward. Constant currency information allows us to estimate what our sales performance would have been without changes in foreign currency exchange rates. This information is calculated by taking the current period local currency sales and translating them into U.S. dollars based upon the foreign currency exchange rates for the applicable comparable prior period. This constant currency information should not be considered in isolation or as a substitute for any measure derived in accordance with GAAP. Our presentation of constant currency information may not be consistent with the manner in which similar measures are derived or used by other companies.</w:t>
      </w:r>
    </w:p>
    <w:p>
      <w:pPr>
        <w:spacing w:after="0" w:line="151" w:lineRule="exact"/>
        <w:rPr>
          <w:sz w:val="20"/>
          <w:szCs w:val="20"/>
          <w:color w:val="auto"/>
        </w:rPr>
      </w:pPr>
    </w:p>
    <w:p>
      <w:pPr>
        <w:spacing w:after="0" w:line="261" w:lineRule="auto"/>
        <w:rPr>
          <w:sz w:val="20"/>
          <w:szCs w:val="20"/>
          <w:color w:val="auto"/>
        </w:rPr>
      </w:pPr>
      <w:r>
        <w:rPr>
          <w:rFonts w:ascii="Arial" w:cs="Arial" w:eastAsia="Arial" w:hAnsi="Arial"/>
          <w:sz w:val="21"/>
          <w:szCs w:val="21"/>
          <w:color w:val="auto"/>
        </w:rPr>
        <w:t>Adjusted EBITDA represents net income attributable to Acushnet Holdings Corp. adjusted for interest expense, net, income tax expense (benefit), depreciation and amortization and other items defined in the agreement, including: share-based compensation expense; restructuring and transformation costs; certain transaction fees; extraordinary, unusual or non-recurring losses or charges; indemnification expense (income); certain pension settlement costs; certain other non-cash (gains) losses, net and the net income relating to noncontrolling interests. We define Adjusted EBITDA in a manner consistent with the term “Consolidated EBITDA” as it is defined in our credit agreement.</w:t>
      </w:r>
    </w:p>
    <w:p>
      <w:pPr>
        <w:spacing w:after="0" w:line="179" w:lineRule="exact"/>
        <w:rPr>
          <w:sz w:val="20"/>
          <w:szCs w:val="20"/>
          <w:color w:val="auto"/>
        </w:rPr>
      </w:pPr>
    </w:p>
    <w:p>
      <w:pPr>
        <w:ind w:right="60"/>
        <w:spacing w:after="0" w:line="250" w:lineRule="auto"/>
        <w:rPr>
          <w:sz w:val="20"/>
          <w:szCs w:val="20"/>
          <w:color w:val="auto"/>
        </w:rPr>
      </w:pPr>
      <w:r>
        <w:rPr>
          <w:rFonts w:ascii="Arial" w:cs="Arial" w:eastAsia="Arial" w:hAnsi="Arial"/>
          <w:sz w:val="22"/>
          <w:szCs w:val="22"/>
          <w:color w:val="auto"/>
        </w:rPr>
        <w:t>We present Adjusted EBITDA as a supplemental measure because it excludes the impact of certain items that we do not consider indicative of our ongoing operating performance. Management uses Adjusted EBITDA to evaluate the effectiveness of our business strategies, assess our consolidated operating performance and make decisions regarding pricing of our products, go to market execution and costs to incur across our business.</w:t>
      </w:r>
    </w:p>
    <w:p>
      <w:pPr>
        <w:spacing w:after="0" w:line="188" w:lineRule="exact"/>
        <w:rPr>
          <w:sz w:val="20"/>
          <w:szCs w:val="20"/>
          <w:color w:val="auto"/>
        </w:rPr>
      </w:pPr>
    </w:p>
    <w:p>
      <w:pPr>
        <w:ind w:right="320"/>
        <w:spacing w:after="0" w:line="271" w:lineRule="auto"/>
        <w:rPr>
          <w:sz w:val="20"/>
          <w:szCs w:val="20"/>
          <w:color w:val="auto"/>
        </w:rPr>
      </w:pPr>
      <w:r>
        <w:rPr>
          <w:rFonts w:ascii="Arial" w:cs="Arial" w:eastAsia="Arial" w:hAnsi="Arial"/>
          <w:sz w:val="21"/>
          <w:szCs w:val="21"/>
          <w:color w:val="auto"/>
        </w:rPr>
        <w:t>We believe Adjusted EBITDA provides useful information to investors regarding our consolidated operating performance. By presenting Adjusted EBITDA, we provide a basis for comparison of our business operations between different periods by excluding items that we do not believe are indicative of our core operating performance.</w:t>
      </w:r>
    </w:p>
    <w:p>
      <w:pPr>
        <w:spacing w:after="0" w:line="167" w:lineRule="exact"/>
        <w:rPr>
          <w:sz w:val="20"/>
          <w:szCs w:val="20"/>
          <w:color w:val="auto"/>
        </w:rPr>
      </w:pPr>
    </w:p>
    <w:p>
      <w:pPr>
        <w:ind w:right="60"/>
        <w:spacing w:after="0" w:line="248" w:lineRule="auto"/>
        <w:rPr>
          <w:sz w:val="20"/>
          <w:szCs w:val="20"/>
          <w:color w:val="auto"/>
        </w:rPr>
      </w:pPr>
      <w:r>
        <w:rPr>
          <w:rFonts w:ascii="Arial" w:cs="Arial" w:eastAsia="Arial" w:hAnsi="Arial"/>
          <w:sz w:val="22"/>
          <w:szCs w:val="22"/>
          <w:color w:val="auto"/>
        </w:rPr>
        <w:t>Adjusted EBITDA is not a measurement of financial performance under GAAP. It should not be considered an alternative to net income attributable to Acushnet Holdings Corp. as a measure of our operating performance or any other measure of performance derived in accordance with GAAP. In addition, Adjusted EBITDA should not be construed as an inference that our future results will be unaffected by unusual or non-recurring items, or affected by similar non-recurring items. Adjusted EBITDA has limitations as an analytical tool, and you should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220"/>
          </w:cols>
          <w:pgMar w:left="320" w:top="1260" w:right="359" w:bottom="1440" w:gutter="0" w:footer="0" w:header="0"/>
        </w:sectPr>
      </w:pPr>
    </w:p>
    <w:bookmarkStart w:id="15" w:name="page16"/>
    <w:bookmarkEnd w:id="15"/>
    <w:p>
      <w:pPr>
        <w:jc w:val="both"/>
        <w:ind w:right="180"/>
        <w:spacing w:after="0" w:line="253" w:lineRule="auto"/>
        <w:rPr>
          <w:sz w:val="20"/>
          <w:szCs w:val="20"/>
          <w:color w:val="auto"/>
        </w:rPr>
      </w:pPr>
      <w:r>
        <w:rPr>
          <w:rFonts w:ascii="Arial" w:cs="Arial" w:eastAsia="Arial" w:hAnsi="Arial"/>
          <w:sz w:val="22"/>
          <w:szCs w:val="22"/>
          <w:color w:val="auto"/>
        </w:rPr>
        <w:t>not consider such measure either in isolation or as a substitute for analyzing our results as reported under GAAP. Our definition and calculation of Adjusted EBITDA is not necessarily comparable to other similarly titled measures used by other companies due to different methods of calculation.</w:t>
      </w:r>
    </w:p>
    <w:p>
      <w:pPr>
        <w:spacing w:after="0" w:line="185" w:lineRule="exact"/>
        <w:rPr>
          <w:sz w:val="20"/>
          <w:szCs w:val="20"/>
          <w:color w:val="auto"/>
        </w:rPr>
      </w:pPr>
    </w:p>
    <w:p>
      <w:pPr>
        <w:spacing w:after="0" w:line="260" w:lineRule="auto"/>
        <w:rPr>
          <w:sz w:val="20"/>
          <w:szCs w:val="20"/>
          <w:color w:val="auto"/>
        </w:rPr>
      </w:pPr>
      <w:r>
        <w:rPr>
          <w:rFonts w:ascii="Arial" w:cs="Arial" w:eastAsia="Arial" w:hAnsi="Arial"/>
          <w:sz w:val="21"/>
          <w:szCs w:val="21"/>
          <w:color w:val="auto"/>
        </w:rPr>
        <w:t>We also use Adjusted EBITDA margin on a consolidated basis, which measures our Adjusted EBITDA as a percentage of net sales, because our management uses it to evaluate the effectiveness of our business strategies, assess our consolidated operating performance and make decisions regarding pricing of our products, go to market execution and costs to incur across our business. We present Adjusted EBITDA margin as a supplemental measure of our operating performance because it excludes the impact of certain items that we do not consider indicative of our ongoing operating performance. Adjusted EBITDA margin is not a measurement of financial performance under GAAP. It should not be considered an alternative to any measure of performance derived in accordance with GAAP.</w:t>
      </w:r>
    </w:p>
    <w:p>
      <w:pPr>
        <w:spacing w:after="0" w:line="180" w:lineRule="exact"/>
        <w:rPr>
          <w:sz w:val="20"/>
          <w:szCs w:val="20"/>
          <w:color w:val="auto"/>
        </w:rPr>
      </w:pPr>
    </w:p>
    <w:p>
      <w:pPr>
        <w:ind w:right="120"/>
        <w:spacing w:after="0" w:line="263" w:lineRule="auto"/>
        <w:rPr>
          <w:sz w:val="20"/>
          <w:szCs w:val="20"/>
          <w:color w:val="auto"/>
        </w:rPr>
      </w:pPr>
      <w:r>
        <w:rPr>
          <w:rFonts w:ascii="Arial" w:cs="Arial" w:eastAsia="Arial" w:hAnsi="Arial"/>
          <w:sz w:val="22"/>
          <w:szCs w:val="22"/>
          <w:color w:val="auto"/>
        </w:rPr>
        <w:t>The following table presents reconciliations of net income attributable to Acushnet Holdings Corp. to Adjusted EBITDA for the periods presented (dollars in thousands):</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50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540" w:type="dxa"/>
            <w:vAlign w:val="bottom"/>
            <w:gridSpan w:val="5"/>
          </w:tcPr>
          <w:p>
            <w:pPr>
              <w:jc w:val="center"/>
              <w:ind w:right="400"/>
              <w:spacing w:after="0"/>
              <w:rPr>
                <w:sz w:val="20"/>
                <w:szCs w:val="20"/>
                <w:color w:val="auto"/>
              </w:rPr>
            </w:pPr>
            <w:r>
              <w:rPr>
                <w:rFonts w:ascii="Arial" w:cs="Arial" w:eastAsia="Arial" w:hAnsi="Arial"/>
                <w:sz w:val="18"/>
                <w:szCs w:val="18"/>
                <w:b w:val="1"/>
                <w:bCs w:val="1"/>
                <w:color w:val="auto"/>
                <w:w w:val="89"/>
              </w:rPr>
              <w:t>Three months ended</w:t>
            </w:r>
          </w:p>
        </w:tc>
        <w:tc>
          <w:tcPr>
            <w:tcW w:w="300" w:type="dxa"/>
            <w:vAlign w:val="bottom"/>
          </w:tcPr>
          <w:p>
            <w:pPr>
              <w:spacing w:after="0"/>
              <w:rPr>
                <w:sz w:val="19"/>
                <w:szCs w:val="19"/>
                <w:color w:val="auto"/>
              </w:rPr>
            </w:pPr>
          </w:p>
        </w:tc>
        <w:tc>
          <w:tcPr>
            <w:tcW w:w="2460" w:type="dxa"/>
            <w:vAlign w:val="bottom"/>
            <w:gridSpan w:val="4"/>
          </w:tcPr>
          <w:p>
            <w:pPr>
              <w:jc w:val="right"/>
              <w:ind w:right="550"/>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34"/>
        </w:trPr>
        <w:tc>
          <w:tcPr>
            <w:tcW w:w="50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540" w:type="dxa"/>
            <w:vAlign w:val="bottom"/>
            <w:gridSpan w:val="5"/>
          </w:tcPr>
          <w:p>
            <w:pPr>
              <w:jc w:val="center"/>
              <w:ind w:right="400"/>
              <w:spacing w:after="0"/>
              <w:rPr>
                <w:sz w:val="20"/>
                <w:szCs w:val="20"/>
                <w:color w:val="auto"/>
              </w:rPr>
            </w:pPr>
            <w:r>
              <w:rPr>
                <w:rFonts w:ascii="Arial" w:cs="Arial" w:eastAsia="Arial" w:hAnsi="Arial"/>
                <w:sz w:val="18"/>
                <w:szCs w:val="18"/>
                <w:b w:val="1"/>
                <w:bCs w:val="1"/>
                <w:color w:val="auto"/>
                <w:w w:val="89"/>
              </w:rPr>
              <w:t>September 30,</w:t>
            </w:r>
          </w:p>
        </w:tc>
        <w:tc>
          <w:tcPr>
            <w:tcW w:w="300" w:type="dxa"/>
            <w:vAlign w:val="bottom"/>
          </w:tcPr>
          <w:p>
            <w:pPr>
              <w:spacing w:after="0"/>
              <w:rPr>
                <w:sz w:val="20"/>
                <w:szCs w:val="20"/>
                <w:color w:val="auto"/>
              </w:rPr>
            </w:pPr>
          </w:p>
        </w:tc>
        <w:tc>
          <w:tcPr>
            <w:tcW w:w="2460" w:type="dxa"/>
            <w:vAlign w:val="bottom"/>
            <w:gridSpan w:val="4"/>
          </w:tcPr>
          <w:p>
            <w:pPr>
              <w:jc w:val="right"/>
              <w:ind w:right="750"/>
              <w:spacing w:after="0"/>
              <w:rPr>
                <w:sz w:val="20"/>
                <w:szCs w:val="20"/>
                <w:color w:val="auto"/>
              </w:rPr>
            </w:pPr>
            <w:r>
              <w:rPr>
                <w:rFonts w:ascii="Arial" w:cs="Arial" w:eastAsia="Arial" w:hAnsi="Arial"/>
                <w:sz w:val="18"/>
                <w:szCs w:val="18"/>
                <w:b w:val="1"/>
                <w:bCs w:val="1"/>
                <w:color w:val="auto"/>
              </w:rPr>
              <w:t>September 30,</w:t>
            </w:r>
          </w:p>
        </w:tc>
        <w:tc>
          <w:tcPr>
            <w:tcW w:w="0" w:type="dxa"/>
            <w:vAlign w:val="bottom"/>
          </w:tcPr>
          <w:p>
            <w:pPr>
              <w:spacing w:after="0"/>
              <w:rPr>
                <w:sz w:val="1"/>
                <w:szCs w:val="1"/>
                <w:color w:val="auto"/>
              </w:rPr>
            </w:pPr>
          </w:p>
        </w:tc>
      </w:tr>
      <w:tr>
        <w:trPr>
          <w:trHeight w:val="223"/>
        </w:trPr>
        <w:tc>
          <w:tcPr>
            <w:tcW w:w="5000" w:type="dxa"/>
            <w:vAlign w:val="bottom"/>
            <w:tcBorders>
              <w:bottom w:val="single" w:sz="8" w:color="CCEEFF"/>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top w:val="single" w:sz="8" w:color="auto"/>
              <w:bottom w:val="single" w:sz="8" w:color="CCEEFF"/>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2020</w:t>
            </w:r>
          </w:p>
        </w:tc>
        <w:tc>
          <w:tcPr>
            <w:tcW w:w="120" w:type="dxa"/>
            <w:vAlign w:val="bottom"/>
            <w:tcBorders>
              <w:bottom w:val="single" w:sz="8" w:color="CCEEFF"/>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top w:val="single" w:sz="8" w:color="auto"/>
              <w:bottom w:val="single" w:sz="8" w:color="CCEEFF"/>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223"/>
        </w:trPr>
        <w:tc>
          <w:tcPr>
            <w:tcW w:w="50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Net income attributable to Acushnet Holdings Corp.</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39,264</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63,216</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205,307</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74,406</w:t>
            </w:r>
          </w:p>
        </w:tc>
        <w:tc>
          <w:tcPr>
            <w:tcW w:w="0" w:type="dxa"/>
            <w:vAlign w:val="bottom"/>
          </w:tcPr>
          <w:p>
            <w:pPr>
              <w:spacing w:after="0"/>
              <w:rPr>
                <w:sz w:val="1"/>
                <w:szCs w:val="1"/>
                <w:color w:val="auto"/>
              </w:rPr>
            </w:pPr>
          </w:p>
        </w:tc>
      </w:tr>
      <w:tr>
        <w:trPr>
          <w:trHeight w:val="230"/>
        </w:trPr>
        <w:tc>
          <w:tcPr>
            <w:tcW w:w="5000" w:type="dxa"/>
            <w:vAlign w:val="bottom"/>
          </w:tcPr>
          <w:p>
            <w:pPr>
              <w:ind w:left="220"/>
              <w:spacing w:after="0"/>
              <w:rPr>
                <w:sz w:val="20"/>
                <w:szCs w:val="20"/>
                <w:color w:val="auto"/>
              </w:rPr>
            </w:pPr>
            <w:r>
              <w:rPr>
                <w:rFonts w:ascii="Arial" w:cs="Arial" w:eastAsia="Arial" w:hAnsi="Arial"/>
                <w:sz w:val="18"/>
                <w:szCs w:val="18"/>
                <w:color w:val="auto"/>
              </w:rPr>
              <w:t>Interest expense, net</w:t>
            </w:r>
          </w:p>
        </w:tc>
        <w:tc>
          <w:tcPr>
            <w:tcW w:w="300" w:type="dxa"/>
            <w:vAlign w:val="bottom"/>
          </w:tcPr>
          <w:p>
            <w:pPr>
              <w:spacing w:after="0"/>
              <w:rPr>
                <w:sz w:val="19"/>
                <w:szCs w:val="19"/>
                <w:color w:val="auto"/>
              </w:rPr>
            </w:pPr>
          </w:p>
        </w:tc>
        <w:tc>
          <w:tcPr>
            <w:tcW w:w="1020" w:type="dxa"/>
            <w:vAlign w:val="bottom"/>
          </w:tcPr>
          <w:p>
            <w:pPr>
              <w:jc w:val="right"/>
              <w:ind w:right="130"/>
              <w:spacing w:after="0"/>
              <w:rPr>
                <w:sz w:val="20"/>
                <w:szCs w:val="20"/>
                <w:color w:val="auto"/>
              </w:rPr>
            </w:pPr>
            <w:r>
              <w:rPr>
                <w:rFonts w:ascii="Arial" w:cs="Arial" w:eastAsia="Arial" w:hAnsi="Arial"/>
                <w:sz w:val="18"/>
                <w:szCs w:val="18"/>
                <w:color w:val="auto"/>
              </w:rPr>
              <w:t>1,147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3,831</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20" w:type="dxa"/>
            <w:vAlign w:val="bottom"/>
          </w:tcPr>
          <w:p>
            <w:pPr>
              <w:jc w:val="right"/>
              <w:ind w:right="130"/>
              <w:spacing w:after="0"/>
              <w:rPr>
                <w:sz w:val="20"/>
                <w:szCs w:val="20"/>
                <w:color w:val="auto"/>
              </w:rPr>
            </w:pPr>
            <w:r>
              <w:rPr>
                <w:rFonts w:ascii="Arial" w:cs="Arial" w:eastAsia="Arial" w:hAnsi="Arial"/>
                <w:sz w:val="18"/>
                <w:szCs w:val="18"/>
                <w:color w:val="auto"/>
              </w:rPr>
              <w:t>6,611</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12,356</w:t>
            </w:r>
          </w:p>
        </w:tc>
        <w:tc>
          <w:tcPr>
            <w:tcW w:w="0" w:type="dxa"/>
            <w:vAlign w:val="bottom"/>
          </w:tcPr>
          <w:p>
            <w:pPr>
              <w:spacing w:after="0"/>
              <w:rPr>
                <w:sz w:val="1"/>
                <w:szCs w:val="1"/>
                <w:color w:val="auto"/>
              </w:rPr>
            </w:pPr>
          </w:p>
        </w:tc>
      </w:tr>
      <w:tr>
        <w:trPr>
          <w:trHeight w:val="229"/>
        </w:trPr>
        <w:tc>
          <w:tcPr>
            <w:tcW w:w="50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Income tax expense</w:t>
            </w:r>
          </w:p>
        </w:tc>
        <w:tc>
          <w:tcPr>
            <w:tcW w:w="30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10,475</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14,141</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62,882</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21,183</w:t>
            </w:r>
          </w:p>
        </w:tc>
        <w:tc>
          <w:tcPr>
            <w:tcW w:w="0" w:type="dxa"/>
            <w:vAlign w:val="bottom"/>
          </w:tcPr>
          <w:p>
            <w:pPr>
              <w:spacing w:after="0"/>
              <w:rPr>
                <w:sz w:val="1"/>
                <w:szCs w:val="1"/>
                <w:color w:val="auto"/>
              </w:rPr>
            </w:pPr>
          </w:p>
        </w:tc>
      </w:tr>
      <w:tr>
        <w:trPr>
          <w:trHeight w:val="230"/>
        </w:trPr>
        <w:tc>
          <w:tcPr>
            <w:tcW w:w="5000" w:type="dxa"/>
            <w:vAlign w:val="bottom"/>
          </w:tcPr>
          <w:p>
            <w:pPr>
              <w:ind w:left="220"/>
              <w:spacing w:after="0"/>
              <w:rPr>
                <w:sz w:val="20"/>
                <w:szCs w:val="20"/>
                <w:color w:val="auto"/>
              </w:rPr>
            </w:pPr>
            <w:r>
              <w:rPr>
                <w:rFonts w:ascii="Arial" w:cs="Arial" w:eastAsia="Arial" w:hAnsi="Arial"/>
                <w:sz w:val="18"/>
                <w:szCs w:val="18"/>
                <w:color w:val="auto"/>
              </w:rPr>
              <w:t>Depreciation and amortization</w:t>
            </w:r>
          </w:p>
        </w:tc>
        <w:tc>
          <w:tcPr>
            <w:tcW w:w="300" w:type="dxa"/>
            <w:vAlign w:val="bottom"/>
          </w:tcPr>
          <w:p>
            <w:pPr>
              <w:spacing w:after="0"/>
              <w:rPr>
                <w:sz w:val="19"/>
                <w:szCs w:val="19"/>
                <w:color w:val="auto"/>
              </w:rPr>
            </w:pPr>
          </w:p>
        </w:tc>
        <w:tc>
          <w:tcPr>
            <w:tcW w:w="1020" w:type="dxa"/>
            <w:vAlign w:val="bottom"/>
          </w:tcPr>
          <w:p>
            <w:pPr>
              <w:jc w:val="right"/>
              <w:ind w:right="130"/>
              <w:spacing w:after="0"/>
              <w:rPr>
                <w:sz w:val="20"/>
                <w:szCs w:val="20"/>
                <w:color w:val="auto"/>
              </w:rPr>
            </w:pPr>
            <w:r>
              <w:rPr>
                <w:rFonts w:ascii="Arial" w:cs="Arial" w:eastAsia="Arial" w:hAnsi="Arial"/>
                <w:sz w:val="18"/>
                <w:szCs w:val="18"/>
                <w:color w:val="auto"/>
              </w:rPr>
              <w:t>10,178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10,487</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20" w:type="dxa"/>
            <w:vAlign w:val="bottom"/>
          </w:tcPr>
          <w:p>
            <w:pPr>
              <w:jc w:val="right"/>
              <w:ind w:right="130"/>
              <w:spacing w:after="0"/>
              <w:rPr>
                <w:sz w:val="20"/>
                <w:szCs w:val="20"/>
                <w:color w:val="auto"/>
              </w:rPr>
            </w:pPr>
            <w:r>
              <w:rPr>
                <w:rFonts w:ascii="Arial" w:cs="Arial" w:eastAsia="Arial" w:hAnsi="Arial"/>
                <w:sz w:val="18"/>
                <w:szCs w:val="18"/>
                <w:color w:val="auto"/>
              </w:rPr>
              <w:t>30,816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31,058</w:t>
            </w:r>
          </w:p>
        </w:tc>
        <w:tc>
          <w:tcPr>
            <w:tcW w:w="0" w:type="dxa"/>
            <w:vAlign w:val="bottom"/>
          </w:tcPr>
          <w:p>
            <w:pPr>
              <w:spacing w:after="0"/>
              <w:rPr>
                <w:sz w:val="1"/>
                <w:szCs w:val="1"/>
                <w:color w:val="auto"/>
              </w:rPr>
            </w:pPr>
          </w:p>
        </w:tc>
      </w:tr>
      <w:tr>
        <w:trPr>
          <w:trHeight w:val="230"/>
        </w:trPr>
        <w:tc>
          <w:tcPr>
            <w:tcW w:w="50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Share-based compensation</w:t>
            </w:r>
          </w:p>
        </w:tc>
        <w:tc>
          <w:tcPr>
            <w:tcW w:w="30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7,012</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3,674</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20,822</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10,077</w:t>
            </w:r>
          </w:p>
        </w:tc>
        <w:tc>
          <w:tcPr>
            <w:tcW w:w="0" w:type="dxa"/>
            <w:vAlign w:val="bottom"/>
          </w:tcPr>
          <w:p>
            <w:pPr>
              <w:spacing w:after="0"/>
              <w:rPr>
                <w:sz w:val="1"/>
                <w:szCs w:val="1"/>
                <w:color w:val="auto"/>
              </w:rPr>
            </w:pPr>
          </w:p>
        </w:tc>
      </w:tr>
      <w:tr>
        <w:trPr>
          <w:trHeight w:val="230"/>
        </w:trPr>
        <w:tc>
          <w:tcPr>
            <w:tcW w:w="5000" w:type="dxa"/>
            <w:vAlign w:val="bottom"/>
          </w:tcPr>
          <w:p>
            <w:pPr>
              <w:ind w:left="220"/>
              <w:spacing w:after="0" w:line="230" w:lineRule="exact"/>
              <w:rPr>
                <w:sz w:val="20"/>
                <w:szCs w:val="20"/>
                <w:color w:val="auto"/>
              </w:rPr>
            </w:pPr>
            <w:r>
              <w:rPr>
                <w:rFonts w:ascii="Arial" w:cs="Arial" w:eastAsia="Arial" w:hAnsi="Arial"/>
                <w:sz w:val="18"/>
                <w:szCs w:val="18"/>
                <w:color w:val="auto"/>
              </w:rPr>
              <w:t xml:space="preserve">Restructuring &amp; transformation costs </w:t>
            </w:r>
            <w:r>
              <w:rPr>
                <w:rFonts w:ascii="Arial" w:cs="Arial" w:eastAsia="Arial" w:hAnsi="Arial"/>
                <w:sz w:val="23"/>
                <w:szCs w:val="23"/>
                <w:color w:val="auto"/>
                <w:vertAlign w:val="superscript"/>
              </w:rPr>
              <w:t>(1)</w:t>
            </w:r>
          </w:p>
        </w:tc>
        <w:tc>
          <w:tcPr>
            <w:tcW w:w="300" w:type="dxa"/>
            <w:vAlign w:val="bottom"/>
          </w:tcPr>
          <w:p>
            <w:pPr>
              <w:spacing w:after="0"/>
              <w:rPr>
                <w:sz w:val="19"/>
                <w:szCs w:val="19"/>
                <w:color w:val="auto"/>
              </w:rPr>
            </w:pPr>
          </w:p>
        </w:tc>
        <w:tc>
          <w:tcPr>
            <w:tcW w:w="11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643</w:t>
            </w: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13,710</w:t>
            </w:r>
          </w:p>
        </w:tc>
        <w:tc>
          <w:tcPr>
            <w:tcW w:w="0" w:type="dxa"/>
            <w:vAlign w:val="bottom"/>
          </w:tcPr>
          <w:p>
            <w:pPr>
              <w:spacing w:after="0"/>
              <w:rPr>
                <w:sz w:val="1"/>
                <w:szCs w:val="1"/>
                <w:color w:val="auto"/>
              </w:rPr>
            </w:pPr>
          </w:p>
        </w:tc>
      </w:tr>
      <w:tr>
        <w:trPr>
          <w:trHeight w:val="229"/>
        </w:trPr>
        <w:tc>
          <w:tcPr>
            <w:tcW w:w="5000" w:type="dxa"/>
            <w:vAlign w:val="bottom"/>
            <w:shd w:val="clear" w:color="auto" w:fill="CCEEFF"/>
          </w:tcPr>
          <w:p>
            <w:pPr>
              <w:ind w:left="220"/>
              <w:spacing w:after="0" w:line="230" w:lineRule="exact"/>
              <w:rPr>
                <w:sz w:val="20"/>
                <w:szCs w:val="20"/>
                <w:color w:val="auto"/>
              </w:rPr>
            </w:pPr>
            <w:r>
              <w:rPr>
                <w:rFonts w:ascii="Arial" w:cs="Arial" w:eastAsia="Arial" w:hAnsi="Arial"/>
                <w:sz w:val="18"/>
                <w:szCs w:val="18"/>
                <w:color w:val="auto"/>
                <w:w w:val="97"/>
              </w:rPr>
              <w:t xml:space="preserve">Other extraordinary, unusual or non-recurring items, net </w:t>
            </w:r>
            <w:r>
              <w:rPr>
                <w:rFonts w:ascii="Arial" w:cs="Arial" w:eastAsia="Arial" w:hAnsi="Arial"/>
                <w:sz w:val="23"/>
                <w:szCs w:val="23"/>
                <w:color w:val="auto"/>
                <w:w w:val="97"/>
                <w:vertAlign w:val="superscript"/>
              </w:rPr>
              <w:t>(2)(3)</w:t>
            </w:r>
          </w:p>
        </w:tc>
        <w:tc>
          <w:tcPr>
            <w:tcW w:w="30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1,517</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2,417</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3,099</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19,960</w:t>
            </w:r>
          </w:p>
        </w:tc>
        <w:tc>
          <w:tcPr>
            <w:tcW w:w="0" w:type="dxa"/>
            <w:vAlign w:val="bottom"/>
          </w:tcPr>
          <w:p>
            <w:pPr>
              <w:spacing w:after="0"/>
              <w:rPr>
                <w:sz w:val="1"/>
                <w:szCs w:val="1"/>
                <w:color w:val="auto"/>
              </w:rPr>
            </w:pPr>
          </w:p>
        </w:tc>
      </w:tr>
      <w:tr>
        <w:trPr>
          <w:trHeight w:val="230"/>
        </w:trPr>
        <w:tc>
          <w:tcPr>
            <w:tcW w:w="500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Net income attributable to noncontrolling interests</w:t>
            </w:r>
          </w:p>
        </w:tc>
        <w:tc>
          <w:tcPr>
            <w:tcW w:w="3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661</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830</w:t>
            </w:r>
          </w:p>
        </w:tc>
        <w:tc>
          <w:tcPr>
            <w:tcW w:w="1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3,765</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2,368</w:t>
            </w:r>
          </w:p>
        </w:tc>
        <w:tc>
          <w:tcPr>
            <w:tcW w:w="0" w:type="dxa"/>
            <w:vAlign w:val="bottom"/>
          </w:tcPr>
          <w:p>
            <w:pPr>
              <w:spacing w:after="0"/>
              <w:rPr>
                <w:sz w:val="1"/>
                <w:szCs w:val="1"/>
                <w:color w:val="auto"/>
              </w:rPr>
            </w:pPr>
          </w:p>
        </w:tc>
      </w:tr>
      <w:tr>
        <w:trPr>
          <w:trHeight w:val="248"/>
        </w:trPr>
        <w:tc>
          <w:tcPr>
            <w:tcW w:w="5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EBITDA</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70,254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99,239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333,302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185,118</w:t>
            </w:r>
          </w:p>
        </w:tc>
        <w:tc>
          <w:tcPr>
            <w:tcW w:w="0" w:type="dxa"/>
            <w:vAlign w:val="bottom"/>
          </w:tcPr>
          <w:p>
            <w:pPr>
              <w:spacing w:after="0"/>
              <w:rPr>
                <w:sz w:val="1"/>
                <w:szCs w:val="1"/>
                <w:color w:val="auto"/>
              </w:rPr>
            </w:pPr>
          </w:p>
        </w:tc>
      </w:tr>
      <w:tr>
        <w:trPr>
          <w:trHeight w:val="20"/>
        </w:trPr>
        <w:tc>
          <w:tcPr>
            <w:tcW w:w="50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Adjusted EBITDA margin</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500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line="204" w:lineRule="exact"/>
              <w:rPr>
                <w:sz w:val="20"/>
                <w:szCs w:val="20"/>
                <w:color w:val="auto"/>
              </w:rPr>
            </w:pPr>
            <w:r>
              <w:rPr>
                <w:rFonts w:ascii="Arial" w:cs="Arial" w:eastAsia="Arial" w:hAnsi="Arial"/>
                <w:sz w:val="18"/>
                <w:szCs w:val="18"/>
                <w:color w:val="auto"/>
              </w:rPr>
              <w:t>13.5 %</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jc w:val="right"/>
              <w:spacing w:after="0" w:line="204" w:lineRule="exact"/>
              <w:rPr>
                <w:sz w:val="20"/>
                <w:szCs w:val="20"/>
                <w:color w:val="auto"/>
              </w:rPr>
            </w:pPr>
            <w:r>
              <w:rPr>
                <w:rFonts w:ascii="Arial" w:cs="Arial" w:eastAsia="Arial" w:hAnsi="Arial"/>
                <w:sz w:val="18"/>
                <w:szCs w:val="18"/>
                <w:color w:val="auto"/>
              </w:rPr>
              <w:t>20.5 %</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20" w:type="dxa"/>
            <w:vAlign w:val="bottom"/>
          </w:tcPr>
          <w:p>
            <w:pPr>
              <w:jc w:val="right"/>
              <w:spacing w:after="0" w:line="204" w:lineRule="exact"/>
              <w:rPr>
                <w:sz w:val="20"/>
                <w:szCs w:val="20"/>
                <w:color w:val="auto"/>
              </w:rPr>
            </w:pPr>
            <w:r>
              <w:rPr>
                <w:rFonts w:ascii="Arial" w:cs="Arial" w:eastAsia="Arial" w:hAnsi="Arial"/>
                <w:sz w:val="18"/>
                <w:szCs w:val="18"/>
                <w:color w:val="auto"/>
              </w:rPr>
              <w:t>19.3 %</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jc w:val="right"/>
              <w:spacing w:after="0" w:line="204" w:lineRule="exact"/>
              <w:rPr>
                <w:sz w:val="20"/>
                <w:szCs w:val="20"/>
                <w:color w:val="auto"/>
              </w:rPr>
            </w:pPr>
            <w:r>
              <w:rPr>
                <w:rFonts w:ascii="Arial" w:cs="Arial" w:eastAsia="Arial" w:hAnsi="Arial"/>
                <w:sz w:val="18"/>
                <w:szCs w:val="18"/>
                <w:color w:val="auto"/>
              </w:rPr>
              <w:t>15.5 %</w:t>
            </w:r>
          </w:p>
        </w:tc>
        <w:tc>
          <w:tcPr>
            <w:tcW w:w="0" w:type="dxa"/>
            <w:vAlign w:val="bottom"/>
          </w:tcPr>
          <w:p>
            <w:pPr>
              <w:spacing w:after="0"/>
              <w:rPr>
                <w:sz w:val="1"/>
                <w:szCs w:val="1"/>
                <w:color w:val="auto"/>
              </w:rPr>
            </w:pPr>
          </w:p>
        </w:tc>
      </w:tr>
    </w:tbl>
    <w:p>
      <w:pPr>
        <w:spacing w:after="0" w:line="190" w:lineRule="exact"/>
        <w:rPr>
          <w:sz w:val="20"/>
          <w:szCs w:val="20"/>
          <w:color w:val="auto"/>
        </w:rPr>
      </w:pPr>
    </w:p>
    <w:p>
      <w:pPr>
        <w:spacing w:after="0"/>
        <w:rPr>
          <w:sz w:val="20"/>
          <w:szCs w:val="20"/>
          <w:color w:val="auto"/>
        </w:rPr>
      </w:pPr>
      <w:r>
        <w:rPr>
          <w:rFonts w:ascii="Arial" w:cs="Arial" w:eastAsia="Arial" w:hAnsi="Arial"/>
          <w:sz w:val="5"/>
          <w:szCs w:val="5"/>
          <w:color w:val="auto"/>
        </w:rPr>
        <w:t>_______________________________________________________________________________________</w:t>
      </w:r>
    </w:p>
    <w:p>
      <w:pPr>
        <w:spacing w:after="0" w:line="1" w:lineRule="exact"/>
        <w:rPr>
          <w:sz w:val="20"/>
          <w:szCs w:val="20"/>
          <w:color w:val="auto"/>
        </w:rPr>
      </w:pPr>
    </w:p>
    <w:p>
      <w:pPr>
        <w:ind w:left="320" w:hanging="312"/>
        <w:spacing w:after="0"/>
        <w:tabs>
          <w:tab w:leader="none" w:pos="320" w:val="left"/>
        </w:tabs>
        <w:numPr>
          <w:ilvl w:val="0"/>
          <w:numId w:val="6"/>
        </w:numPr>
        <w:rPr>
          <w:rFonts w:ascii="Arial" w:cs="Arial" w:eastAsia="Arial" w:hAnsi="Arial"/>
          <w:sz w:val="14"/>
          <w:szCs w:val="14"/>
          <w:color w:val="auto"/>
        </w:rPr>
      </w:pPr>
      <w:r>
        <w:rPr>
          <w:rFonts w:ascii="Arial" w:cs="Arial" w:eastAsia="Arial" w:hAnsi="Arial"/>
          <w:sz w:val="14"/>
          <w:szCs w:val="14"/>
          <w:color w:val="auto"/>
        </w:rPr>
        <w:t>Relates to severance and other costs associated with management's program to refine our business model and improve operational efficiencies.</w:t>
      </w:r>
    </w:p>
    <w:p>
      <w:pPr>
        <w:spacing w:after="0" w:line="1" w:lineRule="exact"/>
        <w:rPr>
          <w:rFonts w:ascii="Arial" w:cs="Arial" w:eastAsia="Arial" w:hAnsi="Arial"/>
          <w:sz w:val="14"/>
          <w:szCs w:val="14"/>
          <w:color w:val="auto"/>
        </w:rPr>
      </w:pPr>
    </w:p>
    <w:p>
      <w:pPr>
        <w:ind w:left="340" w:right="20" w:hanging="332"/>
        <w:spacing w:after="0" w:line="241" w:lineRule="auto"/>
        <w:tabs>
          <w:tab w:leader="none" w:pos="332" w:val="left"/>
        </w:tabs>
        <w:numPr>
          <w:ilvl w:val="0"/>
          <w:numId w:val="6"/>
        </w:numPr>
        <w:rPr>
          <w:rFonts w:ascii="Arial" w:cs="Arial" w:eastAsia="Arial" w:hAnsi="Arial"/>
          <w:sz w:val="14"/>
          <w:szCs w:val="14"/>
          <w:color w:val="auto"/>
        </w:rPr>
      </w:pPr>
      <w:r>
        <w:rPr>
          <w:rFonts w:ascii="Arial" w:cs="Arial" w:eastAsia="Arial" w:hAnsi="Arial"/>
          <w:sz w:val="14"/>
          <w:szCs w:val="14"/>
          <w:color w:val="auto"/>
        </w:rPr>
        <w:t>The three and nine months ended September 30, 2021 include pension settlement costs of $0.5 million and $2.1 million, respectively, related to lump-sum distributions to participants in our defined benefit plans as a result of the voluntary retirement program as part of management’s approved restructuring program, as well as other immaterial unusual or non-recurring items, net.</w:t>
      </w:r>
    </w:p>
    <w:p>
      <w:pPr>
        <w:spacing w:after="0" w:line="1" w:lineRule="exact"/>
        <w:rPr>
          <w:rFonts w:ascii="Arial" w:cs="Arial" w:eastAsia="Arial" w:hAnsi="Arial"/>
          <w:sz w:val="14"/>
          <w:szCs w:val="14"/>
          <w:color w:val="auto"/>
        </w:rPr>
      </w:pPr>
    </w:p>
    <w:p>
      <w:pPr>
        <w:ind w:left="340" w:right="40" w:hanging="332"/>
        <w:spacing w:after="0" w:line="271" w:lineRule="auto"/>
        <w:tabs>
          <w:tab w:leader="none" w:pos="332" w:val="left"/>
        </w:tabs>
        <w:numPr>
          <w:ilvl w:val="0"/>
          <w:numId w:val="6"/>
        </w:numPr>
        <w:rPr>
          <w:rFonts w:ascii="Arial" w:cs="Arial" w:eastAsia="Arial" w:hAnsi="Arial"/>
          <w:sz w:val="13"/>
          <w:szCs w:val="13"/>
          <w:color w:val="auto"/>
        </w:rPr>
      </w:pPr>
      <w:r>
        <w:rPr>
          <w:rFonts w:ascii="Arial" w:cs="Arial" w:eastAsia="Arial" w:hAnsi="Arial"/>
          <w:sz w:val="13"/>
          <w:szCs w:val="13"/>
          <w:color w:val="auto"/>
        </w:rPr>
        <w:t>The nine months ended September 30, 2020 include salaries and benefits paid for associates who could not work due to government mandated shutdowns, fringe benefits paid for furloughed associates, spoiled raw materials, incremental costs to support remote work and the cost of additional health and safety equipment of $13.5 million. The three and nine months ended September 30, 2020 also includes $1.2 million and $5.1 million of pension settlement costs related to lump-sum distributions to participants in our defined benefit plans as a result of the voluntary retirement plan as part of management’s approved restructuring program, as well as other immaterial unusual or non-recurring items, net.</w:t>
      </w:r>
    </w:p>
    <w:p>
      <w:pPr>
        <w:spacing w:after="0" w:line="134" w:lineRule="exact"/>
        <w:rPr>
          <w:sz w:val="20"/>
          <w:szCs w:val="20"/>
          <w:color w:val="auto"/>
        </w:rPr>
      </w:pPr>
    </w:p>
    <w:p>
      <w:pPr>
        <w:ind w:right="160"/>
        <w:spacing w:after="0" w:line="265" w:lineRule="auto"/>
        <w:rPr>
          <w:sz w:val="20"/>
          <w:szCs w:val="20"/>
          <w:color w:val="auto"/>
        </w:rPr>
      </w:pPr>
      <w:r>
        <w:rPr>
          <w:rFonts w:ascii="Arial" w:cs="Arial" w:eastAsia="Arial" w:hAnsi="Arial"/>
          <w:sz w:val="21"/>
          <w:szCs w:val="21"/>
          <w:color w:val="auto"/>
        </w:rPr>
        <w:t>A reconciliation of non-GAAP Adjusted EBITDA, as forecasted for 2021, to the closest corresponding GAAP measure, net income, is not available without unreasonable efforts on a forward-looking basis due to the high variability and low visibility of certain charges that may impact our GAAP results on a forward-looking basis, such as the measures and effects of share- based compensation and other extraordinary, unusual or non-recurring items, net.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13</w:t>
      </w:r>
    </w:p>
    <w:sectPr>
      <w:pgSz w:w="11900" w:h="16838" w:orient="portrait"/>
      <w:cols w:equalWidth="0" w:num="1">
        <w:col w:w="11200"/>
      </w:cols>
      <w:pgMar w:left="320" w:top="1266"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2021-11-04T05:21:08Z</dcterms:created>
  <dcterms:modified xsi:type="dcterms:W3CDTF">2021-11-04T05:21:08Z</dcterms:modified>
</cp:coreProperties>
</file>