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328295</wp:posOffset>
            </wp:positionH>
            <wp:positionV relativeFrom="page">
              <wp:posOffset>517525</wp:posOffset>
            </wp:positionV>
            <wp:extent cx="690054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00545" cy="8255"/>
                    </a:xfrm>
                    <a:prstGeom prst="rect">
                      <a:avLst/>
                    </a:prstGeom>
                    <a:noFill/>
                  </pic:spPr>
                </pic:pic>
              </a:graphicData>
            </a:graphic>
          </wp:anchor>
        </w:drawing>
        <w:drawing>
          <wp:anchor simplePos="0" relativeHeight="251657728" behindDoc="1" locked="0" layoutInCell="0" allowOverlap="1">
            <wp:simplePos x="0" y="0"/>
            <wp:positionH relativeFrom="page">
              <wp:posOffset>328295</wp:posOffset>
            </wp:positionH>
            <wp:positionV relativeFrom="page">
              <wp:posOffset>414655</wp:posOffset>
            </wp:positionV>
            <wp:extent cx="6900545" cy="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00545" cy="25400"/>
                    </a:xfrm>
                    <a:prstGeom prst="rect">
                      <a:avLst/>
                    </a:prstGeom>
                    <a:noFill/>
                  </pic:spPr>
                </pic:pic>
              </a:graphicData>
            </a:graphic>
          </wp:anchor>
        </w:drawing>
        <w:t>UNITED STATES</w:t>
      </w:r>
    </w:p>
    <w:p>
      <w:pPr>
        <w:spacing w:after="0" w:line="17"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SECURITIES AND EXCHANGE COMMISSION</w:t>
      </w:r>
    </w:p>
    <w:p>
      <w:pPr>
        <w:spacing w:after="0" w:line="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WASHINGTON, D.C. 20549</w:t>
      </w:r>
    </w:p>
    <w:p>
      <w:pPr>
        <w:spacing w:after="0" w:line="147" w:lineRule="exact"/>
        <w:rPr>
          <w:sz w:val="24"/>
          <w:szCs w:val="24"/>
          <w:color w:val="auto"/>
        </w:rPr>
      </w:pPr>
    </w:p>
    <w:p>
      <w:pPr>
        <w:jc w:val="center"/>
        <w:ind w:right="20"/>
        <w:spacing w:after="0"/>
        <w:tabs>
          <w:tab w:leader="none" w:pos="240" w:val="left"/>
        </w:tabs>
        <w:rPr>
          <w:sz w:val="20"/>
          <w:szCs w:val="20"/>
          <w:color w:val="auto"/>
        </w:rPr>
      </w:pPr>
      <w:r>
        <w:rPr>
          <w:rFonts w:ascii="Arial" w:cs="Arial" w:eastAsia="Arial" w:hAnsi="Arial"/>
          <w:sz w:val="25"/>
          <w:szCs w:val="25"/>
          <w:b w:val="1"/>
          <w:bCs w:val="1"/>
          <w:color w:val="auto"/>
        </w:rPr>
        <w:t>Form</w:t>
      </w:r>
      <w:r>
        <w:rPr>
          <w:sz w:val="20"/>
          <w:szCs w:val="20"/>
          <w:color w:val="auto"/>
        </w:rPr>
        <w:tab/>
      </w:r>
      <w:r>
        <w:rPr>
          <w:rFonts w:ascii="Arial" w:cs="Arial" w:eastAsia="Arial" w:hAnsi="Arial"/>
          <w:sz w:val="24"/>
          <w:szCs w:val="24"/>
          <w:b w:val="1"/>
          <w:bCs w:val="1"/>
          <w:color w:val="auto"/>
        </w:rPr>
        <w:t>10-K/A</w:t>
      </w:r>
    </w:p>
    <w:p>
      <w:pPr>
        <w:spacing w:after="0" w:line="253" w:lineRule="exact"/>
        <w:rPr>
          <w:sz w:val="24"/>
          <w:szCs w:val="24"/>
          <w:color w:val="auto"/>
        </w:rPr>
      </w:pPr>
    </w:p>
    <w:p>
      <w:pPr>
        <w:ind w:left="4260" w:right="3880" w:hanging="4252"/>
        <w:spacing w:after="0" w:line="375" w:lineRule="auto"/>
        <w:tabs>
          <w:tab w:leader="none" w:pos="227" w:val="left"/>
        </w:tabs>
        <w:numPr>
          <w:ilvl w:val="0"/>
          <w:numId w:val="1"/>
        </w:numPr>
        <w:rPr>
          <w:rFonts w:ascii="MS PGothic" w:cs="MS PGothic" w:eastAsia="MS PGothic" w:hAnsi="MS PGothic"/>
          <w:sz w:val="20"/>
          <w:szCs w:val="20"/>
          <w:color w:val="auto"/>
        </w:rPr>
      </w:pPr>
      <w:r>
        <w:rPr>
          <w:rFonts w:ascii="Arial" w:cs="Arial" w:eastAsia="Arial" w:hAnsi="Arial"/>
          <w:sz w:val="14"/>
          <w:szCs w:val="14"/>
          <w:b w:val="1"/>
          <w:bCs w:val="1"/>
          <w:color w:val="auto"/>
        </w:rPr>
        <w:t>ANNUAL REPORT PURSUANT TO SECTION 13 OR 15(d) OF THE SECURITIES EXCHANGE ACT OF 1934 For the fiscal year ended December 31, 2019</w:t>
      </w:r>
    </w:p>
    <w:p>
      <w:pPr>
        <w:ind w:left="5520"/>
        <w:spacing w:after="0"/>
        <w:rPr>
          <w:rFonts w:ascii="MS PGothic" w:cs="MS PGothic" w:eastAsia="MS PGothic" w:hAnsi="MS PGothic"/>
          <w:sz w:val="20"/>
          <w:szCs w:val="20"/>
          <w:color w:val="auto"/>
        </w:rPr>
      </w:pPr>
      <w:r>
        <w:rPr>
          <w:rFonts w:ascii="Arial" w:cs="Arial" w:eastAsia="Arial" w:hAnsi="Arial"/>
          <w:sz w:val="14"/>
          <w:szCs w:val="14"/>
          <w:b w:val="1"/>
          <w:bCs w:val="1"/>
          <w:color w:val="auto"/>
        </w:rPr>
        <w:t>OR</w:t>
      </w:r>
    </w:p>
    <w:p>
      <w:pPr>
        <w:spacing w:after="0" w:line="148"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20"/>
          <w:szCs w:val="20"/>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111" w:lineRule="exact"/>
        <w:rPr>
          <w:sz w:val="24"/>
          <w:szCs w:val="24"/>
          <w:color w:val="auto"/>
        </w:rPr>
      </w:pPr>
    </w:p>
    <w:p>
      <w:pPr>
        <w:ind w:left="4500"/>
        <w:spacing w:after="0"/>
        <w:tabs>
          <w:tab w:leader="none" w:pos="662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109" w:lineRule="exact"/>
        <w:rPr>
          <w:sz w:val="24"/>
          <w:szCs w:val="24"/>
          <w:color w:val="auto"/>
        </w:rPr>
      </w:pPr>
    </w:p>
    <w:p>
      <w:pPr>
        <w:ind w:left="4480"/>
        <w:spacing w:after="0"/>
        <w:rPr>
          <w:sz w:val="20"/>
          <w:szCs w:val="20"/>
          <w:color w:val="auto"/>
        </w:rPr>
      </w:pPr>
      <w:r>
        <w:rPr>
          <w:rFonts w:ascii="Arial" w:cs="Arial" w:eastAsia="Arial" w:hAnsi="Arial"/>
          <w:sz w:val="14"/>
          <w:szCs w:val="14"/>
          <w:b w:val="1"/>
          <w:bCs w:val="1"/>
          <w:color w:val="auto"/>
        </w:rPr>
        <w:t>Commission File Number: 001-37935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100965</wp:posOffset>
            </wp:positionV>
            <wp:extent cx="34290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143" w:lineRule="exact"/>
        <w:rPr>
          <w:sz w:val="24"/>
          <w:szCs w:val="24"/>
          <w:color w:val="auto"/>
        </w:rPr>
      </w:pPr>
    </w:p>
    <w:p>
      <w:pPr>
        <w:jc w:val="center"/>
        <w:ind w:right="-99"/>
        <w:spacing w:after="0"/>
        <w:rPr>
          <w:sz w:val="20"/>
          <w:szCs w:val="20"/>
          <w:color w:val="auto"/>
        </w:rPr>
      </w:pPr>
      <w:r>
        <w:rPr>
          <w:rFonts w:ascii="Arial" w:cs="Arial" w:eastAsia="Arial" w:hAnsi="Arial"/>
          <w:sz w:val="31"/>
          <w:szCs w:val="31"/>
          <w:b w:val="1"/>
          <w:bCs w:val="1"/>
          <w:color w:val="auto"/>
        </w:rPr>
        <w:t>Acushnet Holdings Corp.</w:t>
      </w:r>
    </w:p>
    <w:p>
      <w:pPr>
        <w:spacing w:after="0" w:line="75" w:lineRule="exact"/>
        <w:rPr>
          <w:sz w:val="24"/>
          <w:szCs w:val="24"/>
          <w:color w:val="auto"/>
        </w:rPr>
      </w:pPr>
    </w:p>
    <w:p>
      <w:pPr>
        <w:jc w:val="center"/>
        <w:ind w:right="-99"/>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86360</wp:posOffset>
            </wp:positionV>
            <wp:extent cx="34290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tbl>
      <w:tblPr>
        <w:tblLayout w:type="fixed"/>
        <w:tblInd w:w="0" w:type="dxa"/>
        <w:tblCellMar>
          <w:top w:w="0" w:type="dxa"/>
          <w:left w:w="0" w:type="dxa"/>
          <w:bottom w:w="0" w:type="dxa"/>
          <w:right w:w="0" w:type="dxa"/>
        </w:tblCellMar>
      </w:tblPr>
      <w:tr>
        <w:trPr>
          <w:trHeight w:val="186"/>
        </w:trPr>
        <w:tc>
          <w:tcPr>
            <w:tcW w:w="700" w:type="dxa"/>
            <w:vAlign w:val="bottom"/>
          </w:tcPr>
          <w:p>
            <w:pPr>
              <w:spacing w:after="0"/>
              <w:rPr>
                <w:sz w:val="16"/>
                <w:szCs w:val="16"/>
                <w:color w:val="auto"/>
              </w:rPr>
            </w:pPr>
          </w:p>
        </w:tc>
        <w:tc>
          <w:tcPr>
            <w:tcW w:w="3340" w:type="dxa"/>
            <w:vAlign w:val="bottom"/>
          </w:tcPr>
          <w:p>
            <w:pPr>
              <w:jc w:val="center"/>
              <w:ind w:left="8"/>
              <w:spacing w:after="0"/>
              <w:rPr>
                <w:sz w:val="20"/>
                <w:szCs w:val="20"/>
                <w:color w:val="auto"/>
              </w:rPr>
            </w:pPr>
            <w:r>
              <w:rPr>
                <w:rFonts w:ascii="Arial" w:cs="Arial" w:eastAsia="Arial" w:hAnsi="Arial"/>
                <w:sz w:val="14"/>
                <w:szCs w:val="14"/>
                <w:b w:val="1"/>
                <w:bCs w:val="1"/>
                <w:color w:val="auto"/>
                <w:w w:val="94"/>
              </w:rPr>
              <w:t>Delaware</w:t>
            </w: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360" w:type="dxa"/>
            <w:vAlign w:val="bottom"/>
          </w:tcPr>
          <w:p>
            <w:pPr>
              <w:jc w:val="right"/>
              <w:ind w:right="1288"/>
              <w:spacing w:after="0"/>
              <w:rPr>
                <w:sz w:val="20"/>
                <w:szCs w:val="20"/>
                <w:color w:val="auto"/>
              </w:rPr>
            </w:pPr>
            <w:r>
              <w:rPr>
                <w:rFonts w:ascii="Arial" w:cs="Arial" w:eastAsia="Arial" w:hAnsi="Arial"/>
                <w:sz w:val="14"/>
                <w:szCs w:val="14"/>
                <w:b w:val="1"/>
                <w:bCs w:val="1"/>
                <w:color w:val="auto"/>
              </w:rPr>
              <w:t>45-2644353</w:t>
            </w:r>
          </w:p>
        </w:tc>
        <w:tc>
          <w:tcPr>
            <w:tcW w:w="0" w:type="dxa"/>
            <w:vAlign w:val="bottom"/>
          </w:tcPr>
          <w:p>
            <w:pPr>
              <w:spacing w:after="0"/>
              <w:rPr>
                <w:sz w:val="1"/>
                <w:szCs w:val="1"/>
                <w:color w:val="auto"/>
              </w:rPr>
            </w:pPr>
          </w:p>
        </w:tc>
      </w:tr>
      <w:tr>
        <w:trPr>
          <w:trHeight w:val="209"/>
        </w:trPr>
        <w:tc>
          <w:tcPr>
            <w:tcW w:w="700" w:type="dxa"/>
            <w:vAlign w:val="bottom"/>
          </w:tcPr>
          <w:p>
            <w:pPr>
              <w:spacing w:after="0"/>
              <w:rPr>
                <w:sz w:val="18"/>
                <w:szCs w:val="18"/>
                <w:color w:val="auto"/>
              </w:rPr>
            </w:pPr>
          </w:p>
        </w:tc>
        <w:tc>
          <w:tcPr>
            <w:tcW w:w="3340" w:type="dxa"/>
            <w:vAlign w:val="bottom"/>
          </w:tcPr>
          <w:p>
            <w:pPr>
              <w:jc w:val="center"/>
              <w:spacing w:after="0"/>
              <w:rPr>
                <w:sz w:val="20"/>
                <w:szCs w:val="20"/>
                <w:color w:val="auto"/>
              </w:rPr>
            </w:pPr>
            <w:r>
              <w:rPr>
                <w:rFonts w:ascii="Arial" w:cs="Arial" w:eastAsia="Arial" w:hAnsi="Arial"/>
                <w:sz w:val="14"/>
                <w:szCs w:val="14"/>
                <w:color w:val="auto"/>
                <w:w w:val="95"/>
              </w:rPr>
              <w:t>(State or other jurisdiction of incorporation or</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360" w:type="dxa"/>
            <w:vAlign w:val="bottom"/>
          </w:tcPr>
          <w:p>
            <w:pPr>
              <w:jc w:val="center"/>
              <w:spacing w:after="0"/>
              <w:rPr>
                <w:sz w:val="20"/>
                <w:szCs w:val="20"/>
                <w:color w:val="auto"/>
              </w:rPr>
            </w:pPr>
            <w:r>
              <w:rPr>
                <w:rFonts w:ascii="Arial" w:cs="Arial" w:eastAsia="Arial" w:hAnsi="Arial"/>
                <w:sz w:val="14"/>
                <w:szCs w:val="14"/>
                <w:color w:val="auto"/>
                <w:w w:val="97"/>
              </w:rPr>
              <w:t>(I.R.S. Employer Identification No.)</w:t>
            </w: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3340" w:type="dxa"/>
            <w:vAlign w:val="bottom"/>
          </w:tcPr>
          <w:p>
            <w:pPr>
              <w:jc w:val="center"/>
              <w:spacing w:after="0"/>
              <w:rPr>
                <w:sz w:val="20"/>
                <w:szCs w:val="20"/>
                <w:color w:val="auto"/>
              </w:rPr>
            </w:pPr>
            <w:r>
              <w:rPr>
                <w:rFonts w:ascii="Arial" w:cs="Arial" w:eastAsia="Arial" w:hAnsi="Arial"/>
                <w:sz w:val="14"/>
                <w:szCs w:val="14"/>
                <w:color w:val="auto"/>
                <w:w w:val="93"/>
              </w:rPr>
              <w:t>organization)</w:t>
            </w: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3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4"/>
        </w:trPr>
        <w:tc>
          <w:tcPr>
            <w:tcW w:w="700" w:type="dxa"/>
            <w:vAlign w:val="bottom"/>
          </w:tcPr>
          <w:p>
            <w:pPr>
              <w:spacing w:after="0"/>
              <w:rPr>
                <w:sz w:val="24"/>
                <w:szCs w:val="24"/>
                <w:color w:val="auto"/>
              </w:rPr>
            </w:pPr>
          </w:p>
        </w:tc>
        <w:tc>
          <w:tcPr>
            <w:tcW w:w="3340" w:type="dxa"/>
            <w:vAlign w:val="bottom"/>
          </w:tcPr>
          <w:p>
            <w:pPr>
              <w:jc w:val="center"/>
              <w:ind w:left="8"/>
              <w:spacing w:after="0"/>
              <w:rPr>
                <w:sz w:val="20"/>
                <w:szCs w:val="20"/>
                <w:color w:val="auto"/>
              </w:rPr>
            </w:pPr>
            <w:r>
              <w:rPr>
                <w:rFonts w:ascii="Arial" w:cs="Arial" w:eastAsia="Arial" w:hAnsi="Arial"/>
                <w:sz w:val="14"/>
                <w:szCs w:val="14"/>
                <w:b w:val="1"/>
                <w:bCs w:val="1"/>
                <w:color w:val="auto"/>
                <w:w w:val="92"/>
              </w:rPr>
              <w:t>333 Bridge Street</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60" w:type="dxa"/>
            <w:vAlign w:val="bottom"/>
            <w:gridSpan w:val="3"/>
          </w:tcPr>
          <w:p>
            <w:pPr>
              <w:ind w:left="100"/>
              <w:spacing w:after="0"/>
              <w:rPr>
                <w:sz w:val="20"/>
                <w:szCs w:val="20"/>
                <w:color w:val="auto"/>
              </w:rPr>
            </w:pPr>
            <w:r>
              <w:rPr>
                <w:rFonts w:ascii="Arial" w:cs="Arial" w:eastAsia="Arial" w:hAnsi="Arial"/>
                <w:sz w:val="14"/>
                <w:szCs w:val="14"/>
                <w:b w:val="1"/>
                <w:bCs w:val="1"/>
                <w:color w:val="auto"/>
              </w:rPr>
              <w:t>Fairhaven, Massachusetts</w:t>
            </w:r>
          </w:p>
        </w:tc>
        <w:tc>
          <w:tcPr>
            <w:tcW w:w="3360" w:type="dxa"/>
            <w:vAlign w:val="bottom"/>
          </w:tcPr>
          <w:p>
            <w:pPr>
              <w:jc w:val="right"/>
              <w:ind w:right="1448"/>
              <w:spacing w:after="0"/>
              <w:rPr>
                <w:sz w:val="20"/>
                <w:szCs w:val="20"/>
                <w:color w:val="auto"/>
              </w:rPr>
            </w:pPr>
            <w:r>
              <w:rPr>
                <w:rFonts w:ascii="Arial" w:cs="Arial" w:eastAsia="Arial" w:hAnsi="Arial"/>
                <w:sz w:val="14"/>
                <w:szCs w:val="14"/>
                <w:b w:val="1"/>
                <w:bCs w:val="1"/>
                <w:color w:val="auto"/>
              </w:rPr>
              <w:t>02719</w:t>
            </w:r>
          </w:p>
        </w:tc>
        <w:tc>
          <w:tcPr>
            <w:tcW w:w="0" w:type="dxa"/>
            <w:vAlign w:val="bottom"/>
          </w:tcPr>
          <w:p>
            <w:pPr>
              <w:spacing w:after="0"/>
              <w:rPr>
                <w:sz w:val="1"/>
                <w:szCs w:val="1"/>
                <w:color w:val="auto"/>
              </w:rPr>
            </w:pPr>
          </w:p>
        </w:tc>
      </w:tr>
      <w:tr>
        <w:trPr>
          <w:trHeight w:val="229"/>
        </w:trPr>
        <w:tc>
          <w:tcPr>
            <w:tcW w:w="700" w:type="dxa"/>
            <w:vAlign w:val="bottom"/>
          </w:tcPr>
          <w:p>
            <w:pPr>
              <w:spacing w:after="0"/>
              <w:rPr>
                <w:sz w:val="19"/>
                <w:szCs w:val="19"/>
                <w:color w:val="auto"/>
              </w:rPr>
            </w:pPr>
          </w:p>
        </w:tc>
        <w:tc>
          <w:tcPr>
            <w:tcW w:w="3340" w:type="dxa"/>
            <w:vAlign w:val="bottom"/>
          </w:tcPr>
          <w:p>
            <w:pPr>
              <w:jc w:val="center"/>
              <w:spacing w:after="0"/>
              <w:rPr>
                <w:sz w:val="20"/>
                <w:szCs w:val="20"/>
                <w:color w:val="auto"/>
              </w:rPr>
            </w:pPr>
            <w:r>
              <w:rPr>
                <w:rFonts w:ascii="Arial" w:cs="Arial" w:eastAsia="Arial" w:hAnsi="Arial"/>
                <w:sz w:val="14"/>
                <w:szCs w:val="14"/>
                <w:color w:val="auto"/>
                <w:w w:val="95"/>
              </w:rPr>
              <w:t>(Address of principal executive offices)</w:t>
            </w: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360" w:type="dxa"/>
            <w:vAlign w:val="bottom"/>
          </w:tcPr>
          <w:p>
            <w:pPr>
              <w:jc w:val="center"/>
              <w:spacing w:after="0"/>
              <w:rPr>
                <w:sz w:val="20"/>
                <w:szCs w:val="20"/>
                <w:color w:val="auto"/>
              </w:rPr>
            </w:pPr>
            <w:r>
              <w:rPr>
                <w:rFonts w:ascii="Arial" w:cs="Arial" w:eastAsia="Arial" w:hAnsi="Arial"/>
                <w:sz w:val="14"/>
                <w:szCs w:val="14"/>
                <w:color w:val="auto"/>
                <w:w w:val="93"/>
              </w:rPr>
              <w:t>(Zip Code)</w:t>
            </w:r>
          </w:p>
        </w:tc>
        <w:tc>
          <w:tcPr>
            <w:tcW w:w="0" w:type="dxa"/>
            <w:vAlign w:val="bottom"/>
          </w:tcPr>
          <w:p>
            <w:pPr>
              <w:spacing w:after="0"/>
              <w:rPr>
                <w:sz w:val="1"/>
                <w:szCs w:val="1"/>
                <w:color w:val="auto"/>
              </w:rPr>
            </w:pPr>
          </w:p>
        </w:tc>
      </w:tr>
      <w:tr>
        <w:trPr>
          <w:trHeight w:val="358"/>
        </w:trPr>
        <w:tc>
          <w:tcPr>
            <w:tcW w:w="70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360" w:type="dxa"/>
            <w:vAlign w:val="bottom"/>
            <w:gridSpan w:val="3"/>
          </w:tcPr>
          <w:p>
            <w:pPr>
              <w:jc w:val="center"/>
              <w:ind w:left="748"/>
              <w:spacing w:after="0"/>
              <w:rPr>
                <w:sz w:val="20"/>
                <w:szCs w:val="20"/>
                <w:color w:val="auto"/>
              </w:rPr>
            </w:pPr>
            <w:r>
              <w:rPr>
                <w:rFonts w:ascii="Arial" w:cs="Arial" w:eastAsia="Arial" w:hAnsi="Arial"/>
                <w:sz w:val="14"/>
                <w:szCs w:val="14"/>
                <w:b w:val="1"/>
                <w:bCs w:val="1"/>
                <w:color w:val="auto"/>
                <w:w w:val="93"/>
              </w:rPr>
              <w:t>(800) 225-8500</w:t>
            </w: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70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3160" w:type="dxa"/>
            <w:vAlign w:val="bottom"/>
            <w:gridSpan w:val="5"/>
          </w:tcPr>
          <w:p>
            <w:pPr>
              <w:jc w:val="center"/>
              <w:spacing w:after="0"/>
              <w:rPr>
                <w:sz w:val="20"/>
                <w:szCs w:val="20"/>
                <w:color w:val="auto"/>
              </w:rPr>
            </w:pPr>
            <w:r>
              <w:rPr>
                <w:rFonts w:ascii="Arial" w:cs="Arial" w:eastAsia="Arial" w:hAnsi="Arial"/>
                <w:sz w:val="14"/>
                <w:szCs w:val="14"/>
                <w:color w:val="auto"/>
                <w:w w:val="92"/>
              </w:rPr>
              <w:t>(Registrant’s telephone number, including area code)</w:t>
            </w:r>
          </w:p>
        </w:tc>
        <w:tc>
          <w:tcPr>
            <w:tcW w:w="33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4"/>
        </w:trPr>
        <w:tc>
          <w:tcPr>
            <w:tcW w:w="4040" w:type="dxa"/>
            <w:vAlign w:val="bottom"/>
            <w:gridSpan w:val="2"/>
          </w:tcPr>
          <w:p>
            <w:pPr>
              <w:spacing w:after="0"/>
              <w:rPr>
                <w:sz w:val="20"/>
                <w:szCs w:val="20"/>
                <w:color w:val="auto"/>
              </w:rPr>
            </w:pPr>
            <w:r>
              <w:rPr>
                <w:rFonts w:ascii="Arial" w:cs="Arial" w:eastAsia="Arial" w:hAnsi="Arial"/>
                <w:sz w:val="14"/>
                <w:szCs w:val="14"/>
                <w:color w:val="auto"/>
                <w:w w:val="95"/>
              </w:rPr>
              <w:t>Securities registered pursuant to Section 12(b) of the Exchange Act:</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00" w:type="dxa"/>
            <w:vAlign w:val="bottom"/>
          </w:tcPr>
          <w:p>
            <w:pPr>
              <w:spacing w:after="0"/>
              <w:rPr>
                <w:sz w:val="24"/>
                <w:szCs w:val="24"/>
                <w:color w:val="auto"/>
              </w:rPr>
            </w:pPr>
          </w:p>
        </w:tc>
        <w:tc>
          <w:tcPr>
            <w:tcW w:w="3340" w:type="dxa"/>
            <w:vAlign w:val="bottom"/>
            <w:vMerge w:val="restart"/>
          </w:tcPr>
          <w:p>
            <w:pPr>
              <w:jc w:val="center"/>
              <w:ind w:left="628"/>
              <w:spacing w:after="0"/>
              <w:rPr>
                <w:sz w:val="20"/>
                <w:szCs w:val="20"/>
                <w:color w:val="auto"/>
              </w:rPr>
            </w:pPr>
            <w:r>
              <w:rPr>
                <w:rFonts w:ascii="Arial" w:cs="Arial" w:eastAsia="Arial" w:hAnsi="Arial"/>
                <w:sz w:val="14"/>
                <w:szCs w:val="14"/>
                <w:color w:val="auto"/>
                <w:w w:val="92"/>
              </w:rPr>
              <w:t>Title of each class</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60" w:type="dxa"/>
            <w:vAlign w:val="bottom"/>
            <w:gridSpan w:val="3"/>
          </w:tcPr>
          <w:p>
            <w:pPr>
              <w:jc w:val="center"/>
              <w:ind w:right="800"/>
              <w:spacing w:after="0"/>
              <w:rPr>
                <w:sz w:val="20"/>
                <w:szCs w:val="20"/>
                <w:color w:val="auto"/>
              </w:rPr>
            </w:pPr>
            <w:r>
              <w:rPr>
                <w:rFonts w:ascii="Arial" w:cs="Arial" w:eastAsia="Arial" w:hAnsi="Arial"/>
                <w:sz w:val="14"/>
                <w:szCs w:val="14"/>
                <w:color w:val="auto"/>
                <w:w w:val="94"/>
              </w:rPr>
              <w:t>Trading Symbol(s)</w:t>
            </w:r>
          </w:p>
        </w:tc>
        <w:tc>
          <w:tcPr>
            <w:tcW w:w="3360" w:type="dxa"/>
            <w:vAlign w:val="bottom"/>
            <w:vMerge w:val="restart"/>
          </w:tcPr>
          <w:p>
            <w:pPr>
              <w:jc w:val="center"/>
              <w:ind w:right="628"/>
              <w:spacing w:after="0"/>
              <w:rPr>
                <w:sz w:val="20"/>
                <w:szCs w:val="20"/>
                <w:color w:val="auto"/>
              </w:rPr>
            </w:pPr>
            <w:r>
              <w:rPr>
                <w:rFonts w:ascii="Arial" w:cs="Arial" w:eastAsia="Arial" w:hAnsi="Arial"/>
                <w:sz w:val="14"/>
                <w:szCs w:val="14"/>
                <w:color w:val="auto"/>
                <w:w w:val="91"/>
              </w:rPr>
              <w:t>Name of each exchange on which registered</w:t>
            </w:r>
          </w:p>
        </w:tc>
        <w:tc>
          <w:tcPr>
            <w:tcW w:w="0" w:type="dxa"/>
            <w:vAlign w:val="bottom"/>
          </w:tcPr>
          <w:p>
            <w:pPr>
              <w:spacing w:after="0"/>
              <w:rPr>
                <w:sz w:val="1"/>
                <w:szCs w:val="1"/>
                <w:color w:val="auto"/>
              </w:rPr>
            </w:pPr>
          </w:p>
        </w:tc>
      </w:tr>
      <w:tr>
        <w:trPr>
          <w:trHeight w:val="73"/>
        </w:trPr>
        <w:tc>
          <w:tcPr>
            <w:tcW w:w="700" w:type="dxa"/>
            <w:vAlign w:val="bottom"/>
          </w:tcPr>
          <w:p>
            <w:pPr>
              <w:spacing w:after="0"/>
              <w:rPr>
                <w:sz w:val="6"/>
                <w:szCs w:val="6"/>
                <w:color w:val="auto"/>
              </w:rPr>
            </w:pPr>
          </w:p>
        </w:tc>
        <w:tc>
          <w:tcPr>
            <w:tcW w:w="3340" w:type="dxa"/>
            <w:vAlign w:val="bottom"/>
            <w:tcBorders>
              <w:bottom w:val="single" w:sz="8" w:color="auto"/>
            </w:tcBorders>
            <w:vMerge w:val="continue"/>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56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336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700" w:type="dxa"/>
            <w:vAlign w:val="bottom"/>
          </w:tcPr>
          <w:p>
            <w:pPr>
              <w:spacing w:after="0"/>
              <w:rPr>
                <w:sz w:val="16"/>
                <w:szCs w:val="16"/>
                <w:color w:val="auto"/>
              </w:rPr>
            </w:pPr>
          </w:p>
        </w:tc>
        <w:tc>
          <w:tcPr>
            <w:tcW w:w="3340" w:type="dxa"/>
            <w:vAlign w:val="bottom"/>
            <w:vMerge w:val="restart"/>
          </w:tcPr>
          <w:p>
            <w:pPr>
              <w:jc w:val="center"/>
              <w:ind w:left="608"/>
              <w:spacing w:after="0"/>
              <w:rPr>
                <w:sz w:val="20"/>
                <w:szCs w:val="20"/>
                <w:color w:val="auto"/>
              </w:rPr>
            </w:pPr>
            <w:r>
              <w:rPr>
                <w:rFonts w:ascii="Arial" w:cs="Arial" w:eastAsia="Arial" w:hAnsi="Arial"/>
                <w:sz w:val="14"/>
                <w:szCs w:val="14"/>
                <w:color w:val="auto"/>
                <w:w w:val="92"/>
              </w:rPr>
              <w:t>Common Stock, par value $0.001 per share</w:t>
            </w: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60" w:type="dxa"/>
            <w:vAlign w:val="bottom"/>
            <w:gridSpan w:val="3"/>
          </w:tcPr>
          <w:p>
            <w:pPr>
              <w:jc w:val="center"/>
              <w:ind w:right="780"/>
              <w:spacing w:after="0"/>
              <w:rPr>
                <w:sz w:val="20"/>
                <w:szCs w:val="20"/>
                <w:color w:val="auto"/>
              </w:rPr>
            </w:pPr>
            <w:r>
              <w:rPr>
                <w:rFonts w:ascii="Arial" w:cs="Arial" w:eastAsia="Arial" w:hAnsi="Arial"/>
                <w:sz w:val="14"/>
                <w:szCs w:val="14"/>
                <w:color w:val="auto"/>
                <w:w w:val="99"/>
              </w:rPr>
              <w:t>GOLF</w:t>
            </w:r>
          </w:p>
        </w:tc>
        <w:tc>
          <w:tcPr>
            <w:tcW w:w="3360" w:type="dxa"/>
            <w:vAlign w:val="bottom"/>
            <w:vMerge w:val="restart"/>
          </w:tcPr>
          <w:p>
            <w:pPr>
              <w:jc w:val="center"/>
              <w:ind w:right="608"/>
              <w:spacing w:after="0"/>
              <w:rPr>
                <w:sz w:val="20"/>
                <w:szCs w:val="20"/>
                <w:color w:val="auto"/>
              </w:rPr>
            </w:pPr>
            <w:r>
              <w:rPr>
                <w:rFonts w:ascii="Arial" w:cs="Arial" w:eastAsia="Arial" w:hAnsi="Arial"/>
                <w:sz w:val="14"/>
                <w:szCs w:val="14"/>
                <w:color w:val="auto"/>
                <w:w w:val="94"/>
              </w:rPr>
              <w:t>New York Stock Exchange</w:t>
            </w:r>
          </w:p>
        </w:tc>
        <w:tc>
          <w:tcPr>
            <w:tcW w:w="0" w:type="dxa"/>
            <w:vAlign w:val="bottom"/>
          </w:tcPr>
          <w:p>
            <w:pPr>
              <w:spacing w:after="0"/>
              <w:rPr>
                <w:sz w:val="1"/>
                <w:szCs w:val="1"/>
                <w:color w:val="auto"/>
              </w:rPr>
            </w:pPr>
          </w:p>
        </w:tc>
      </w:tr>
      <w:tr>
        <w:trPr>
          <w:trHeight w:val="54"/>
        </w:trPr>
        <w:tc>
          <w:tcPr>
            <w:tcW w:w="700" w:type="dxa"/>
            <w:vAlign w:val="bottom"/>
          </w:tcPr>
          <w:p>
            <w:pPr>
              <w:spacing w:after="0"/>
              <w:rPr>
                <w:sz w:val="4"/>
                <w:szCs w:val="4"/>
                <w:color w:val="auto"/>
              </w:rPr>
            </w:pPr>
          </w:p>
        </w:tc>
        <w:tc>
          <w:tcPr>
            <w:tcW w:w="334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3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83"/>
        </w:trPr>
        <w:tc>
          <w:tcPr>
            <w:tcW w:w="404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12(g) of the Act:</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60" w:type="dxa"/>
            <w:vAlign w:val="bottom"/>
            <w:gridSpan w:val="3"/>
            <w:vMerge w:val="restart"/>
          </w:tcPr>
          <w:p>
            <w:pPr>
              <w:jc w:val="center"/>
              <w:ind w:right="800"/>
              <w:spacing w:after="0"/>
              <w:rPr>
                <w:sz w:val="20"/>
                <w:szCs w:val="20"/>
                <w:color w:val="auto"/>
              </w:rPr>
            </w:pPr>
            <w:r>
              <w:rPr>
                <w:rFonts w:ascii="Arial" w:cs="Arial" w:eastAsia="Arial" w:hAnsi="Arial"/>
                <w:sz w:val="14"/>
                <w:szCs w:val="14"/>
                <w:color w:val="auto"/>
                <w:w w:val="95"/>
              </w:rPr>
              <w:t>None</w:t>
            </w: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70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60" w:type="dxa"/>
            <w:vAlign w:val="bottom"/>
            <w:gridSpan w:val="3"/>
            <w:vMerge w:val="continue"/>
          </w:tcPr>
          <w:p>
            <w:pPr>
              <w:spacing w:after="0"/>
              <w:rPr>
                <w:sz w:val="14"/>
                <w:szCs w:val="14"/>
                <w:color w:val="auto"/>
              </w:rPr>
            </w:pPr>
          </w:p>
        </w:tc>
        <w:tc>
          <w:tcPr>
            <w:tcW w:w="33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67" w:lineRule="exact"/>
        <w:rPr>
          <w:sz w:val="24"/>
          <w:szCs w:val="24"/>
          <w:color w:val="auto"/>
        </w:rPr>
      </w:pPr>
    </w:p>
    <w:p>
      <w:pPr>
        <w:ind w:right="3360"/>
        <w:spacing w:after="0" w:line="282" w:lineRule="exact"/>
        <w:rPr>
          <w:sz w:val="20"/>
          <w:szCs w:val="20"/>
          <w:color w:val="auto"/>
        </w:rPr>
      </w:pPr>
      <w:r>
        <w:rPr>
          <w:rFonts w:ascii="Arial" w:cs="Arial" w:eastAsia="Arial" w:hAnsi="Arial"/>
          <w:sz w:val="13"/>
          <w:szCs w:val="13"/>
          <w:color w:val="auto"/>
        </w:rPr>
        <w:t xml:space="preserve">Indicate by check mark if the registrant is a well-known seasoned issuer, as defined in Rule 405 of the Securities Act. </w:t>
      </w:r>
      <w:r>
        <w:rPr>
          <w:rFonts w:ascii="Arial" w:cs="Arial" w:eastAsia="Arial" w:hAnsi="Arial"/>
          <w:sz w:val="15"/>
          <w:szCs w:val="15"/>
          <w:color w:val="auto"/>
        </w:rPr>
        <w:t>Yes</w:t>
      </w:r>
      <w:r>
        <w:rPr>
          <w:rFonts w:ascii="Arial" w:cs="Arial" w:eastAsia="Arial" w:hAnsi="Arial"/>
          <w:sz w:val="13"/>
          <w:szCs w:val="13"/>
          <w:color w:val="auto"/>
        </w:rPr>
        <w:t xml:space="preserve"> </w:t>
      </w:r>
      <w:r>
        <w:rPr>
          <w:rFonts w:ascii="MS PGothic" w:cs="MS PGothic" w:eastAsia="MS PGothic" w:hAnsi="MS PGothic"/>
          <w:sz w:val="15"/>
          <w:szCs w:val="15"/>
          <w:color w:val="auto"/>
        </w:rPr>
        <w:t>☒</w:t>
      </w:r>
      <w:r>
        <w:rPr>
          <w:rFonts w:ascii="Arial" w:cs="Arial" w:eastAsia="Arial" w:hAnsi="Arial"/>
          <w:sz w:val="13"/>
          <w:szCs w:val="13"/>
          <w:color w:val="auto"/>
        </w:rPr>
        <w:t xml:space="preserve"> </w:t>
      </w:r>
      <w:r>
        <w:rPr>
          <w:rFonts w:ascii="Arial" w:cs="Arial" w:eastAsia="Arial" w:hAnsi="Arial"/>
          <w:sz w:val="15"/>
          <w:szCs w:val="15"/>
          <w:color w:val="auto"/>
        </w:rPr>
        <w:t>No</w:t>
      </w:r>
      <w:r>
        <w:rPr>
          <w:rFonts w:ascii="Arial" w:cs="Arial" w:eastAsia="Arial" w:hAnsi="Arial"/>
          <w:sz w:val="13"/>
          <w:szCs w:val="13"/>
          <w:color w:val="auto"/>
        </w:rPr>
        <w:t xml:space="preserve"> </w:t>
      </w:r>
      <w:r>
        <w:rPr>
          <w:rFonts w:ascii="MS PGothic" w:cs="MS PGothic" w:eastAsia="MS PGothic" w:hAnsi="MS PGothic"/>
          <w:sz w:val="15"/>
          <w:szCs w:val="15"/>
          <w:color w:val="auto"/>
        </w:rPr>
        <w:t>☐</w:t>
      </w:r>
      <w:r>
        <w:rPr>
          <w:rFonts w:ascii="Arial" w:cs="Arial" w:eastAsia="Arial" w:hAnsi="Arial"/>
          <w:sz w:val="13"/>
          <w:szCs w:val="13"/>
          <w:color w:val="auto"/>
        </w:rPr>
        <w:t xml:space="preserve"> Indicate by check mark if the registrant is not required to file reports pursuant to Section 13 or Section 15(d) of the Act. </w:t>
      </w:r>
      <w:r>
        <w:rPr>
          <w:rFonts w:ascii="Arial" w:cs="Arial" w:eastAsia="Arial" w:hAnsi="Arial"/>
          <w:sz w:val="15"/>
          <w:szCs w:val="15"/>
          <w:color w:val="auto"/>
        </w:rPr>
        <w:t>Yes</w:t>
      </w:r>
      <w:r>
        <w:rPr>
          <w:rFonts w:ascii="Arial" w:cs="Arial" w:eastAsia="Arial" w:hAnsi="Arial"/>
          <w:sz w:val="13"/>
          <w:szCs w:val="13"/>
          <w:color w:val="auto"/>
        </w:rPr>
        <w:t xml:space="preserve"> </w:t>
      </w:r>
      <w:r>
        <w:rPr>
          <w:rFonts w:ascii="MS PGothic" w:cs="MS PGothic" w:eastAsia="MS PGothic" w:hAnsi="MS PGothic"/>
          <w:sz w:val="15"/>
          <w:szCs w:val="15"/>
          <w:color w:val="auto"/>
        </w:rPr>
        <w:t>☐</w:t>
      </w:r>
      <w:r>
        <w:rPr>
          <w:rFonts w:ascii="Arial" w:cs="Arial" w:eastAsia="Arial" w:hAnsi="Arial"/>
          <w:sz w:val="13"/>
          <w:szCs w:val="13"/>
          <w:color w:val="auto"/>
        </w:rPr>
        <w:t xml:space="preserve"> </w:t>
      </w:r>
      <w:r>
        <w:rPr>
          <w:rFonts w:ascii="Arial" w:cs="Arial" w:eastAsia="Arial" w:hAnsi="Arial"/>
          <w:sz w:val="15"/>
          <w:szCs w:val="15"/>
          <w:color w:val="auto"/>
        </w:rPr>
        <w:t>No</w:t>
      </w:r>
      <w:r>
        <w:rPr>
          <w:rFonts w:ascii="Arial" w:cs="Arial" w:eastAsia="Arial" w:hAnsi="Arial"/>
          <w:sz w:val="13"/>
          <w:szCs w:val="13"/>
          <w:color w:val="auto"/>
        </w:rPr>
        <w:t xml:space="preserve"> </w:t>
      </w:r>
      <w:r>
        <w:rPr>
          <w:rFonts w:ascii="MS PGothic" w:cs="MS PGothic" w:eastAsia="MS PGothic" w:hAnsi="MS PGothic"/>
          <w:sz w:val="15"/>
          <w:szCs w:val="15"/>
          <w:color w:val="auto"/>
        </w:rPr>
        <w:t>☒</w:t>
      </w:r>
    </w:p>
    <w:p>
      <w:pPr>
        <w:spacing w:after="0" w:line="92" w:lineRule="exact"/>
        <w:rPr>
          <w:sz w:val="24"/>
          <w:szCs w:val="24"/>
          <w:color w:val="auto"/>
        </w:rPr>
      </w:pPr>
    </w:p>
    <w:p>
      <w:pPr>
        <w:ind w:right="120"/>
        <w:spacing w:after="0" w:line="205"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91" w:lineRule="exact"/>
        <w:rPr>
          <w:sz w:val="24"/>
          <w:szCs w:val="24"/>
          <w:color w:val="auto"/>
        </w:rPr>
      </w:pPr>
    </w:p>
    <w:p>
      <w:pPr>
        <w:spacing w:after="0" w:line="205"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78" w:lineRule="exact"/>
        <w:rPr>
          <w:sz w:val="24"/>
          <w:szCs w:val="24"/>
          <w:color w:val="auto"/>
        </w:rPr>
      </w:pPr>
    </w:p>
    <w:p>
      <w:pPr>
        <w:ind w:right="340"/>
        <w:spacing w:after="0" w:line="172" w:lineRule="exact"/>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4"/>
          <w:szCs w:val="14"/>
          <w:color w:val="auto"/>
        </w:rPr>
        <w:t>‑</w:t>
      </w:r>
      <w:r>
        <w:rPr>
          <w:rFonts w:ascii="Arial" w:cs="Arial" w:eastAsia="Arial" w:hAnsi="Arial"/>
          <w:sz w:val="14"/>
          <w:szCs w:val="14"/>
          <w:color w:val="auto"/>
        </w:rPr>
        <w:t>2 of the Exchange Act.</w:t>
      </w:r>
    </w:p>
    <w:p>
      <w:pPr>
        <w:spacing w:after="0" w:line="121" w:lineRule="exact"/>
        <w:rPr>
          <w:sz w:val="24"/>
          <w:szCs w:val="24"/>
          <w:color w:val="auto"/>
        </w:rPr>
      </w:pPr>
    </w:p>
    <w:tbl>
      <w:tblPr>
        <w:tblLayout w:type="fixed"/>
        <w:tblInd w:w="40" w:type="dxa"/>
        <w:tblCellMar>
          <w:top w:w="0" w:type="dxa"/>
          <w:left w:w="0" w:type="dxa"/>
          <w:bottom w:w="0" w:type="dxa"/>
          <w:right w:w="0" w:type="dxa"/>
        </w:tblCellMar>
      </w:tblPr>
      <w:tr>
        <w:trPr>
          <w:trHeight w:val="300"/>
        </w:trPr>
        <w:tc>
          <w:tcPr>
            <w:tcW w:w="308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140" w:type="dxa"/>
            <w:vAlign w:val="bottom"/>
          </w:tcPr>
          <w:p>
            <w:pPr>
              <w:ind w:left="1780"/>
              <w:spacing w:after="0" w:line="161" w:lineRule="exact"/>
              <w:rPr>
                <w:sz w:val="20"/>
                <w:szCs w:val="20"/>
                <w:color w:val="auto"/>
              </w:rPr>
            </w:pPr>
            <w:r>
              <w:rPr>
                <w:rFonts w:ascii="MS PGothic" w:cs="MS PGothic" w:eastAsia="MS PGothic" w:hAnsi="MS PGothic"/>
                <w:sz w:val="16"/>
                <w:szCs w:val="16"/>
                <w:color w:val="auto"/>
              </w:rPr>
              <w:t>☒</w:t>
            </w:r>
          </w:p>
        </w:tc>
        <w:tc>
          <w:tcPr>
            <w:tcW w:w="3420" w:type="dxa"/>
            <w:vAlign w:val="bottom"/>
          </w:tcPr>
          <w:p>
            <w:pPr>
              <w:ind w:left="200"/>
              <w:spacing w:after="0"/>
              <w:rPr>
                <w:sz w:val="20"/>
                <w:szCs w:val="20"/>
                <w:color w:val="auto"/>
              </w:rPr>
            </w:pPr>
            <w:r>
              <w:rPr>
                <w:rFonts w:ascii="Arial" w:cs="Arial" w:eastAsia="Arial" w:hAnsi="Arial"/>
                <w:sz w:val="14"/>
                <w:szCs w:val="14"/>
                <w:color w:val="auto"/>
              </w:rPr>
              <w:t>Non-accelerated filer</w:t>
            </w:r>
          </w:p>
        </w:tc>
        <w:tc>
          <w:tcPr>
            <w:tcW w:w="1780" w:type="dxa"/>
            <w:vAlign w:val="bottom"/>
          </w:tcPr>
          <w:p>
            <w:pPr>
              <w:ind w:left="164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97"/>
        </w:trPr>
        <w:tc>
          <w:tcPr>
            <w:tcW w:w="3080" w:type="dxa"/>
            <w:vAlign w:val="bottom"/>
          </w:tcPr>
          <w:p>
            <w:pPr>
              <w:spacing w:after="0"/>
              <w:rPr>
                <w:sz w:val="20"/>
                <w:szCs w:val="20"/>
                <w:color w:val="auto"/>
              </w:rPr>
            </w:pPr>
            <w:r>
              <w:rPr>
                <w:rFonts w:ascii="Arial" w:cs="Arial" w:eastAsia="Arial" w:hAnsi="Arial"/>
                <w:sz w:val="14"/>
                <w:szCs w:val="14"/>
                <w:color w:val="auto"/>
              </w:rPr>
              <w:t>Accelerated filer</w:t>
            </w:r>
          </w:p>
        </w:tc>
        <w:tc>
          <w:tcPr>
            <w:tcW w:w="2140" w:type="dxa"/>
            <w:vAlign w:val="bottom"/>
          </w:tcPr>
          <w:p>
            <w:pPr>
              <w:ind w:left="1780"/>
              <w:spacing w:after="0" w:line="141" w:lineRule="exact"/>
              <w:rPr>
                <w:sz w:val="20"/>
                <w:szCs w:val="20"/>
                <w:color w:val="auto"/>
              </w:rPr>
            </w:pPr>
            <w:r>
              <w:rPr>
                <w:rFonts w:ascii="MS PGothic" w:cs="MS PGothic" w:eastAsia="MS PGothic" w:hAnsi="MS PGothic"/>
                <w:sz w:val="14"/>
                <w:szCs w:val="14"/>
                <w:color w:val="auto"/>
              </w:rPr>
              <w:t>☐</w:t>
            </w:r>
          </w:p>
        </w:tc>
        <w:tc>
          <w:tcPr>
            <w:tcW w:w="3420" w:type="dxa"/>
            <w:vAlign w:val="bottom"/>
          </w:tcPr>
          <w:p>
            <w:pPr>
              <w:ind w:left="200"/>
              <w:spacing w:after="0"/>
              <w:rPr>
                <w:sz w:val="20"/>
                <w:szCs w:val="20"/>
                <w:color w:val="auto"/>
              </w:rPr>
            </w:pPr>
            <w:r>
              <w:rPr>
                <w:rFonts w:ascii="Arial" w:cs="Arial" w:eastAsia="Arial" w:hAnsi="Arial"/>
                <w:sz w:val="14"/>
                <w:szCs w:val="14"/>
                <w:color w:val="auto"/>
              </w:rPr>
              <w:t>Smaller reporting company</w:t>
            </w:r>
          </w:p>
        </w:tc>
        <w:tc>
          <w:tcPr>
            <w:tcW w:w="1780" w:type="dxa"/>
            <w:vAlign w:val="bottom"/>
          </w:tcPr>
          <w:p>
            <w:pPr>
              <w:ind w:left="164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43"/>
        </w:trPr>
        <w:tc>
          <w:tcPr>
            <w:tcW w:w="3080" w:type="dxa"/>
            <w:vAlign w:val="bottom"/>
          </w:tcPr>
          <w:p>
            <w:pPr>
              <w:spacing w:after="0"/>
              <w:rPr>
                <w:sz w:val="21"/>
                <w:szCs w:val="21"/>
                <w:color w:val="auto"/>
              </w:rPr>
            </w:pPr>
          </w:p>
        </w:tc>
        <w:tc>
          <w:tcPr>
            <w:tcW w:w="2140" w:type="dxa"/>
            <w:vAlign w:val="bottom"/>
          </w:tcPr>
          <w:p>
            <w:pPr>
              <w:spacing w:after="0"/>
              <w:rPr>
                <w:sz w:val="21"/>
                <w:szCs w:val="21"/>
                <w:color w:val="auto"/>
              </w:rPr>
            </w:pPr>
          </w:p>
        </w:tc>
        <w:tc>
          <w:tcPr>
            <w:tcW w:w="3420" w:type="dxa"/>
            <w:vAlign w:val="bottom"/>
          </w:tcPr>
          <w:p>
            <w:pPr>
              <w:ind w:left="200"/>
              <w:spacing w:after="0"/>
              <w:rPr>
                <w:sz w:val="20"/>
                <w:szCs w:val="20"/>
                <w:color w:val="auto"/>
              </w:rPr>
            </w:pPr>
            <w:r>
              <w:rPr>
                <w:rFonts w:ascii="Arial" w:cs="Arial" w:eastAsia="Arial" w:hAnsi="Arial"/>
                <w:sz w:val="14"/>
                <w:szCs w:val="14"/>
                <w:color w:val="auto"/>
              </w:rPr>
              <w:t>Emerging growth company</w:t>
            </w:r>
          </w:p>
        </w:tc>
        <w:tc>
          <w:tcPr>
            <w:tcW w:w="1780" w:type="dxa"/>
            <w:vAlign w:val="bottom"/>
          </w:tcPr>
          <w:p>
            <w:pPr>
              <w:ind w:left="1640"/>
              <w:spacing w:after="0" w:line="141" w:lineRule="exact"/>
              <w:rPr>
                <w:sz w:val="20"/>
                <w:szCs w:val="20"/>
                <w:color w:val="auto"/>
              </w:rPr>
            </w:pPr>
            <w:r>
              <w:rPr>
                <w:rFonts w:ascii="MS PGothic" w:cs="MS PGothic" w:eastAsia="MS PGothic" w:hAnsi="MS PGothic"/>
                <w:sz w:val="14"/>
                <w:szCs w:val="14"/>
                <w:color w:val="auto"/>
                <w:w w:val="85"/>
              </w:rPr>
              <w:t>☐</w:t>
            </w:r>
          </w:p>
        </w:tc>
      </w:tr>
    </w:tbl>
    <w:p>
      <w:pPr>
        <w:spacing w:after="0" w:line="126" w:lineRule="exact"/>
        <w:rPr>
          <w:sz w:val="24"/>
          <w:szCs w:val="24"/>
          <w:color w:val="auto"/>
        </w:rPr>
      </w:pPr>
    </w:p>
    <w:p>
      <w:pPr>
        <w:ind w:right="460"/>
        <w:spacing w:after="0" w:line="187"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59" w:lineRule="exact"/>
        <w:rPr>
          <w:sz w:val="24"/>
          <w:szCs w:val="24"/>
          <w:color w:val="auto"/>
        </w:rPr>
      </w:pPr>
    </w:p>
    <w:p>
      <w:pPr>
        <w:spacing w:after="0" w:line="184"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Act). </w:t>
      </w:r>
      <w:r>
        <w:rPr>
          <w:rFonts w:ascii="Arial" w:cs="Arial" w:eastAsia="Arial" w:hAnsi="Arial"/>
          <w:sz w:val="16"/>
          <w:szCs w:val="16"/>
          <w:color w:val="auto"/>
        </w:rPr>
        <w:t>Yes</w:t>
      </w:r>
      <w:r>
        <w:rPr>
          <w:rFonts w:ascii="Arial" w:cs="Arial" w:eastAsia="Arial" w:hAnsi="Arial"/>
          <w:sz w:val="14"/>
          <w:szCs w:val="14"/>
          <w:color w:val="auto"/>
        </w:rPr>
        <w:t xml:space="preserve"> </w:t>
      </w:r>
      <w:r>
        <w:rPr>
          <w:rFonts w:ascii="MS PGothic" w:cs="MS PGothic" w:eastAsia="MS PGothic" w:hAnsi="MS PGothic"/>
          <w:sz w:val="16"/>
          <w:szCs w:val="16"/>
          <w:color w:val="auto"/>
        </w:rPr>
        <w:t>☐</w:t>
      </w:r>
      <w:r>
        <w:rPr>
          <w:rFonts w:ascii="Arial" w:cs="Arial" w:eastAsia="Arial" w:hAnsi="Arial"/>
          <w:sz w:val="14"/>
          <w:szCs w:val="14"/>
          <w:color w:val="auto"/>
        </w:rPr>
        <w:t xml:space="preserve"> </w:t>
      </w:r>
      <w:r>
        <w:rPr>
          <w:rFonts w:ascii="Arial" w:cs="Arial" w:eastAsia="Arial" w:hAnsi="Arial"/>
          <w:sz w:val="16"/>
          <w:szCs w:val="16"/>
          <w:color w:val="auto"/>
        </w:rPr>
        <w:t>No</w:t>
      </w:r>
      <w:r>
        <w:rPr>
          <w:rFonts w:ascii="Arial" w:cs="Arial" w:eastAsia="Arial" w:hAnsi="Arial"/>
          <w:sz w:val="14"/>
          <w:szCs w:val="14"/>
          <w:color w:val="auto"/>
        </w:rPr>
        <w:t xml:space="preserve"> </w:t>
      </w:r>
      <w:r>
        <w:rPr>
          <w:rFonts w:ascii="MS PGothic" w:cs="MS PGothic" w:eastAsia="MS PGothic" w:hAnsi="MS PGothic"/>
          <w:sz w:val="16"/>
          <w:szCs w:val="16"/>
          <w:color w:val="auto"/>
        </w:rPr>
        <w:t>☒</w:t>
      </w:r>
    </w:p>
    <w:p>
      <w:pPr>
        <w:spacing w:after="0" w:line="256" w:lineRule="exact"/>
        <w:rPr>
          <w:sz w:val="24"/>
          <w:szCs w:val="24"/>
          <w:color w:val="auto"/>
        </w:rPr>
      </w:pPr>
    </w:p>
    <w:p>
      <w:pPr>
        <w:ind w:right="200"/>
        <w:spacing w:after="0" w:line="273" w:lineRule="auto"/>
        <w:rPr>
          <w:sz w:val="20"/>
          <w:szCs w:val="20"/>
          <w:color w:val="auto"/>
        </w:rPr>
      </w:pPr>
      <w:r>
        <w:rPr>
          <w:rFonts w:ascii="Arial" w:cs="Arial" w:eastAsia="Arial" w:hAnsi="Arial"/>
          <w:sz w:val="14"/>
          <w:szCs w:val="14"/>
          <w:color w:val="auto"/>
        </w:rPr>
        <w:t>As of the last business day of the registrant's fiscal quarter ended June 30, 2019, the aggregate market value of the registrant's common stock held by non-affiliates was approximately $903.6 million. The registrant's common stock trades on the New York Stock Exchange under the symbol “GOLF”.</w:t>
      </w:r>
    </w:p>
    <w:p>
      <w:pPr>
        <w:spacing w:after="0" w:line="66" w:lineRule="exact"/>
        <w:rPr>
          <w:sz w:val="24"/>
          <w:szCs w:val="24"/>
          <w:color w:val="auto"/>
        </w:rPr>
      </w:pPr>
    </w:p>
    <w:p>
      <w:pPr>
        <w:spacing w:after="0"/>
        <w:rPr>
          <w:sz w:val="20"/>
          <w:szCs w:val="20"/>
          <w:color w:val="auto"/>
        </w:rPr>
      </w:pPr>
      <w:r>
        <w:rPr>
          <w:rFonts w:ascii="Arial" w:cs="Arial" w:eastAsia="Arial" w:hAnsi="Arial"/>
          <w:sz w:val="14"/>
          <w:szCs w:val="14"/>
          <w:color w:val="auto"/>
        </w:rPr>
        <w:t>The registrant had 74,383,716 shares of common stock outstanding as of February 21,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125095</wp:posOffset>
            </wp:positionH>
            <wp:positionV relativeFrom="paragraph">
              <wp:posOffset>398145</wp:posOffset>
            </wp:positionV>
            <wp:extent cx="6900545"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00545" cy="25400"/>
                    </a:xfrm>
                    <a:prstGeom prst="rect">
                      <a:avLst/>
                    </a:prstGeom>
                    <a:noFill/>
                  </pic:spPr>
                </pic:pic>
              </a:graphicData>
            </a:graphic>
          </wp:anchor>
        </w:drawing>
        <w:drawing>
          <wp:anchor simplePos="0" relativeHeight="251657728" behindDoc="1" locked="0" layoutInCell="0" allowOverlap="1">
            <wp:simplePos x="0" y="0"/>
            <wp:positionH relativeFrom="column">
              <wp:posOffset>125095</wp:posOffset>
            </wp:positionH>
            <wp:positionV relativeFrom="paragraph">
              <wp:posOffset>312420</wp:posOffset>
            </wp:positionV>
            <wp:extent cx="69005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00545" cy="8890"/>
                    </a:xfrm>
                    <a:prstGeom prst="rect">
                      <a:avLst/>
                    </a:prstGeom>
                    <a:noFill/>
                  </pic:spPr>
                </pic:pic>
              </a:graphicData>
            </a:graphic>
          </wp:anchor>
        </w:drawing>
      </w:r>
    </w:p>
    <w:p>
      <w:pPr>
        <w:sectPr>
          <w:pgSz w:w="11900" w:h="16838" w:orient="portrait"/>
          <w:cols w:equalWidth="0" w:num="1">
            <w:col w:w="11140"/>
          </w:cols>
          <w:pgMar w:left="320" w:top="859" w:right="439" w:bottom="1440" w:gutter="0" w:footer="0" w:header="0"/>
        </w:sectPr>
      </w:pPr>
    </w:p>
    <w:bookmarkStart w:id="1" w:name="page2"/>
    <w:bookmarkEnd w:id="1"/>
    <w:p>
      <w:pPr>
        <w:jc w:val="center"/>
        <w:ind w:right="-9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color w:val="auto"/>
        </w:rPr>
        <w:t>Acushnet Holdings Corp. (the “Company”) is filing this Amendment No. 1 on Form 10-K/A (this "Amendment") to its Annual Report on Form 10-K for the year ended December 31, 2019, originally filed with the Securities and Exchange Commission (the “SEC”) on February 27, 2020 (the “Form 10- K”), for the sole purpose of including language from the introductory portion of paragraph 4 of the Section 302 certifications regarding the Company’s internal control over financial reporting, as reflected in the updated certifications included as Exhibits 31.1 and 31.2 with this Amendment.</w:t>
      </w:r>
    </w:p>
    <w:p>
      <w:pPr>
        <w:spacing w:after="0" w:line="157" w:lineRule="exact"/>
        <w:rPr>
          <w:sz w:val="20"/>
          <w:szCs w:val="20"/>
          <w:color w:val="auto"/>
        </w:rPr>
      </w:pPr>
    </w:p>
    <w:p>
      <w:pPr>
        <w:jc w:val="both"/>
        <w:ind w:right="340" w:firstLine="648"/>
        <w:spacing w:after="0" w:line="279" w:lineRule="auto"/>
        <w:rPr>
          <w:sz w:val="20"/>
          <w:szCs w:val="20"/>
          <w:color w:val="auto"/>
        </w:rPr>
      </w:pPr>
      <w:r>
        <w:rPr>
          <w:rFonts w:ascii="Arial" w:cs="Arial" w:eastAsia="Arial" w:hAnsi="Arial"/>
          <w:sz w:val="17"/>
          <w:szCs w:val="17"/>
          <w:color w:val="auto"/>
        </w:rPr>
        <w:t>Other than as expressly set forth above, no changes have been made in this Amendment to amend, modify or restate any other information or disclosures presented in the Form 10-K. This Amendment does not reflect events occurring after the original filing of the Form 10-K. As a result, the Company’s Annual Report on Form 10-K for the year ended December 31, 2019 continues to reflect events as of February 27, 2020. The Amendment should be read in conjunction with the Company's Form 10-K and other Company filings made with the SEC.</w:t>
      </w:r>
    </w:p>
    <w:p>
      <w:pPr>
        <w:sectPr>
          <w:pgSz w:w="11900" w:h="16838" w:orient="portrait"/>
          <w:cols w:equalWidth="0" w:num="1">
            <w:col w:w="11160"/>
          </w:cols>
          <w:pgMar w:left="320" w:top="337" w:right="4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140" w:type="dxa"/>
            <w:vAlign w:val="bottom"/>
            <w:gridSpan w:val="4"/>
          </w:tcPr>
          <w:p>
            <w:pPr>
              <w:ind w:left="4160"/>
              <w:spacing w:after="0"/>
              <w:rPr>
                <w:sz w:val="20"/>
                <w:szCs w:val="20"/>
                <w:color w:val="auto"/>
              </w:rPr>
            </w:pPr>
            <w:r>
              <w:rPr>
                <w:rFonts w:ascii="Arial" w:cs="Arial" w:eastAsia="Arial" w:hAnsi="Arial"/>
                <w:sz w:val="18"/>
                <w:szCs w:val="18"/>
                <w:b w:val="1"/>
                <w:bCs w:val="1"/>
                <w:color w:val="auto"/>
              </w:rPr>
              <w:t>PART IV</w:t>
            </w:r>
          </w:p>
        </w:tc>
      </w:tr>
      <w:tr>
        <w:trPr>
          <w:trHeight w:val="378"/>
        </w:trPr>
        <w:tc>
          <w:tcPr>
            <w:tcW w:w="1080" w:type="dxa"/>
            <w:vAlign w:val="bottom"/>
            <w:gridSpan w:val="3"/>
          </w:tcPr>
          <w:p>
            <w:pPr>
              <w:spacing w:after="0"/>
              <w:rPr>
                <w:sz w:val="20"/>
                <w:szCs w:val="20"/>
                <w:color w:val="auto"/>
              </w:rPr>
            </w:pPr>
            <w:r>
              <w:rPr>
                <w:rFonts w:ascii="Arial" w:cs="Arial" w:eastAsia="Arial" w:hAnsi="Arial"/>
                <w:sz w:val="18"/>
                <w:szCs w:val="18"/>
                <w:b w:val="1"/>
                <w:bCs w:val="1"/>
                <w:color w:val="auto"/>
              </w:rPr>
              <w:t>ITEM 15.</w:t>
            </w:r>
          </w:p>
        </w:tc>
        <w:tc>
          <w:tcPr>
            <w:tcW w:w="20" w:type="dxa"/>
            <w:vAlign w:val="bottom"/>
          </w:tcPr>
          <w:p>
            <w:pPr>
              <w:spacing w:after="0"/>
              <w:rPr>
                <w:sz w:val="24"/>
                <w:szCs w:val="24"/>
                <w:color w:val="auto"/>
              </w:rPr>
            </w:pPr>
          </w:p>
        </w:tc>
        <w:tc>
          <w:tcPr>
            <w:tcW w:w="10140" w:type="dxa"/>
            <w:vAlign w:val="bottom"/>
            <w:gridSpan w:val="4"/>
          </w:tcPr>
          <w:p>
            <w:pPr>
              <w:ind w:left="200"/>
              <w:spacing w:after="0"/>
              <w:rPr>
                <w:sz w:val="20"/>
                <w:szCs w:val="20"/>
                <w:color w:val="auto"/>
              </w:rPr>
            </w:pPr>
            <w:r>
              <w:rPr>
                <w:rFonts w:ascii="Arial" w:cs="Arial" w:eastAsia="Arial" w:hAnsi="Arial"/>
                <w:sz w:val="18"/>
                <w:szCs w:val="18"/>
                <w:b w:val="1"/>
                <w:bCs w:val="1"/>
                <w:color w:val="auto"/>
              </w:rPr>
              <w:t>EXHIBITS AND FINANCIAL STATEMENT SCHEDULES</w:t>
            </w:r>
          </w:p>
        </w:tc>
      </w:tr>
      <w:tr>
        <w:trPr>
          <w:trHeight w:val="432"/>
        </w:trPr>
        <w:tc>
          <w:tcPr>
            <w:tcW w:w="60" w:type="dxa"/>
            <w:vAlign w:val="bottom"/>
          </w:tcPr>
          <w:p>
            <w:pPr>
              <w:spacing w:after="0"/>
              <w:rPr>
                <w:sz w:val="24"/>
                <w:szCs w:val="24"/>
                <w:color w:val="auto"/>
              </w:rPr>
            </w:pPr>
          </w:p>
        </w:tc>
        <w:tc>
          <w:tcPr>
            <w:tcW w:w="1020" w:type="dxa"/>
            <w:vAlign w:val="bottom"/>
            <w:gridSpan w:val="2"/>
          </w:tcPr>
          <w:p>
            <w:pPr>
              <w:ind w:left="600"/>
              <w:spacing w:after="0"/>
              <w:rPr>
                <w:sz w:val="20"/>
                <w:szCs w:val="20"/>
                <w:color w:val="auto"/>
              </w:rPr>
            </w:pPr>
            <w:r>
              <w:rPr>
                <w:rFonts w:ascii="Arial" w:cs="Arial" w:eastAsia="Arial" w:hAnsi="Arial"/>
                <w:sz w:val="18"/>
                <w:szCs w:val="18"/>
                <w:color w:val="auto"/>
              </w:rPr>
              <w:t>(a)</w:t>
            </w:r>
          </w:p>
        </w:tc>
        <w:tc>
          <w:tcPr>
            <w:tcW w:w="20" w:type="dxa"/>
            <w:vAlign w:val="bottom"/>
          </w:tcPr>
          <w:p>
            <w:pPr>
              <w:spacing w:after="0"/>
              <w:rPr>
                <w:sz w:val="24"/>
                <w:szCs w:val="24"/>
                <w:color w:val="auto"/>
              </w:rPr>
            </w:pPr>
          </w:p>
        </w:tc>
        <w:tc>
          <w:tcPr>
            <w:tcW w:w="10140" w:type="dxa"/>
            <w:vAlign w:val="bottom"/>
            <w:gridSpan w:val="4"/>
          </w:tcPr>
          <w:p>
            <w:pPr>
              <w:ind w:left="400"/>
              <w:spacing w:after="0"/>
              <w:rPr>
                <w:sz w:val="20"/>
                <w:szCs w:val="20"/>
                <w:color w:val="auto"/>
              </w:rPr>
            </w:pPr>
            <w:r>
              <w:rPr>
                <w:rFonts w:ascii="Arial" w:cs="Arial" w:eastAsia="Arial" w:hAnsi="Arial"/>
                <w:sz w:val="18"/>
                <w:szCs w:val="18"/>
                <w:color w:val="auto"/>
              </w:rPr>
              <w:t>The following documents are filed as a part of this Amendment:</w:t>
            </w:r>
          </w:p>
        </w:tc>
      </w:tr>
      <w:tr>
        <w:trPr>
          <w:trHeight w:val="540"/>
        </w:trPr>
        <w:tc>
          <w:tcPr>
            <w:tcW w:w="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40" w:type="dxa"/>
            <w:vAlign w:val="bottom"/>
            <w:gridSpan w:val="4"/>
          </w:tcPr>
          <w:p>
            <w:pPr>
              <w:ind w:left="200"/>
              <w:spacing w:after="0"/>
              <w:rPr>
                <w:sz w:val="20"/>
                <w:szCs w:val="20"/>
                <w:color w:val="auto"/>
              </w:rPr>
            </w:pPr>
            <w:r>
              <w:rPr>
                <w:rFonts w:ascii="Arial" w:cs="Arial" w:eastAsia="Arial" w:hAnsi="Arial"/>
                <w:sz w:val="18"/>
                <w:szCs w:val="18"/>
                <w:color w:val="auto"/>
              </w:rPr>
              <w:t>(3)   Exhibits Index:</w:t>
            </w:r>
          </w:p>
        </w:tc>
      </w:tr>
      <w:tr>
        <w:trPr>
          <w:trHeight w:val="567"/>
        </w:trPr>
        <w:tc>
          <w:tcPr>
            <w:tcW w:w="60" w:type="dxa"/>
            <w:vAlign w:val="bottom"/>
          </w:tcPr>
          <w:p>
            <w:pPr>
              <w:spacing w:after="0"/>
              <w:rPr>
                <w:sz w:val="24"/>
                <w:szCs w:val="24"/>
                <w:color w:val="auto"/>
              </w:rPr>
            </w:pPr>
          </w:p>
        </w:tc>
        <w:tc>
          <w:tcPr>
            <w:tcW w:w="10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7"/>
              </w:rPr>
              <w:t>Exhibit</w:t>
            </w:r>
          </w:p>
        </w:tc>
        <w:tc>
          <w:tcPr>
            <w:tcW w:w="20" w:type="dxa"/>
            <w:vAlign w:val="bottom"/>
          </w:tcPr>
          <w:p>
            <w:pPr>
              <w:spacing w:after="0"/>
              <w:rPr>
                <w:sz w:val="24"/>
                <w:szCs w:val="24"/>
                <w:color w:val="auto"/>
              </w:rPr>
            </w:pPr>
          </w:p>
        </w:tc>
        <w:tc>
          <w:tcPr>
            <w:tcW w:w="4940" w:type="dxa"/>
            <w:vAlign w:val="bottom"/>
          </w:tcPr>
          <w:p>
            <w:pPr>
              <w:spacing w:after="0"/>
              <w:rPr>
                <w:sz w:val="24"/>
                <w:szCs w:val="24"/>
                <w:color w:val="auto"/>
              </w:rPr>
            </w:pPr>
          </w:p>
        </w:tc>
        <w:tc>
          <w:tcPr>
            <w:tcW w:w="5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0"/>
        </w:trPr>
        <w:tc>
          <w:tcPr>
            <w:tcW w:w="60" w:type="dxa"/>
            <w:vAlign w:val="bottom"/>
          </w:tcPr>
          <w:p>
            <w:pPr>
              <w:spacing w:after="0"/>
              <w:rPr>
                <w:sz w:val="18"/>
                <w:szCs w:val="18"/>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5"/>
              </w:rPr>
              <w:t>Number</w:t>
            </w:r>
          </w:p>
        </w:tc>
        <w:tc>
          <w:tcPr>
            <w:tcW w:w="20" w:type="dxa"/>
            <w:vAlign w:val="bottom"/>
          </w:tcPr>
          <w:p>
            <w:pPr>
              <w:spacing w:after="0"/>
              <w:rPr>
                <w:sz w:val="18"/>
                <w:szCs w:val="18"/>
                <w:color w:val="auto"/>
              </w:rPr>
            </w:pPr>
          </w:p>
        </w:tc>
        <w:tc>
          <w:tcPr>
            <w:tcW w:w="10140" w:type="dxa"/>
            <w:vAlign w:val="bottom"/>
            <w:gridSpan w:val="4"/>
          </w:tcPr>
          <w:p>
            <w:pPr>
              <w:ind w:left="4660"/>
              <w:spacing w:after="0"/>
              <w:rPr>
                <w:sz w:val="20"/>
                <w:szCs w:val="20"/>
                <w:color w:val="auto"/>
              </w:rPr>
            </w:pPr>
            <w:r>
              <w:rPr>
                <w:rFonts w:ascii="Arial" w:cs="Arial" w:eastAsia="Arial" w:hAnsi="Arial"/>
                <w:sz w:val="16"/>
                <w:szCs w:val="16"/>
                <w:b w:val="1"/>
                <w:bCs w:val="1"/>
                <w:color w:val="auto"/>
              </w:rPr>
              <w:t>Description</w:t>
            </w:r>
          </w:p>
        </w:tc>
      </w:tr>
      <w:tr>
        <w:trPr>
          <w:trHeight w:val="33"/>
        </w:trPr>
        <w:tc>
          <w:tcPr>
            <w:tcW w:w="6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940" w:type="dxa"/>
            <w:vAlign w:val="bottom"/>
            <w:tcBorders>
              <w:bottom w:val="single" w:sz="8" w:color="auto"/>
            </w:tcBorders>
          </w:tcPr>
          <w:p>
            <w:pPr>
              <w:spacing w:after="0"/>
              <w:rPr>
                <w:sz w:val="2"/>
                <w:szCs w:val="2"/>
                <w:color w:val="auto"/>
              </w:rPr>
            </w:pPr>
          </w:p>
        </w:tc>
        <w:tc>
          <w:tcPr>
            <w:tcW w:w="5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183"/>
        </w:trPr>
        <w:tc>
          <w:tcPr>
            <w:tcW w:w="60" w:type="dxa"/>
            <w:vAlign w:val="bottom"/>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0140" w:type="dxa"/>
            <w:vAlign w:val="bottom"/>
            <w:gridSpan w:val="4"/>
            <w:shd w:val="clear" w:color="auto" w:fill="CCEEFF"/>
          </w:tcPr>
          <w:p>
            <w:pPr>
              <w:spacing w:after="0" w:line="183" w:lineRule="exact"/>
              <w:rPr>
                <w:rFonts w:ascii="Arial" w:cs="Arial" w:eastAsia="Arial" w:hAnsi="Arial"/>
                <w:sz w:val="16"/>
                <w:szCs w:val="16"/>
                <w:color w:val="0000FF"/>
                <w:w w:val="94"/>
              </w:rPr>
            </w:pPr>
            <w:hyperlink w:anchor="page5">
              <w:r>
                <w:rPr>
                  <w:rFonts w:ascii="Arial" w:cs="Arial" w:eastAsia="Arial" w:hAnsi="Arial"/>
                  <w:sz w:val="16"/>
                  <w:szCs w:val="16"/>
                  <w:color w:val="0000FF"/>
                  <w:w w:val="94"/>
                </w:rPr>
                <w:t>Certification of Periodic Report by Chief Executive Officer Pursuant to Rule 13a–14(a) or 15d–14(a) of the Securities Exchange Act of 1934, as Adopted</w:t>
              </w:r>
            </w:hyperlink>
          </w:p>
        </w:tc>
      </w:tr>
      <w:tr>
        <w:trPr>
          <w:trHeight w:val="183"/>
        </w:trPr>
        <w:tc>
          <w:tcPr>
            <w:tcW w:w="60" w:type="dxa"/>
            <w:vAlign w:val="bottom"/>
          </w:tcPr>
          <w:p>
            <w:pPr>
              <w:spacing w:after="0"/>
              <w:rPr>
                <w:sz w:val="15"/>
                <w:szCs w:val="15"/>
                <w:color w:val="auto"/>
              </w:rPr>
            </w:pPr>
          </w:p>
        </w:tc>
        <w:tc>
          <w:tcPr>
            <w:tcW w:w="900" w:type="dxa"/>
            <w:vAlign w:val="bottom"/>
            <w:tcBorders>
              <w:top w:val="single" w:sz="8" w:color="CCEEFF"/>
            </w:tcBorders>
            <w:shd w:val="clear" w:color="auto" w:fill="CCEEFF"/>
          </w:tcPr>
          <w:p>
            <w:pPr>
              <w:jc w:val="right"/>
              <w:spacing w:after="0" w:line="183" w:lineRule="exact"/>
              <w:rPr>
                <w:rFonts w:ascii="Arial" w:cs="Arial" w:eastAsia="Arial" w:hAnsi="Arial"/>
                <w:sz w:val="16"/>
                <w:szCs w:val="16"/>
                <w:u w:val="single" w:color="auto"/>
                <w:color w:val="0000FF"/>
              </w:rPr>
            </w:pPr>
            <w:hyperlink w:anchor="page5">
              <w:r>
                <w:rPr>
                  <w:rFonts w:ascii="Arial" w:cs="Arial" w:eastAsia="Arial" w:hAnsi="Arial"/>
                  <w:sz w:val="16"/>
                  <w:szCs w:val="16"/>
                  <w:u w:val="single" w:color="auto"/>
                  <w:color w:val="0000FF"/>
                </w:rPr>
                <w:t>31.1</w:t>
              </w:r>
            </w:hyperlink>
          </w:p>
        </w:tc>
        <w:tc>
          <w:tcPr>
            <w:tcW w:w="12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10100" w:type="dxa"/>
            <w:vAlign w:val="bottom"/>
            <w:tcBorders>
              <w:top w:val="single" w:sz="8" w:color="0000FF"/>
            </w:tcBorders>
            <w:gridSpan w:val="2"/>
            <w:shd w:val="clear" w:color="auto" w:fill="CCEEFF"/>
          </w:tcPr>
          <w:p>
            <w:pPr>
              <w:spacing w:after="0" w:line="183" w:lineRule="exact"/>
              <w:rPr>
                <w:rFonts w:ascii="Arial" w:cs="Arial" w:eastAsia="Arial" w:hAnsi="Arial"/>
                <w:sz w:val="16"/>
                <w:szCs w:val="16"/>
                <w:color w:val="0000FF"/>
              </w:rPr>
            </w:pPr>
            <w:hyperlink w:anchor="page5">
              <w:r>
                <w:rPr>
                  <w:rFonts w:ascii="Arial" w:cs="Arial" w:eastAsia="Arial" w:hAnsi="Arial"/>
                  <w:sz w:val="16"/>
                  <w:szCs w:val="16"/>
                  <w:color w:val="0000FF"/>
                </w:rPr>
                <w:t>Pursuant to Section 302 of the Sarbanes-Oxley Act of 2002 (filed herewith).</w:t>
              </w:r>
            </w:hyperlink>
          </w:p>
        </w:tc>
        <w:tc>
          <w:tcPr>
            <w:tcW w:w="40" w:type="dxa"/>
            <w:vAlign w:val="bottom"/>
            <w:tcBorders>
              <w:top w:val="single" w:sz="8" w:color="CCEEFF"/>
            </w:tcBorders>
            <w:gridSpan w:val="2"/>
            <w:shd w:val="clear" w:color="auto" w:fill="CCEEFF"/>
          </w:tcPr>
          <w:p>
            <w:pPr>
              <w:spacing w:after="0"/>
              <w:rPr>
                <w:sz w:val="15"/>
                <w:szCs w:val="15"/>
                <w:color w:val="auto"/>
              </w:rPr>
            </w:pPr>
          </w:p>
        </w:tc>
      </w:tr>
      <w:tr>
        <w:trPr>
          <w:trHeight w:val="48"/>
        </w:trPr>
        <w:tc>
          <w:tcPr>
            <w:tcW w:w="60" w:type="dxa"/>
            <w:vAlign w:val="bottom"/>
          </w:tcPr>
          <w:p>
            <w:pPr>
              <w:spacing w:after="0"/>
              <w:rPr>
                <w:sz w:val="4"/>
                <w:szCs w:val="4"/>
                <w:color w:val="auto"/>
              </w:rPr>
            </w:pPr>
          </w:p>
        </w:tc>
        <w:tc>
          <w:tcPr>
            <w:tcW w:w="9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4940" w:type="dxa"/>
            <w:vAlign w:val="bottom"/>
            <w:tcBorders>
              <w:top w:val="single" w:sz="8" w:color="0000FF"/>
            </w:tcBorders>
            <w:shd w:val="clear" w:color="auto" w:fill="CCEEFF"/>
          </w:tcPr>
          <w:p>
            <w:pPr>
              <w:spacing w:after="0"/>
              <w:rPr>
                <w:sz w:val="4"/>
                <w:szCs w:val="4"/>
                <w:color w:val="auto"/>
              </w:rPr>
            </w:pPr>
          </w:p>
        </w:tc>
        <w:tc>
          <w:tcPr>
            <w:tcW w:w="51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189"/>
        </w:trPr>
        <w:tc>
          <w:tcPr>
            <w:tcW w:w="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120" w:type="dxa"/>
            <w:vAlign w:val="bottom"/>
            <w:tcBorders>
              <w:bottom w:val="single" w:sz="8" w:color="0000FF"/>
            </w:tcBorders>
            <w:gridSpan w:val="3"/>
          </w:tcPr>
          <w:p>
            <w:pPr>
              <w:spacing w:after="0"/>
              <w:rPr>
                <w:rFonts w:ascii="Arial" w:cs="Arial" w:eastAsia="Arial" w:hAnsi="Arial"/>
                <w:sz w:val="16"/>
                <w:szCs w:val="16"/>
                <w:color w:val="0000FF"/>
                <w:w w:val="94"/>
              </w:rPr>
            </w:pPr>
            <w:hyperlink w:anchor="page6">
              <w:r>
                <w:rPr>
                  <w:rFonts w:ascii="Arial" w:cs="Arial" w:eastAsia="Arial" w:hAnsi="Arial"/>
                  <w:sz w:val="16"/>
                  <w:szCs w:val="16"/>
                  <w:color w:val="0000FF"/>
                  <w:w w:val="94"/>
                </w:rPr>
                <w:t>Certification of Periodic Report by Chief Financial Officer Pursuant to Rule 13a–14(a) or 15d–14(a) of the Securities Exchange Act of 1934, as Adopted</w:t>
              </w:r>
            </w:hyperlink>
          </w:p>
        </w:tc>
        <w:tc>
          <w:tcPr>
            <w:tcW w:w="20" w:type="dxa"/>
            <w:vAlign w:val="bottom"/>
          </w:tcPr>
          <w:p>
            <w:pPr>
              <w:spacing w:after="0"/>
              <w:rPr>
                <w:sz w:val="16"/>
                <w:szCs w:val="16"/>
                <w:color w:val="auto"/>
              </w:rPr>
            </w:pPr>
          </w:p>
        </w:tc>
      </w:tr>
      <w:tr>
        <w:trPr>
          <w:trHeight w:val="183"/>
        </w:trPr>
        <w:tc>
          <w:tcPr>
            <w:tcW w:w="960" w:type="dxa"/>
            <w:vAlign w:val="bottom"/>
            <w:gridSpan w:val="2"/>
          </w:tcPr>
          <w:p>
            <w:pPr>
              <w:jc w:val="right"/>
              <w:spacing w:after="0" w:line="183" w:lineRule="exact"/>
              <w:rPr>
                <w:rFonts w:ascii="Arial" w:cs="Arial" w:eastAsia="Arial" w:hAnsi="Arial"/>
                <w:sz w:val="16"/>
                <w:szCs w:val="16"/>
                <w:u w:val="single" w:color="auto"/>
                <w:color w:val="0000FF"/>
              </w:rPr>
            </w:pPr>
            <w:hyperlink w:anchor="page6">
              <w:r>
                <w:rPr>
                  <w:rFonts w:ascii="Arial" w:cs="Arial" w:eastAsia="Arial" w:hAnsi="Arial"/>
                  <w:sz w:val="16"/>
                  <w:szCs w:val="16"/>
                  <w:u w:val="single" w:color="auto"/>
                  <w:color w:val="0000FF"/>
                </w:rPr>
                <w:t>31.2</w:t>
              </w:r>
            </w:hyperlink>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140" w:type="dxa"/>
            <w:vAlign w:val="bottom"/>
            <w:gridSpan w:val="4"/>
          </w:tcPr>
          <w:p>
            <w:pPr>
              <w:spacing w:after="0" w:line="183" w:lineRule="exact"/>
              <w:rPr>
                <w:rFonts w:ascii="Arial" w:cs="Arial" w:eastAsia="Arial" w:hAnsi="Arial"/>
                <w:sz w:val="16"/>
                <w:szCs w:val="16"/>
                <w:color w:val="0000FF"/>
              </w:rPr>
            </w:pPr>
            <w:hyperlink w:anchor="page6">
              <w:r>
                <w:rPr>
                  <w:rFonts w:ascii="Arial" w:cs="Arial" w:eastAsia="Arial" w:hAnsi="Arial"/>
                  <w:sz w:val="16"/>
                  <w:szCs w:val="16"/>
                  <w:color w:val="0000FF"/>
                </w:rPr>
                <w:t>Pursuant to Section 302 of the Sarbanes-Oxley Act of 2002 (filed herewith).</w:t>
              </w:r>
            </w:hyperlink>
          </w:p>
        </w:tc>
      </w:tr>
      <w:tr>
        <w:trPr>
          <w:trHeight w:val="48"/>
        </w:trPr>
        <w:tc>
          <w:tcPr>
            <w:tcW w:w="6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4940" w:type="dxa"/>
            <w:vAlign w:val="bottom"/>
            <w:tcBorders>
              <w:top w:val="single" w:sz="8" w:color="0000FF"/>
            </w:tcBorders>
          </w:tcPr>
          <w:p>
            <w:pPr>
              <w:spacing w:after="0"/>
              <w:rPr>
                <w:sz w:val="4"/>
                <w:szCs w:val="4"/>
                <w:color w:val="auto"/>
              </w:rPr>
            </w:pPr>
          </w:p>
        </w:tc>
        <w:tc>
          <w:tcPr>
            <w:tcW w:w="516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37"/>
        </w:trPr>
        <w:tc>
          <w:tcPr>
            <w:tcW w:w="60" w:type="dxa"/>
            <w:vAlign w:val="bottom"/>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w:t>
            </w:r>
          </w:p>
        </w:tc>
        <w:tc>
          <w:tcPr>
            <w:tcW w:w="1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14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Cover Page Interactive Data File - the cover page XBRL tags are embedded within the Inline XBRL document.</w:t>
            </w:r>
          </w:p>
        </w:tc>
      </w:tr>
      <w:tr>
        <w:trPr>
          <w:trHeight w:val="33"/>
        </w:trPr>
        <w:tc>
          <w:tcPr>
            <w:tcW w:w="60" w:type="dxa"/>
            <w:vAlign w:val="bottom"/>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4940" w:type="dxa"/>
            <w:vAlign w:val="bottom"/>
            <w:shd w:val="clear" w:color="auto" w:fill="CCEEFF"/>
          </w:tcPr>
          <w:p>
            <w:pPr>
              <w:spacing w:after="0"/>
              <w:rPr>
                <w:sz w:val="2"/>
                <w:szCs w:val="2"/>
                <w:color w:val="auto"/>
              </w:rPr>
            </w:pPr>
          </w:p>
        </w:tc>
        <w:tc>
          <w:tcPr>
            <w:tcW w:w="516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r>
    </w:tbl>
    <w:p>
      <w:pPr>
        <w:sectPr>
          <w:pgSz w:w="11900" w:h="16838" w:orient="portrait"/>
          <w:cols w:equalWidth="0" w:num="1">
            <w:col w:w="11240"/>
          </w:cols>
          <w:pgMar w:left="320" w:top="337" w:right="339" w:bottom="1440" w:gutter="0" w:footer="0" w:header="0"/>
        </w:sectPr>
      </w:pPr>
    </w:p>
    <w:bookmarkStart w:id="3" w:name="page4"/>
    <w:bookmarkEnd w:id="3"/>
    <w:p>
      <w:pPr>
        <w:jc w:val="center"/>
        <w:ind w:right="-7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278"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ACUSHNET HOLDINGS CORP.</w:t>
      </w:r>
    </w:p>
    <w:p>
      <w:pPr>
        <w:spacing w:after="0" w:line="333" w:lineRule="exact"/>
        <w:rPr>
          <w:sz w:val="20"/>
          <w:szCs w:val="20"/>
          <w:color w:val="auto"/>
        </w:rPr>
      </w:pPr>
    </w:p>
    <w:p>
      <w:pPr>
        <w:ind w:left="5200"/>
        <w:spacing w:after="0"/>
        <w:tabs>
          <w:tab w:leader="none" w:pos="5640" w:val="left"/>
        </w:tabs>
        <w:rPr>
          <w:sz w:val="20"/>
          <w:szCs w:val="20"/>
          <w:color w:val="auto"/>
        </w:rPr>
      </w:pPr>
      <w:r>
        <w:rPr>
          <w:rFonts w:ascii="Arial" w:cs="Arial" w:eastAsia="Arial" w:hAnsi="Arial"/>
          <w:sz w:val="18"/>
          <w:szCs w:val="18"/>
          <w:color w:val="auto"/>
        </w:rPr>
        <w:t>By:</w:t>
        <w:tab/>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31750</wp:posOffset>
            </wp:positionV>
            <wp:extent cx="35572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57" w:lineRule="exact"/>
        <w:rPr>
          <w:sz w:val="20"/>
          <w:szCs w:val="20"/>
          <w:color w:val="auto"/>
        </w:rPr>
      </w:pPr>
    </w:p>
    <w:p>
      <w:pPr>
        <w:ind w:left="5660"/>
        <w:spacing w:after="0"/>
        <w:tabs>
          <w:tab w:leader="none" w:pos="64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David Maher</w:t>
      </w:r>
    </w:p>
    <w:p>
      <w:pPr>
        <w:spacing w:after="0" w:line="63" w:lineRule="exact"/>
        <w:rPr>
          <w:sz w:val="20"/>
          <w:szCs w:val="20"/>
          <w:color w:val="auto"/>
        </w:rPr>
      </w:pPr>
    </w:p>
    <w:p>
      <w:pPr>
        <w:ind w:left="3300"/>
        <w:spacing w:after="0"/>
        <w:tabs>
          <w:tab w:leader="none" w:pos="5640" w:val="left"/>
          <w:tab w:leader="none" w:pos="6420" w:val="left"/>
        </w:tabs>
        <w:rPr>
          <w:sz w:val="20"/>
          <w:szCs w:val="20"/>
          <w:color w:val="auto"/>
        </w:rPr>
      </w:pPr>
      <w:r>
        <w:rPr>
          <w:rFonts w:ascii="Arial" w:cs="Arial" w:eastAsia="Arial" w:hAnsi="Arial"/>
          <w:sz w:val="18"/>
          <w:szCs w:val="18"/>
          <w:color w:val="auto"/>
        </w:rPr>
        <w:t>Date: December 17, 2020</w:t>
      </w:r>
      <w:r>
        <w:rPr>
          <w:sz w:val="20"/>
          <w:szCs w:val="20"/>
          <w:color w:val="auto"/>
        </w:rPr>
        <w:tab/>
      </w:r>
      <w:r>
        <w:rPr>
          <w:rFonts w:ascii="Arial" w:cs="Arial" w:eastAsia="Arial" w:hAnsi="Arial"/>
          <w:sz w:val="18"/>
          <w:szCs w:val="18"/>
          <w:color w:val="auto"/>
        </w:rPr>
        <w:t>Title:</w:t>
      </w:r>
      <w:r>
        <w:rPr>
          <w:sz w:val="20"/>
          <w:szCs w:val="20"/>
          <w:color w:val="auto"/>
        </w:rPr>
        <w:tab/>
      </w:r>
      <w:r>
        <w:rPr>
          <w:rFonts w:ascii="Arial" w:cs="Arial" w:eastAsia="Arial" w:hAnsi="Arial"/>
          <w:sz w:val="16"/>
          <w:szCs w:val="16"/>
          <w:i w:val="1"/>
          <w:iCs w:val="1"/>
          <w:color w:val="auto"/>
        </w:rPr>
        <w:t>President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60"/>
          </w:cols>
          <w:pgMar w:left="320" w:top="337" w:right="41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David Maher, certify that:</w:t>
      </w:r>
    </w:p>
    <w:p>
      <w:pPr>
        <w:spacing w:after="0" w:line="171" w:lineRule="exact"/>
        <w:rPr>
          <w:sz w:val="20"/>
          <w:szCs w:val="20"/>
          <w:color w:val="auto"/>
        </w:rPr>
      </w:pPr>
    </w:p>
    <w:p>
      <w:pPr>
        <w:ind w:left="660" w:hanging="328"/>
        <w:spacing w:after="0" w:line="207" w:lineRule="exact"/>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 have reviewed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K/A of Acushnet Holdings Corp.;</w:t>
      </w:r>
    </w:p>
    <w:p>
      <w:pPr>
        <w:spacing w:after="0" w:line="171"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[Omitted];</w:t>
      </w:r>
    </w:p>
    <w:p>
      <w:pPr>
        <w:spacing w:after="0" w:line="171" w:lineRule="exact"/>
        <w:rPr>
          <w:rFonts w:ascii="Arial" w:cs="Arial" w:eastAsia="Arial" w:hAnsi="Arial"/>
          <w:sz w:val="18"/>
          <w:szCs w:val="18"/>
          <w:color w:val="auto"/>
        </w:rPr>
      </w:pPr>
    </w:p>
    <w:p>
      <w:pPr>
        <w:jc w:val="both"/>
        <w:ind w:left="660" w:right="120" w:hanging="328"/>
        <w:spacing w:after="0" w:line="220" w:lineRule="exact"/>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8"/>
          <w:szCs w:val="18"/>
          <w:color w:val="auto"/>
        </w:rPr>
        <w:t>‑</w:t>
      </w:r>
      <w:r>
        <w:rPr>
          <w:rFonts w:ascii="Arial" w:cs="Arial" w:eastAsia="Arial" w:hAnsi="Arial"/>
          <w:sz w:val="18"/>
          <w:szCs w:val="18"/>
          <w:color w:val="auto"/>
        </w:rPr>
        <w:t>15(e) and 15d</w:t>
      </w:r>
      <w:r>
        <w:rPr>
          <w:rFonts w:ascii="MS PGothic" w:cs="MS PGothic" w:eastAsia="MS PGothic" w:hAnsi="MS PGothic"/>
          <w:sz w:val="18"/>
          <w:szCs w:val="18"/>
          <w:color w:val="auto"/>
        </w:rPr>
        <w:t>‑</w:t>
      </w:r>
      <w:r>
        <w:rPr>
          <w:rFonts w:ascii="Arial" w:cs="Arial" w:eastAsia="Arial" w:hAnsi="Arial"/>
          <w:sz w:val="18"/>
          <w:szCs w:val="18"/>
          <w:color w:val="auto"/>
        </w:rPr>
        <w:t>15(e)) and internal control over financial reporting (as defined in Exchange Act Rules 13a-15(f) and 15d-15(f)) for the registrant and have:</w:t>
      </w:r>
    </w:p>
    <w:p>
      <w:pPr>
        <w:spacing w:after="0" w:line="150" w:lineRule="exact"/>
        <w:rPr>
          <w:rFonts w:ascii="Arial" w:cs="Arial" w:eastAsia="Arial" w:hAnsi="Arial"/>
          <w:sz w:val="18"/>
          <w:szCs w:val="18"/>
          <w:color w:val="auto"/>
        </w:rPr>
      </w:pPr>
    </w:p>
    <w:p>
      <w:pPr>
        <w:ind w:left="1300" w:right="120" w:hanging="320"/>
        <w:spacing w:after="0" w:line="263"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9"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9" w:lineRule="exact"/>
        <w:rPr>
          <w:rFonts w:ascii="Arial" w:cs="Arial" w:eastAsia="Arial" w:hAnsi="Arial"/>
          <w:sz w:val="18"/>
          <w:szCs w:val="18"/>
          <w:color w:val="auto"/>
        </w:rPr>
      </w:pPr>
    </w:p>
    <w:p>
      <w:pPr>
        <w:jc w:val="both"/>
        <w:ind w:left="1300" w:right="220" w:hanging="320"/>
        <w:spacing w:after="0" w:line="342" w:lineRule="auto"/>
        <w:tabs>
          <w:tab w:leader="none" w:pos="1300" w:val="left"/>
        </w:tabs>
        <w:numPr>
          <w:ilvl w:val="1"/>
          <w:numId w:val="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9" w:lineRule="exact"/>
        <w:rPr>
          <w:rFonts w:ascii="Arial" w:cs="Arial" w:eastAsia="Arial" w:hAnsi="Arial"/>
          <w:sz w:val="18"/>
          <w:szCs w:val="18"/>
          <w:color w:val="auto"/>
        </w:rPr>
      </w:pPr>
    </w:p>
    <w:p>
      <w:pPr>
        <w:ind w:left="660" w:right="80" w:hanging="328"/>
        <w:spacing w:after="0" w:line="342"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69" w:lineRule="exact"/>
        <w:rPr>
          <w:rFonts w:ascii="Arial" w:cs="Arial" w:eastAsia="Arial" w:hAnsi="Arial"/>
          <w:sz w:val="16"/>
          <w:szCs w:val="16"/>
          <w:color w:val="auto"/>
        </w:rPr>
      </w:pPr>
    </w:p>
    <w:p>
      <w:pPr>
        <w:ind w:left="1300" w:right="460" w:hanging="320"/>
        <w:spacing w:after="0" w:line="342" w:lineRule="auto"/>
        <w:tabs>
          <w:tab w:leader="none" w:pos="1300" w:val="left"/>
        </w:tabs>
        <w:numPr>
          <w:ilvl w:val="1"/>
          <w:numId w:val="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Date: December 17, 2020</w:t>
      </w:r>
    </w:p>
    <w:p>
      <w:pPr>
        <w:spacing w:after="0" w:line="200" w:lineRule="exact"/>
        <w:rPr>
          <w:sz w:val="20"/>
          <w:szCs w:val="20"/>
          <w:color w:val="auto"/>
        </w:rPr>
      </w:pPr>
    </w:p>
    <w:p>
      <w:pPr>
        <w:spacing w:after="0" w:line="241"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/s/ DAVID MAHER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31750</wp:posOffset>
            </wp:positionV>
            <wp:extent cx="2914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914650" cy="8890"/>
                    </a:xfrm>
                    <a:prstGeom prst="rect">
                      <a:avLst/>
                    </a:prstGeom>
                    <a:noFill/>
                  </pic:spPr>
                </pic:pic>
              </a:graphicData>
            </a:graphic>
          </wp:anchor>
        </w:drawing>
      </w:r>
    </w:p>
    <w:p>
      <w:pPr>
        <w:spacing w:after="0" w:line="57"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Name: David Maher</w:t>
      </w:r>
    </w:p>
    <w:p>
      <w:pPr>
        <w:spacing w:after="0" w:line="63" w:lineRule="exact"/>
        <w:rPr>
          <w:sz w:val="20"/>
          <w:szCs w:val="20"/>
          <w:color w:val="auto"/>
        </w:rPr>
      </w:pPr>
    </w:p>
    <w:p>
      <w:pPr>
        <w:ind w:left="1060"/>
        <w:spacing w:after="0"/>
        <w:rPr>
          <w:sz w:val="20"/>
          <w:szCs w:val="20"/>
          <w:color w:val="auto"/>
        </w:rPr>
      </w:pPr>
      <w:r>
        <w:rPr>
          <w:rFonts w:ascii="Arial" w:cs="Arial" w:eastAsia="Arial" w:hAnsi="Arial"/>
          <w:sz w:val="18"/>
          <w:szCs w:val="18"/>
          <w:i w:val="1"/>
          <w:iCs w:val="1"/>
          <w:color w:val="auto"/>
        </w:rPr>
        <w:t>President and Chief Executive Officer</w:t>
      </w:r>
    </w:p>
    <w:p>
      <w:pPr>
        <w:sectPr>
          <w:pgSz w:w="11900" w:h="16838" w:orient="portrait"/>
          <w:cols w:equalWidth="0" w:num="1">
            <w:col w:w="11240"/>
          </w:cols>
          <w:pgMar w:left="320" w:top="553"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Thomas Pacheco, certify that:</w:t>
      </w:r>
    </w:p>
    <w:p>
      <w:pPr>
        <w:spacing w:after="0" w:line="171" w:lineRule="exact"/>
        <w:rPr>
          <w:sz w:val="20"/>
          <w:szCs w:val="20"/>
          <w:color w:val="auto"/>
        </w:rPr>
      </w:pPr>
    </w:p>
    <w:p>
      <w:pPr>
        <w:ind w:left="660" w:hanging="328"/>
        <w:spacing w:after="0" w:line="207" w:lineRule="exact"/>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 have reviewed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K/A of Acushnet Holdings Corp.;</w:t>
      </w:r>
    </w:p>
    <w:p>
      <w:pPr>
        <w:spacing w:after="0" w:line="171" w:lineRule="exact"/>
        <w:rPr>
          <w:rFonts w:ascii="Arial" w:cs="Arial" w:eastAsia="Arial" w:hAnsi="Arial"/>
          <w:sz w:val="18"/>
          <w:szCs w:val="18"/>
          <w:color w:val="auto"/>
        </w:rPr>
      </w:pPr>
    </w:p>
    <w:p>
      <w:pPr>
        <w:jc w:val="both"/>
        <w:ind w:left="660" w:right="120" w:hanging="328"/>
        <w:spacing w:after="0" w:line="263"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[Omitted];</w:t>
      </w:r>
    </w:p>
    <w:p>
      <w:pPr>
        <w:spacing w:after="0" w:line="171" w:lineRule="exact"/>
        <w:rPr>
          <w:rFonts w:ascii="Arial" w:cs="Arial" w:eastAsia="Arial" w:hAnsi="Arial"/>
          <w:sz w:val="18"/>
          <w:szCs w:val="18"/>
          <w:color w:val="auto"/>
        </w:rPr>
      </w:pPr>
    </w:p>
    <w:p>
      <w:pPr>
        <w:jc w:val="both"/>
        <w:ind w:left="660" w:right="120" w:hanging="328"/>
        <w:spacing w:after="0" w:line="220" w:lineRule="exact"/>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w:t>
      </w:r>
      <w:r>
        <w:rPr>
          <w:rFonts w:ascii="MS PGothic" w:cs="MS PGothic" w:eastAsia="MS PGothic" w:hAnsi="MS PGothic"/>
          <w:sz w:val="18"/>
          <w:szCs w:val="18"/>
          <w:color w:val="auto"/>
        </w:rPr>
        <w:t>‑</w:t>
      </w:r>
      <w:r>
        <w:rPr>
          <w:rFonts w:ascii="Arial" w:cs="Arial" w:eastAsia="Arial" w:hAnsi="Arial"/>
          <w:sz w:val="18"/>
          <w:szCs w:val="18"/>
          <w:color w:val="auto"/>
        </w:rPr>
        <w:t>15(e) and 15d</w:t>
      </w:r>
      <w:r>
        <w:rPr>
          <w:rFonts w:ascii="MS PGothic" w:cs="MS PGothic" w:eastAsia="MS PGothic" w:hAnsi="MS PGothic"/>
          <w:sz w:val="18"/>
          <w:szCs w:val="18"/>
          <w:color w:val="auto"/>
        </w:rPr>
        <w:t>‑</w:t>
      </w:r>
      <w:r>
        <w:rPr>
          <w:rFonts w:ascii="Arial" w:cs="Arial" w:eastAsia="Arial" w:hAnsi="Arial"/>
          <w:sz w:val="18"/>
          <w:szCs w:val="18"/>
          <w:color w:val="auto"/>
        </w:rPr>
        <w:t>15(e)) and internal control over financial reporting (as defined in Exchange Act Rules 13a-15(f) and 15d-15(f)) for the registrant and have:</w:t>
      </w:r>
    </w:p>
    <w:p>
      <w:pPr>
        <w:spacing w:after="0" w:line="150" w:lineRule="exact"/>
        <w:rPr>
          <w:rFonts w:ascii="Arial" w:cs="Arial" w:eastAsia="Arial" w:hAnsi="Arial"/>
          <w:sz w:val="18"/>
          <w:szCs w:val="18"/>
          <w:color w:val="auto"/>
        </w:rPr>
      </w:pPr>
    </w:p>
    <w:p>
      <w:pPr>
        <w:ind w:left="1300" w:right="120" w:hanging="320"/>
        <w:spacing w:after="0" w:line="263" w:lineRule="auto"/>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9" w:lineRule="exact"/>
        <w:rPr>
          <w:rFonts w:ascii="Arial" w:cs="Arial" w:eastAsia="Arial" w:hAnsi="Arial"/>
          <w:sz w:val="18"/>
          <w:szCs w:val="18"/>
          <w:color w:val="auto"/>
        </w:rPr>
      </w:pPr>
    </w:p>
    <w:p>
      <w:pPr>
        <w:ind w:left="1300" w:right="40" w:hanging="320"/>
        <w:spacing w:after="0" w:line="263" w:lineRule="auto"/>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9" w:lineRule="exact"/>
        <w:rPr>
          <w:rFonts w:ascii="Arial" w:cs="Arial" w:eastAsia="Arial" w:hAnsi="Arial"/>
          <w:sz w:val="18"/>
          <w:szCs w:val="18"/>
          <w:color w:val="auto"/>
        </w:rPr>
      </w:pPr>
    </w:p>
    <w:p>
      <w:pPr>
        <w:jc w:val="both"/>
        <w:ind w:left="1300" w:right="220" w:hanging="320"/>
        <w:spacing w:after="0" w:line="342" w:lineRule="auto"/>
        <w:tabs>
          <w:tab w:leader="none" w:pos="1300" w:val="left"/>
        </w:tabs>
        <w:numPr>
          <w:ilvl w:val="1"/>
          <w:numId w:val="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200" w:hanging="320"/>
        <w:spacing w:after="0" w:line="263" w:lineRule="auto"/>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9" w:lineRule="exact"/>
        <w:rPr>
          <w:rFonts w:ascii="Arial" w:cs="Arial" w:eastAsia="Arial" w:hAnsi="Arial"/>
          <w:sz w:val="18"/>
          <w:szCs w:val="18"/>
          <w:color w:val="auto"/>
        </w:rPr>
      </w:pPr>
    </w:p>
    <w:p>
      <w:pPr>
        <w:ind w:left="660" w:right="8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69" w:lineRule="exact"/>
        <w:rPr>
          <w:rFonts w:ascii="Arial" w:cs="Arial" w:eastAsia="Arial" w:hAnsi="Arial"/>
          <w:sz w:val="16"/>
          <w:szCs w:val="16"/>
          <w:color w:val="auto"/>
        </w:rPr>
      </w:pPr>
    </w:p>
    <w:p>
      <w:pPr>
        <w:ind w:left="1300" w:right="460" w:hanging="320"/>
        <w:spacing w:after="0" w:line="342" w:lineRule="auto"/>
        <w:tabs>
          <w:tab w:leader="none" w:pos="1300" w:val="left"/>
        </w:tabs>
        <w:numPr>
          <w:ilvl w:val="1"/>
          <w:numId w:val="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140" w:hanging="320"/>
        <w:spacing w:after="0" w:line="277" w:lineRule="auto"/>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Date: December 17, 2020</w:t>
      </w:r>
    </w:p>
    <w:p>
      <w:pPr>
        <w:spacing w:after="0" w:line="200" w:lineRule="exact"/>
        <w:rPr>
          <w:sz w:val="20"/>
          <w:szCs w:val="20"/>
          <w:color w:val="auto"/>
        </w:rPr>
      </w:pPr>
    </w:p>
    <w:p>
      <w:pPr>
        <w:spacing w:after="0" w:line="241"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/s/ THOMAS PACHECO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647700</wp:posOffset>
            </wp:positionH>
            <wp:positionV relativeFrom="paragraph">
              <wp:posOffset>31750</wp:posOffset>
            </wp:positionV>
            <wp:extent cx="300863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008630" cy="8890"/>
                    </a:xfrm>
                    <a:prstGeom prst="rect">
                      <a:avLst/>
                    </a:prstGeom>
                    <a:noFill/>
                  </pic:spPr>
                </pic:pic>
              </a:graphicData>
            </a:graphic>
          </wp:anchor>
        </w:drawing>
      </w:r>
    </w:p>
    <w:p>
      <w:pPr>
        <w:spacing w:after="0" w:line="57"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Name: Thomas Pacheco</w:t>
      </w:r>
    </w:p>
    <w:p>
      <w:pPr>
        <w:spacing w:after="0" w:line="6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Executive Vice President, Chief Financial Officer and Chief</w:t>
      </w:r>
    </w:p>
    <w:p>
      <w:pPr>
        <w:spacing w:after="0" w:line="23" w:lineRule="exact"/>
        <w:rPr>
          <w:sz w:val="20"/>
          <w:szCs w:val="20"/>
          <w:color w:val="auto"/>
        </w:rPr>
      </w:pPr>
    </w:p>
    <w:p>
      <w:pPr>
        <w:ind w:left="1040"/>
        <w:spacing w:after="0"/>
        <w:rPr>
          <w:sz w:val="20"/>
          <w:szCs w:val="20"/>
          <w:color w:val="auto"/>
        </w:rPr>
      </w:pPr>
      <w:r>
        <w:rPr>
          <w:rFonts w:ascii="Arial" w:cs="Arial" w:eastAsia="Arial" w:hAnsi="Arial"/>
          <w:sz w:val="18"/>
          <w:szCs w:val="18"/>
          <w:i w:val="1"/>
          <w:iCs w:val="1"/>
          <w:color w:val="auto"/>
        </w:rPr>
        <w:t>Accounting Officer</w:t>
      </w:r>
    </w:p>
    <w:sectPr>
      <w:pgSz w:w="11900" w:h="16838" w:orient="portrait"/>
      <w:cols w:equalWidth="0" w:num="1">
        <w:col w:w="11240"/>
      </w:cols>
      <w:pgMar w:left="320" w:top="55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decimal"/>
      <w:start w:val="1"/>
    </w:lvl>
    <w:lvl w:ilvl="1">
      <w:lvlJc w:val="left"/>
      <w:lvlText w:val="%2)"/>
      <w:numFmt w:val="lowerLetter"/>
      <w:start w:val="1"/>
    </w:lvl>
  </w:abstractNum>
  <w:abstractNum w:abstractNumId="3">
    <w:nsid w:val="625558EC"/>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2020-12-17T16:19:35Z</dcterms:created>
  <dcterms:modified xsi:type="dcterms:W3CDTF">2020-12-17T16:19:35Z</dcterms:modified>
</cp:coreProperties>
</file>