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16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40" w:type="dxa"/>
            <w:vAlign w:val="bottom"/>
          </w:tcPr>
          <w:p>
            <w:pPr>
              <w:jc w:val="center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40" w:type="dxa"/>
            <w:vAlign w:val="bottom"/>
            <w:vMerge w:val="restart"/>
          </w:tcPr>
          <w:p>
            <w:pPr>
              <w:jc w:val="center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40" w:type="dxa"/>
            <w:vAlign w:val="bottom"/>
            <w:vMerge w:val="restart"/>
          </w:tcPr>
          <w:p>
            <w:pPr>
              <w:jc w:val="center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40" w:type="dxa"/>
            <w:vAlign w:val="bottom"/>
            <w:vMerge w:val="restart"/>
          </w:tcPr>
          <w:p>
            <w:pPr>
              <w:jc w:val="center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5401945</wp:posOffset>
            </wp:positionH>
            <wp:positionV relativeFrom="paragraph">
              <wp:posOffset>-625475</wp:posOffset>
            </wp:positionV>
            <wp:extent cx="8255" cy="626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4090035</wp:posOffset>
            </wp:positionH>
            <wp:positionV relativeFrom="paragraph">
              <wp:posOffset>-633730</wp:posOffset>
            </wp:positionV>
            <wp:extent cx="8255" cy="6343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4115435</wp:posOffset>
            </wp:positionH>
            <wp:positionV relativeFrom="paragraph">
              <wp:posOffset>-608330</wp:posOffset>
            </wp:positionV>
            <wp:extent cx="1269365" cy="5835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-1518920</wp:posOffset>
            </wp:positionH>
            <wp:positionV relativeFrom="paragraph">
              <wp:posOffset>40640</wp:posOffset>
            </wp:positionV>
            <wp:extent cx="6964045" cy="180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120" w:space="280"/>
            <w:col w:w="868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u w:val="single" w:color="auto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ESTABROOK JENNIFER O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</w:tcPr>
          <w:p>
            <w:pPr>
              <w:ind w:left="80"/>
              <w:spacing w:after="0" w:line="173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0"/>
                  <w:szCs w:val="20"/>
                  <w:u w:val="single" w:color="auto"/>
                  <w:color w:val="0000EE"/>
                </w:rPr>
                <w:t>Acushnet Holdings Corp.</w:t>
              </w:r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GOLF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09/18/2020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09/18/2020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33.21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26,710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72" w:lineRule="auto"/>
        <w:tabs>
          <w:tab w:leader="none" w:pos="17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09/22/2020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64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2020-09-22T15:23:49Z</dcterms:created>
  <dcterms:modified xsi:type="dcterms:W3CDTF">2020-09-22T15:23:49Z</dcterms:modified>
</cp:coreProperties>
</file>