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SEC Form 4</w:t>
      </w:r>
    </w:p>
    <w:p>
      <w:pPr>
        <w:spacing w:after="0" w:line="39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2" w:lineRule="exact"/>
        <w:rPr>
          <w:sz w:val="24"/>
          <w:szCs w:val="24"/>
          <w:color w:val="auto"/>
        </w:rPr>
      </w:pPr>
    </w:p>
    <w:p>
      <w:pPr>
        <w:ind w:left="380"/>
        <w:spacing w:after="0" w:line="23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38100</wp:posOffset>
            </wp:positionH>
            <wp:positionV relativeFrom="paragraph">
              <wp:posOffset>-241300</wp:posOffset>
            </wp:positionV>
            <wp:extent cx="135255" cy="135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35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2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2"/>
        </w:trPr>
        <w:tc>
          <w:tcPr>
            <w:tcW w:w="6400" w:type="dxa"/>
            <w:vAlign w:val="bottom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9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40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5363845</wp:posOffset>
            </wp:positionH>
            <wp:positionV relativeFrom="paragraph">
              <wp:posOffset>-625475</wp:posOffset>
            </wp:positionV>
            <wp:extent cx="8255" cy="6261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626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4060825</wp:posOffset>
            </wp:positionH>
            <wp:positionV relativeFrom="paragraph">
              <wp:posOffset>-633730</wp:posOffset>
            </wp:positionV>
            <wp:extent cx="8255" cy="63436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634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4086225</wp:posOffset>
            </wp:positionH>
            <wp:positionV relativeFrom="paragraph">
              <wp:posOffset>-608330</wp:posOffset>
            </wp:positionV>
            <wp:extent cx="1260475" cy="58356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583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-1557020</wp:posOffset>
            </wp:positionH>
            <wp:positionV relativeFrom="paragraph">
              <wp:posOffset>32385</wp:posOffset>
            </wp:positionV>
            <wp:extent cx="6964045" cy="180213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4045" cy="180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01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200" w:space="260"/>
            <w:col w:w="8620"/>
          </w:cols>
          <w:pgMar w:left="460" w:top="225" w:right="35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Arial" w:cs="Arial" w:eastAsia="Arial" w:hAnsi="Arial"/>
          <w:sz w:val="21"/>
          <w:szCs w:val="21"/>
          <w:u w:val="single" w:color="auto"/>
          <w:color w:val="0000EE"/>
        </w:rPr>
      </w:pPr>
      <w:hyperlink r:id="rId13">
        <w:r>
          <w:rPr>
            <w:rFonts w:ascii="Arial" w:cs="Arial" w:eastAsia="Arial" w:hAnsi="Arial"/>
            <w:sz w:val="21"/>
            <w:szCs w:val="21"/>
            <w:u w:val="single" w:color="auto"/>
            <w:color w:val="0000EE"/>
          </w:rPr>
          <w:t>Pacheco Thomas</w:t>
        </w:r>
      </w:hyperlink>
    </w:p>
    <w:p>
      <w:pPr>
        <w:spacing w:after="0" w:line="321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20" w:val="left"/>
          <w:tab w:leader="none" w:pos="25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(Middle)</w:t>
      </w:r>
    </w:p>
    <w:p>
      <w:pPr>
        <w:spacing w:after="0" w:line="69" w:lineRule="exact"/>
        <w:rPr>
          <w:sz w:val="24"/>
          <w:szCs w:val="24"/>
          <w:color w:val="auto"/>
        </w:rPr>
      </w:pPr>
    </w:p>
    <w:p>
      <w:pPr>
        <w:ind w:left="120" w:right="320"/>
        <w:spacing w:after="0" w:line="31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C/O ACUSHNET HOLDINGS CORP., 333 BRIDGE STREET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2. Issuer Name </w:t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Ticker or Trading Symbol</w:t>
      </w:r>
    </w:p>
    <w:p>
      <w:pPr>
        <w:spacing w:after="0" w:line="10" w:lineRule="exact"/>
        <w:rPr>
          <w:sz w:val="24"/>
          <w:szCs w:val="24"/>
          <w:color w:val="auto"/>
        </w:rPr>
      </w:pPr>
    </w:p>
    <w:p>
      <w:pPr>
        <w:jc w:val="center"/>
        <w:ind w:right="175"/>
        <w:spacing w:after="0"/>
        <w:rPr>
          <w:rFonts w:ascii="Arial" w:cs="Arial" w:eastAsia="Arial" w:hAnsi="Arial"/>
          <w:sz w:val="19"/>
          <w:szCs w:val="19"/>
          <w:color w:val="0000EE"/>
        </w:rPr>
      </w:pPr>
      <w:hyperlink r:id="rId14">
        <w:r>
          <w:rPr>
            <w:rFonts w:ascii="Arial" w:cs="Arial" w:eastAsia="Arial" w:hAnsi="Arial"/>
            <w:sz w:val="19"/>
            <w:szCs w:val="19"/>
            <w:u w:val="single" w:color="auto"/>
            <w:color w:val="0000EE"/>
          </w:rPr>
          <w:t>Acushnet Holdings Corp.</w:t>
        </w:r>
        <w:r>
          <w:rPr>
            <w:rFonts w:ascii="Arial" w:cs="Arial" w:eastAsia="Arial" w:hAnsi="Arial"/>
            <w:sz w:val="19"/>
            <w:szCs w:val="19"/>
            <w:color w:val="0000EE"/>
          </w:rPr>
          <w:t xml:space="preserve"> </w:t>
        </w:r>
      </w:hyperlink>
      <w:r>
        <w:rPr>
          <w:rFonts w:ascii="Arial" w:cs="Arial" w:eastAsia="Arial" w:hAnsi="Arial"/>
          <w:sz w:val="19"/>
          <w:szCs w:val="19"/>
          <w:color w:val="000000"/>
        </w:rPr>
        <w:t>[</w:t>
      </w:r>
      <w:r>
        <w:rPr>
          <w:rFonts w:ascii="Arial" w:cs="Arial" w:eastAsia="Arial" w:hAnsi="Arial"/>
          <w:sz w:val="19"/>
          <w:szCs w:val="19"/>
          <w:color w:val="0000EE"/>
        </w:rPr>
        <w:t xml:space="preserve"> </w:t>
      </w:r>
      <w:r>
        <w:rPr>
          <w:rFonts w:ascii="Arial" w:cs="Arial" w:eastAsia="Arial" w:hAnsi="Arial"/>
          <w:sz w:val="15"/>
          <w:szCs w:val="15"/>
          <w:color w:val="0000FF"/>
        </w:rPr>
        <w:t>GOLF</w:t>
      </w:r>
      <w:r>
        <w:rPr>
          <w:rFonts w:ascii="Arial" w:cs="Arial" w:eastAsia="Arial" w:hAnsi="Arial"/>
          <w:sz w:val="19"/>
          <w:szCs w:val="19"/>
          <w:color w:val="0000EE"/>
        </w:rPr>
        <w:t xml:space="preserve"> </w:t>
      </w:r>
      <w:r>
        <w:rPr>
          <w:rFonts w:ascii="Arial" w:cs="Arial" w:eastAsia="Arial" w:hAnsi="Arial"/>
          <w:sz w:val="19"/>
          <w:szCs w:val="19"/>
          <w:color w:val="000000"/>
        </w:rPr>
        <w:t>]</w:t>
      </w:r>
    </w:p>
    <w:p>
      <w:pPr>
        <w:spacing w:after="0" w:line="39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3. Date of Earliest Transaction (Month/Day/Year)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06/19/2020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ind w:left="5" w:right="540" w:hanging="5"/>
        <w:spacing w:after="0" w:line="253" w:lineRule="auto"/>
        <w:tabs>
          <w:tab w:leader="none" w:pos="153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Relationship of Reporting Person(s) to Issuer (Check all applicable)</w:t>
      </w:r>
    </w:p>
    <w:p>
      <w:pPr>
        <w:spacing w:after="0" w:line="18" w:lineRule="exact"/>
        <w:rPr>
          <w:sz w:val="24"/>
          <w:szCs w:val="24"/>
          <w:color w:val="auto"/>
        </w:rPr>
      </w:pPr>
    </w:p>
    <w:tbl>
      <w:tblPr>
        <w:tblLayout w:type="fixed"/>
        <w:tblInd w:w="205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Director</w:t>
            </w:r>
          </w:p>
        </w:tc>
        <w:tc>
          <w:tcPr>
            <w:tcW w:w="11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6"/>
        </w:trPr>
        <w:tc>
          <w:tcPr>
            <w:tcW w:w="2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X</w:t>
            </w:r>
          </w:p>
        </w:tc>
        <w:tc>
          <w:tcPr>
            <w:tcW w:w="13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Officer (give title</w:t>
            </w:r>
          </w:p>
        </w:tc>
        <w:tc>
          <w:tcPr>
            <w:tcW w:w="11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6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1140" w:type="dxa"/>
            <w:vAlign w:val="bottom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5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112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See Remarks</w:t>
      </w:r>
    </w:p>
    <w:p>
      <w:pPr>
        <w:spacing w:after="0" w:line="451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200" w:space="720"/>
            <w:col w:w="3095" w:space="720"/>
            <w:col w:w="3345"/>
          </w:cols>
          <w:pgMar w:left="460" w:top="225" w:right="359" w:bottom="1440" w:gutter="0" w:footer="0" w:header="0"/>
          <w:type w:val="continuous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2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540" w:type="dxa"/>
            <w:vAlign w:val="bottom"/>
            <w:gridSpan w:val="6"/>
          </w:tcPr>
          <w:p>
            <w:pPr>
              <w:jc w:val="right"/>
              <w:spacing w:after="0" w:line="10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4. If Amendment, Date of Original Filed (Month/Day/Year)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560" w:type="dxa"/>
            <w:vAlign w:val="bottom"/>
            <w:gridSpan w:val="10"/>
          </w:tcPr>
          <w:p>
            <w:pPr>
              <w:ind w:left="220"/>
              <w:spacing w:after="0" w:line="10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  <w:gridSpan w:val="3"/>
          </w:tcPr>
          <w:p>
            <w:pPr>
              <w:jc w:val="right"/>
              <w:ind w:right="1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Line)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140" w:type="dxa"/>
            <w:vAlign w:val="bottom"/>
            <w:gridSpan w:val="8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300" w:type="dxa"/>
            <w:vAlign w:val="bottom"/>
            <w:gridSpan w:val="3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FAIRHAVEN   MA</w:t>
            </w:r>
          </w:p>
        </w:tc>
        <w:tc>
          <w:tcPr>
            <w:tcW w:w="134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02719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140" w:type="dxa"/>
            <w:vAlign w:val="bottom"/>
            <w:gridSpan w:val="8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3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960" w:type="dxa"/>
            <w:vAlign w:val="bottom"/>
            <w:gridSpan w:val="7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96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Person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1680" w:type="dxa"/>
            <w:vAlign w:val="bottom"/>
            <w:gridSpan w:val="2"/>
            <w:vMerge w:val="restart"/>
          </w:tcPr>
          <w:p>
            <w:pPr>
              <w:ind w:left="6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34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40" w:type="dxa"/>
            <w:vAlign w:val="bottom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2C2C2C"/>
            </w:tcBorders>
            <w:gridSpan w:val="8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2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780" w:type="dxa"/>
            <w:vAlign w:val="bottom"/>
            <w:tcBorders>
              <w:top w:val="single" w:sz="8" w:color="2C2C2C"/>
            </w:tcBorders>
            <w:gridSpan w:val="15"/>
          </w:tcPr>
          <w:p>
            <w:pPr>
              <w:ind w:lef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 - Non-Derivative Securities Acquired, Disposed of, or Beneficially Owned</w:t>
            </w:r>
          </w:p>
        </w:tc>
        <w:tc>
          <w:tcPr>
            <w:tcW w:w="9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820" w:type="dxa"/>
            <w:vAlign w:val="bottom"/>
            <w:gridSpan w:val="3"/>
          </w:tcPr>
          <w:p>
            <w:pPr>
              <w:ind w:left="7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14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780" w:type="dxa"/>
            <w:vAlign w:val="bottom"/>
            <w:gridSpan w:val="5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78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gridSpan w:val="2"/>
          </w:tcPr>
          <w:p>
            <w:pPr>
              <w:ind w:left="8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960" w:type="dxa"/>
            <w:vAlign w:val="bottom"/>
            <w:gridSpan w:val="6"/>
          </w:tcPr>
          <w:p>
            <w:pPr>
              <w:ind w:left="8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20" w:type="dxa"/>
            <w:vAlign w:val="bottom"/>
            <w:gridSpan w:val="3"/>
          </w:tcPr>
          <w:p>
            <w:pPr>
              <w:ind w:left="7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2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2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gridSpan w:val="4"/>
            <w:vMerge w:val="restart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72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ind w:left="1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420" w:type="dxa"/>
            <w:vAlign w:val="bottom"/>
            <w:gridSpan w:val="2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6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8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06/19/2020</w:t>
            </w: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0000FF"/>
                <w:vertAlign w:val="subscript"/>
              </w:rPr>
              <w:t>A</w:t>
            </w: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125</w:t>
            </w: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A</w:t>
            </w: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jc w:val="right"/>
              <w:ind w:right="1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6"/>
              </w:rPr>
              <w:t>$</w:t>
            </w:r>
            <w:r>
              <w:rPr>
                <w:rFonts w:ascii="Arial" w:cs="Arial" w:eastAsia="Arial" w:hAnsi="Arial"/>
                <w:sz w:val="17"/>
                <w:szCs w:val="17"/>
                <w:color w:val="0000FF"/>
                <w:w w:val="96"/>
              </w:rPr>
              <w:t>34.21</w:t>
            </w: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44,242</w:t>
            </w: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1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900" w:type="dxa"/>
            <w:vAlign w:val="bottom"/>
            <w:tcBorders>
              <w:top w:val="single" w:sz="8" w:color="2C2C2C"/>
            </w:tcBorders>
            <w:gridSpan w:val="1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9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520" w:type="dxa"/>
            <w:vAlign w:val="bottom"/>
            <w:gridSpan w:val="11"/>
          </w:tcPr>
          <w:p>
            <w:pPr>
              <w:ind w:left="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8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3. Transaction</w:t>
            </w:r>
          </w:p>
        </w:tc>
        <w:tc>
          <w:tcPr>
            <w:tcW w:w="13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4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0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106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    10.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88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3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0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1060" w:type="dxa"/>
            <w:vAlign w:val="bottom"/>
            <w:gridSpan w:val="4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Ownership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22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if any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0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Securities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8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4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Beneficially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Derivative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4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(I) (Instr. 4)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 and 4)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3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</w:t>
            </w:r>
          </w:p>
        </w:tc>
        <w:tc>
          <w:tcPr>
            <w:tcW w:w="4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V</w:t>
            </w: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4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62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4445</wp:posOffset>
            </wp:positionH>
            <wp:positionV relativeFrom="paragraph">
              <wp:posOffset>-2874010</wp:posOffset>
            </wp:positionV>
            <wp:extent cx="7031355" cy="291909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1355" cy="2919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74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pacing w:after="0" w:line="58" w:lineRule="exact"/>
        <w:rPr>
          <w:sz w:val="24"/>
          <w:szCs w:val="24"/>
          <w:color w:val="auto"/>
        </w:rPr>
      </w:pPr>
    </w:p>
    <w:p>
      <w:pPr>
        <w:ind w:left="40" w:right="260" w:firstLine="7"/>
        <w:spacing w:after="0" w:line="266" w:lineRule="auto"/>
        <w:tabs>
          <w:tab w:leader="none" w:pos="173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Represents dividend equivalent rights in connection with the Issuer's quarterly dividend and accrued to the Reporting Person on restricted stock units deferred under the Issuer's deferred compensation plan.</w:t>
      </w:r>
    </w:p>
    <w:p>
      <w:pPr>
        <w:spacing w:after="0" w:line="5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Remarks:</w:t>
      </w:r>
    </w:p>
    <w:p>
      <w:pPr>
        <w:spacing w:after="0" w:line="68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008000"/>
        </w:rPr>
        <w:t>Title: Executive Vice President, Chief Financial Officer and Chief Accounting Officer</w:t>
      </w:r>
    </w:p>
    <w:p>
      <w:pPr>
        <w:spacing w:after="0" w:line="64" w:lineRule="exact"/>
        <w:rPr>
          <w:sz w:val="24"/>
          <w:szCs w:val="24"/>
          <w:color w:val="auto"/>
        </w:rPr>
      </w:pPr>
    </w:p>
    <w:tbl>
      <w:tblPr>
        <w:tblLayout w:type="fixed"/>
        <w:tblInd w:w="65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5"/>
        </w:trPr>
        <w:tc>
          <w:tcPr>
            <w:tcW w:w="17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3"/>
              </w:rPr>
              <w:t>/s/ Roland A. Giroux, as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1"/>
              </w:rPr>
              <w:t>06/23/2020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7"/>
        </w:trPr>
        <w:tc>
          <w:tcPr>
            <w:tcW w:w="2080" w:type="dxa"/>
            <w:vAlign w:val="bottom"/>
            <w:gridSpan w:val="3"/>
            <w:vMerge w:val="restart"/>
          </w:tcPr>
          <w:p>
            <w:pPr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attorney-in-fact</w:t>
            </w:r>
          </w:p>
        </w:tc>
        <w:tc>
          <w:tcPr>
            <w:tcW w:w="9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7"/>
        </w:trPr>
        <w:tc>
          <w:tcPr>
            <w:tcW w:w="20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108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0" w:type="dxa"/>
            <w:vAlign w:val="bottom"/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8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** Signature of Reporting Person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Date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9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36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50" w:lineRule="exact"/>
        <w:rPr>
          <w:sz w:val="24"/>
          <w:szCs w:val="24"/>
          <w:color w:val="auto"/>
        </w:rPr>
      </w:pPr>
    </w:p>
    <w:p>
      <w:pPr>
        <w:jc w:val="both"/>
        <w:ind w:left="40" w:right="3340" w:firstLine="7"/>
        <w:spacing w:after="0" w:line="319" w:lineRule="auto"/>
        <w:tabs>
          <w:tab w:leader="none" w:pos="181" w:val="left"/>
        </w:tabs>
        <w:numPr>
          <w:ilvl w:val="0"/>
          <w:numId w:val="3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080"/>
      </w:cols>
      <w:pgMar w:left="460" w:top="225" w:right="35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6334873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74B0DC51"/>
    <w:multiLevelType w:val="hybridMultilevel"/>
    <w:lvl w:ilvl="0">
      <w:lvlJc w:val="left"/>
      <w:lvlText w:val="%1."/>
      <w:numFmt w:val="decimal"/>
      <w:start w:val="1"/>
    </w:lvl>
  </w:abstractNum>
  <w:abstractNum w:abstractNumId="2">
    <w:nsid w:val="19495CFF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5" Type="http://schemas.openxmlformats.org/officeDocument/2006/relationships/image" Target="media/image6.png"/><Relationship Id="rId13" Type="http://schemas.openxmlformats.org/officeDocument/2006/relationships/hyperlink" Target="http://www.sec.gov/cgi-bin/browse-edgar?action=getcompany&amp;CIK=0001701662" TargetMode="External"/><Relationship Id="rId14" Type="http://schemas.openxmlformats.org/officeDocument/2006/relationships/hyperlink" Target="http://www.sec.gov/cgi-bin/browse-edgar?action=getcompany&amp;CIK=0001672013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2020-06-23T12:18:43Z</dcterms:created>
  <dcterms:modified xsi:type="dcterms:W3CDTF">2020-06-23T12:18:43Z</dcterms:modified>
</cp:coreProperties>
</file>