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Hewett Gregory A.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5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2"/>
                  <w:szCs w:val="12"/>
                  <w:u w:val="single" w:color="auto"/>
                  <w:color w:val="0000EE"/>
                </w:rPr>
                <w:t>Acushnet Holdings Corp.</w:t>
              </w:r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06/19/2020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65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34.21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31,328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06/23/2020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85467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2020-06-23T12:12:00Z</dcterms:created>
  <dcterms:modified xsi:type="dcterms:W3CDTF">2020-06-23T12:12:00Z</dcterms:modified>
</cp:coreProperties>
</file>