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TISHMAN STEVEN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Acushnet Holdings Corp.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GOLF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3. Date of Earliest Transaction (Month/Day/Year)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C/O ACUSHNET HOLDINGS CORP.,</w:t>
            </w:r>
          </w:p>
        </w:tc>
        <w:tc>
          <w:tcPr>
            <w:tcW w:w="164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03/29/2019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333 BRIDGE STREET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4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FAIRHAVEN</w:t>
            </w: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02719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right="2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6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03/29/2019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58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23.14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17,822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right="1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5"/>
          </w:tcPr>
          <w:p>
            <w:pPr>
              <w:jc w:val="center"/>
              <w:ind w:left="5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8000"/>
        </w:rPr>
        <w:t>1. Represents dividend equivalent rights in connection with the Issuer's quarterly dividend and accrued to the Reporting Person on restricted stock units deferred under the Issuer's deferred compensation plan.</w:t>
      </w:r>
    </w:p>
    <w:p>
      <w:pPr>
        <w:spacing w:after="0" w:line="71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/s/ Roland A. Giroux, as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04/02/2019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99552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2020-01-09T12:31:55Z</dcterms:created>
  <dcterms:modified xsi:type="dcterms:W3CDTF">2020-01-09T12:31:55Z</dcterms:modified>
</cp:coreProperties>
</file>