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0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2"/>
          <w:szCs w:val="22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Maher David Eugene</w:t>
        </w:r>
      </w:hyperlink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 w:right="440"/>
        <w:spacing w:after="0" w:line="31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C/O ACUSHNET HOLDINGS CORP., 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center"/>
        <w:ind w:right="297"/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Acushnet Holdings Corp.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GOLF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9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03/01/2019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520" w:hanging="3"/>
        <w:spacing w:after="0" w:line="250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5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96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President and CEO</w:t>
      </w:r>
    </w:p>
    <w:p>
      <w:pPr>
        <w:spacing w:after="0" w:line="41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0" w:right="239" w:bottom="1440" w:gutter="0" w:footer="0" w:header="0"/>
          <w:type w:val="continuous"/>
        </w:sectPr>
      </w:pPr>
    </w:p>
    <w:p>
      <w:pPr>
        <w:spacing w:after="0" w:line="21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FAIRHAVEN</w:t>
            </w: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02719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25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0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gridSpan w:val="6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03/01/2019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2"/>
              </w:rPr>
              <w:t>34,240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293,466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1. Represents shares received upon settlement of a performance stock award.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7"/>
              </w:rPr>
              <w:t>/s/ Roland A. Giroux, as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5"/>
              </w:rPr>
              <w:t>03/05/2019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0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82297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2020-01-09T12:56:31Z</dcterms:created>
  <dcterms:modified xsi:type="dcterms:W3CDTF">2020-01-09T12:56:31Z</dcterms:modified>
</cp:coreProperties>
</file>