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4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5"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Report (Date of Earliest Event Reported): November 1, 2018</w:t>
      </w:r>
    </w:p>
    <w:p>
      <w:pPr>
        <w:spacing w:after="0" w:line="210"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Acushnet Holdings Corp.</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367" w:lineRule="exact"/>
        <w:rPr>
          <w:sz w:val="24"/>
          <w:szCs w:val="24"/>
          <w:color w:val="auto"/>
        </w:rPr>
      </w:pPr>
    </w:p>
    <w:tbl>
      <w:tblPr>
        <w:tblLayout w:type="fixed"/>
        <w:tblInd w:w="980" w:type="dxa"/>
        <w:tblCellMar>
          <w:top w:w="0" w:type="dxa"/>
          <w:left w:w="0" w:type="dxa"/>
          <w:bottom w:w="0" w:type="dxa"/>
          <w:right w:w="0" w:type="dxa"/>
        </w:tblCellMar>
      </w:tblPr>
      <w:tr>
        <w:trPr>
          <w:trHeight w:val="234"/>
        </w:trPr>
        <w:tc>
          <w:tcPr>
            <w:tcW w:w="216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Delaware</w:t>
            </w:r>
          </w:p>
        </w:tc>
        <w:tc>
          <w:tcPr>
            <w:tcW w:w="5340" w:type="dxa"/>
            <w:vAlign w:val="bottom"/>
          </w:tcPr>
          <w:p>
            <w:pPr>
              <w:jc w:val="center"/>
              <w:spacing w:after="0"/>
              <w:rPr>
                <w:sz w:val="20"/>
                <w:szCs w:val="20"/>
                <w:color w:val="auto"/>
              </w:rPr>
            </w:pPr>
            <w:r>
              <w:rPr>
                <w:rFonts w:ascii="Arial" w:cs="Arial" w:eastAsia="Arial" w:hAnsi="Arial"/>
                <w:sz w:val="18"/>
                <w:szCs w:val="18"/>
                <w:b w:val="1"/>
                <w:bCs w:val="1"/>
                <w:color w:val="auto"/>
                <w:w w:val="90"/>
              </w:rPr>
              <w:t>001-37935</w:t>
            </w:r>
          </w:p>
        </w:tc>
        <w:tc>
          <w:tcPr>
            <w:tcW w:w="1740" w:type="dxa"/>
            <w:vAlign w:val="bottom"/>
          </w:tcPr>
          <w:p>
            <w:pPr>
              <w:jc w:val="center"/>
              <w:ind w:left="290"/>
              <w:spacing w:after="0"/>
              <w:rPr>
                <w:sz w:val="20"/>
                <w:szCs w:val="20"/>
                <w:color w:val="auto"/>
              </w:rPr>
            </w:pPr>
            <w:r>
              <w:rPr>
                <w:rFonts w:ascii="Arial" w:cs="Arial" w:eastAsia="Arial" w:hAnsi="Arial"/>
                <w:sz w:val="18"/>
                <w:szCs w:val="18"/>
                <w:b w:val="1"/>
                <w:bCs w:val="1"/>
                <w:color w:val="auto"/>
                <w:w w:val="91"/>
              </w:rPr>
              <w:t>45-2644353</w:t>
            </w:r>
          </w:p>
        </w:tc>
      </w:tr>
      <w:tr>
        <w:trPr>
          <w:trHeight w:val="256"/>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1"/>
              </w:rPr>
              <w:t>(State or Other Jurisdiction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1"/>
              </w:rPr>
              <w:t>(Commission</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3"/>
              </w:rPr>
              <w:t>(IRS Employer</w:t>
            </w:r>
          </w:p>
        </w:tc>
      </w:tr>
      <w:tr>
        <w:trPr>
          <w:trHeight w:val="230"/>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4"/>
              </w:rPr>
              <w:t>of Incorporation)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2"/>
              </w:rPr>
              <w:t>File Number)</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5"/>
              </w:rPr>
              <w:t>Identification No.)</w:t>
            </w:r>
          </w:p>
        </w:tc>
      </w:tr>
      <w:tr>
        <w:trPr>
          <w:trHeight w:val="441"/>
        </w:trPr>
        <w:tc>
          <w:tcPr>
            <w:tcW w:w="2160" w:type="dxa"/>
            <w:vAlign w:val="bottom"/>
          </w:tcPr>
          <w:p>
            <w:pPr>
              <w:spacing w:after="0"/>
              <w:rPr>
                <w:sz w:val="24"/>
                <w:szCs w:val="24"/>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333 Bridge Street</w:t>
            </w:r>
          </w:p>
        </w:tc>
        <w:tc>
          <w:tcPr>
            <w:tcW w:w="1740" w:type="dxa"/>
            <w:vAlign w:val="bottom"/>
          </w:tcPr>
          <w:p>
            <w:pPr>
              <w:spacing w:after="0"/>
              <w:rPr>
                <w:sz w:val="24"/>
                <w:szCs w:val="24"/>
                <w:color w:val="auto"/>
              </w:rPr>
            </w:pPr>
          </w:p>
        </w:tc>
      </w:tr>
      <w:tr>
        <w:trPr>
          <w:trHeight w:val="220"/>
        </w:trPr>
        <w:tc>
          <w:tcPr>
            <w:tcW w:w="2160" w:type="dxa"/>
            <w:vAlign w:val="bottom"/>
          </w:tcPr>
          <w:p>
            <w:pPr>
              <w:spacing w:after="0"/>
              <w:rPr>
                <w:sz w:val="19"/>
                <w:szCs w:val="19"/>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88"/>
              </w:rPr>
              <w:t>Fairhaven, Massachusetts 02719</w:t>
            </w:r>
          </w:p>
        </w:tc>
        <w:tc>
          <w:tcPr>
            <w:tcW w:w="1740" w:type="dxa"/>
            <w:vAlign w:val="bottom"/>
          </w:tcPr>
          <w:p>
            <w:pPr>
              <w:spacing w:after="0"/>
              <w:rPr>
                <w:sz w:val="19"/>
                <w:szCs w:val="19"/>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3"/>
              </w:rPr>
              <w:t>(Address of Principal Executive Offices) (Zip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line="207" w:lineRule="exact"/>
              <w:rPr>
                <w:sz w:val="20"/>
                <w:szCs w:val="20"/>
                <w:color w:val="auto"/>
              </w:rPr>
            </w:pPr>
            <w:r>
              <w:rPr>
                <w:rFonts w:ascii="Arial" w:cs="Arial" w:eastAsia="Arial" w:hAnsi="Arial"/>
                <w:sz w:val="18"/>
                <w:szCs w:val="18"/>
                <w:b w:val="1"/>
                <w:bCs w:val="1"/>
                <w:color w:val="auto"/>
                <w:w w:val="91"/>
              </w:rPr>
              <w:t>(800) 225</w:t>
            </w:r>
            <w:r>
              <w:rPr>
                <w:rFonts w:ascii="MS PGothic" w:cs="MS PGothic" w:eastAsia="MS PGothic" w:hAnsi="MS PGothic"/>
                <w:sz w:val="18"/>
                <w:szCs w:val="18"/>
                <w:b w:val="1"/>
                <w:bCs w:val="1"/>
                <w:color w:val="auto"/>
                <w:w w:val="91"/>
              </w:rPr>
              <w:t>‑</w:t>
            </w:r>
            <w:r>
              <w:rPr>
                <w:rFonts w:ascii="Arial" w:cs="Arial" w:eastAsia="Arial" w:hAnsi="Arial"/>
                <w:sz w:val="18"/>
                <w:szCs w:val="18"/>
                <w:b w:val="1"/>
                <w:bCs w:val="1"/>
                <w:color w:val="auto"/>
                <w:w w:val="91"/>
              </w:rPr>
              <w:t>8500</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color w:val="auto"/>
                <w:w w:val="91"/>
              </w:rPr>
              <w:t>(Registrant’s Telephone Number, Including Area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Not Applicable</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40" w:type="dxa"/>
            <w:vAlign w:val="bottom"/>
          </w:tcPr>
          <w:p>
            <w:pPr>
              <w:spacing w:after="0"/>
              <w:rPr>
                <w:sz w:val="20"/>
                <w:szCs w:val="20"/>
                <w:color w:val="auto"/>
              </w:rPr>
            </w:pPr>
          </w:p>
        </w:tc>
      </w:tr>
    </w:tbl>
    <w:p>
      <w:pPr>
        <w:spacing w:after="0" w:line="202"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60"/>
          </w:cols>
          <w:pgMar w:left="240" w:top="747"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ind w:right="380" w:firstLine="648"/>
        <w:spacing w:after="0" w:line="308" w:lineRule="auto"/>
        <w:rPr>
          <w:sz w:val="20"/>
          <w:szCs w:val="20"/>
          <w:color w:val="auto"/>
        </w:rPr>
      </w:pPr>
      <w:r>
        <w:rPr>
          <w:rFonts w:ascii="Arial" w:cs="Arial" w:eastAsia="Arial" w:hAnsi="Arial"/>
          <w:sz w:val="17"/>
          <w:szCs w:val="17"/>
          <w:color w:val="auto"/>
        </w:rPr>
        <w:t>On November 1, 2018, Acushnet Holdings Corp. (the “Company”) issued a press release announcing the Company’s results of operations for its third quarter ended September 30, 2018. A copy of the press release is attached to this Current Report on Form 8-K as Exhibit 99.1.</w:t>
      </w:r>
    </w:p>
    <w:p>
      <w:pPr>
        <w:spacing w:after="0" w:line="147"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The information contained in this Current Report on Form 8-K and Exhibit 99.1 shall not be deemed “filed” for the purpose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60" w:type="dxa"/>
            <w:vAlign w:val="bottom"/>
            <w:gridSpan w:val="4"/>
          </w:tcPr>
          <w:p>
            <w:pPr>
              <w:jc w:val="center"/>
              <w:ind w:right="440"/>
              <w:spacing w:after="0"/>
              <w:rPr>
                <w:sz w:val="20"/>
                <w:szCs w:val="20"/>
                <w:color w:val="auto"/>
              </w:rPr>
            </w:pPr>
            <w:r>
              <w:rPr>
                <w:rFonts w:ascii="Arial" w:cs="Arial" w:eastAsia="Arial" w:hAnsi="Arial"/>
                <w:sz w:val="14"/>
                <w:szCs w:val="14"/>
                <w:b w:val="1"/>
                <w:bCs w:val="1"/>
                <w:color w:val="auto"/>
                <w:w w:val="98"/>
              </w:rPr>
              <w:t>Exhibit</w:t>
            </w:r>
          </w:p>
        </w:tc>
        <w:tc>
          <w:tcPr>
            <w:tcW w:w="40" w:type="dxa"/>
            <w:vAlign w:val="bottom"/>
          </w:tcPr>
          <w:p>
            <w:pPr>
              <w:spacing w:after="0"/>
              <w:rPr>
                <w:sz w:val="14"/>
                <w:szCs w:val="14"/>
                <w:color w:val="auto"/>
              </w:rPr>
            </w:pPr>
          </w:p>
        </w:tc>
        <w:tc>
          <w:tcPr>
            <w:tcW w:w="10120" w:type="dxa"/>
            <w:vAlign w:val="bottom"/>
            <w:gridSpan w:val="2"/>
            <w:vMerge w:val="restart"/>
          </w:tcPr>
          <w:p>
            <w:pPr>
              <w:ind w:left="46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92"/>
        </w:trPr>
        <w:tc>
          <w:tcPr>
            <w:tcW w:w="260" w:type="dxa"/>
            <w:vAlign w:val="bottom"/>
          </w:tcPr>
          <w:p>
            <w:pPr>
              <w:spacing w:after="0"/>
              <w:rPr>
                <w:sz w:val="16"/>
                <w:szCs w:val="16"/>
                <w:color w:val="auto"/>
              </w:rPr>
            </w:pPr>
          </w:p>
        </w:tc>
        <w:tc>
          <w:tcPr>
            <w:tcW w:w="1000" w:type="dxa"/>
            <w:vAlign w:val="bottom"/>
            <w:gridSpan w:val="3"/>
          </w:tcPr>
          <w:p>
            <w:pPr>
              <w:jc w:val="center"/>
              <w:ind w:right="700"/>
              <w:spacing w:after="0"/>
              <w:rPr>
                <w:sz w:val="20"/>
                <w:szCs w:val="20"/>
                <w:color w:val="auto"/>
              </w:rPr>
            </w:pPr>
            <w:r>
              <w:rPr>
                <w:rFonts w:ascii="Arial" w:cs="Arial" w:eastAsia="Arial" w:hAnsi="Arial"/>
                <w:sz w:val="14"/>
                <w:szCs w:val="14"/>
                <w:b w:val="1"/>
                <w:bCs w:val="1"/>
                <w:color w:val="auto"/>
                <w:w w:val="97"/>
              </w:rPr>
              <w:t>No.</w:t>
            </w:r>
          </w:p>
        </w:tc>
        <w:tc>
          <w:tcPr>
            <w:tcW w:w="40" w:type="dxa"/>
            <w:vAlign w:val="bottom"/>
          </w:tcPr>
          <w:p>
            <w:pPr>
              <w:spacing w:after="0"/>
              <w:rPr>
                <w:sz w:val="16"/>
                <w:szCs w:val="16"/>
                <w:color w:val="auto"/>
              </w:rPr>
            </w:pPr>
          </w:p>
        </w:tc>
        <w:tc>
          <w:tcPr>
            <w:tcW w:w="10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72"/>
        </w:trPr>
        <w:tc>
          <w:tcPr>
            <w:tcW w:w="580" w:type="dxa"/>
            <w:vAlign w:val="bottom"/>
            <w:tcBorders>
              <w:top w:val="single" w:sz="8" w:color="auto"/>
            </w:tcBorders>
            <w:gridSpan w:val="2"/>
          </w:tcPr>
          <w:p>
            <w:pPr>
              <w:jc w:val="center"/>
              <w:ind w:left="179"/>
              <w:spacing w:after="0"/>
              <w:rPr>
                <w:rFonts w:ascii="Arial" w:cs="Arial" w:eastAsia="Arial" w:hAnsi="Arial"/>
                <w:sz w:val="18"/>
                <w:szCs w:val="18"/>
                <w:color w:val="0000FF"/>
                <w:w w:val="91"/>
              </w:rPr>
            </w:pPr>
            <w:hyperlink w:anchor="page4">
              <w:r>
                <w:rPr>
                  <w:rFonts w:ascii="Arial" w:cs="Arial" w:eastAsia="Arial" w:hAnsi="Arial"/>
                  <w:sz w:val="18"/>
                  <w:szCs w:val="18"/>
                  <w:color w:val="0000FF"/>
                  <w:w w:val="91"/>
                </w:rPr>
                <w:t>99.</w:t>
              </w:r>
              <w:r>
                <w:rPr>
                  <w:rFonts w:ascii="Arial" w:cs="Arial" w:eastAsia="Arial" w:hAnsi="Arial"/>
                  <w:sz w:val="18"/>
                  <w:szCs w:val="18"/>
                  <w:u w:val="single" w:color="auto"/>
                  <w:color w:val="0000FF"/>
                  <w:w w:val="91"/>
                </w:rPr>
                <w:t>1</w:t>
              </w:r>
            </w:hyperlink>
          </w:p>
        </w:tc>
        <w:tc>
          <w:tcPr>
            <w:tcW w:w="24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0160" w:type="dxa"/>
            <w:vAlign w:val="bottom"/>
            <w:tcBorders>
              <w:top w:val="single" w:sz="8" w:color="auto"/>
            </w:tcBorders>
            <w:gridSpan w:val="3"/>
          </w:tcPr>
          <w:p>
            <w:pPr>
              <w:ind w:left="40"/>
              <w:spacing w:after="0"/>
              <w:rPr>
                <w:rFonts w:ascii="Arial" w:cs="Arial" w:eastAsia="Arial" w:hAnsi="Arial"/>
                <w:sz w:val="18"/>
                <w:szCs w:val="18"/>
                <w:color w:val="0000FF"/>
                <w:w w:val="93"/>
              </w:rPr>
            </w:pPr>
            <w:hyperlink w:anchor="page4">
              <w:r>
                <w:rPr>
                  <w:rFonts w:ascii="Arial" w:cs="Arial" w:eastAsia="Arial" w:hAnsi="Arial"/>
                  <w:sz w:val="18"/>
                  <w:szCs w:val="18"/>
                  <w:color w:val="0000FF"/>
                  <w:w w:val="93"/>
                </w:rPr>
                <w:t>Press release of Acushnet Holdings Corp. dated November 1, 2018, announcing results for the third quarter ended September 30, 2018.</w:t>
              </w:r>
            </w:hyperlink>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72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3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ACUSHNET HOLDINGS CORP.</w:t>
      </w:r>
    </w:p>
    <w:p>
      <w:pPr>
        <w:spacing w:after="0" w:line="360" w:lineRule="exact"/>
        <w:rPr>
          <w:sz w:val="20"/>
          <w:szCs w:val="20"/>
          <w:color w:val="auto"/>
        </w:rPr>
      </w:pPr>
    </w:p>
    <w:tbl>
      <w:tblPr>
        <w:tblLayout w:type="fixed"/>
        <w:tblInd w:w="598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r>
              <w:rPr>
                <w:rFonts w:ascii="Arial" w:cs="Arial" w:eastAsia="Arial" w:hAnsi="Arial"/>
                <w:sz w:val="18"/>
                <w:szCs w:val="18"/>
                <w:color w:val="auto"/>
              </w:rPr>
              <w:t>By:</w:t>
            </w:r>
          </w:p>
        </w:tc>
        <w:tc>
          <w:tcPr>
            <w:tcW w:w="4560" w:type="dxa"/>
            <w:vAlign w:val="bottom"/>
          </w:tcPr>
          <w:p>
            <w:pPr>
              <w:ind w:left="20"/>
              <w:spacing w:after="0"/>
              <w:rPr>
                <w:sz w:val="20"/>
                <w:szCs w:val="20"/>
                <w:color w:val="auto"/>
              </w:rPr>
            </w:pPr>
            <w:r>
              <w:rPr>
                <w:rFonts w:ascii="Arial" w:cs="Arial" w:eastAsia="Arial" w:hAnsi="Arial"/>
                <w:sz w:val="18"/>
                <w:szCs w:val="18"/>
                <w:color w:val="auto"/>
              </w:rPr>
              <w:t>/s/ William Burke</w:t>
            </w:r>
          </w:p>
        </w:tc>
        <w:tc>
          <w:tcPr>
            <w:tcW w:w="0" w:type="dxa"/>
            <w:vAlign w:val="bottom"/>
          </w:tcPr>
          <w:p>
            <w:pPr>
              <w:spacing w:after="0"/>
              <w:rPr>
                <w:sz w:val="1"/>
                <w:szCs w:val="1"/>
                <w:color w:val="auto"/>
              </w:rPr>
            </w:pPr>
          </w:p>
        </w:tc>
      </w:tr>
      <w:tr>
        <w:trPr>
          <w:trHeight w:val="27"/>
        </w:trPr>
        <w:tc>
          <w:tcPr>
            <w:tcW w:w="88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4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80" w:type="dxa"/>
            <w:vAlign w:val="bottom"/>
            <w:vMerge w:val="continue"/>
          </w:tcPr>
          <w:p>
            <w:pPr>
              <w:spacing w:after="0"/>
              <w:rPr>
                <w:sz w:val="20"/>
                <w:szCs w:val="20"/>
                <w:color w:val="auto"/>
              </w:rPr>
            </w:pPr>
          </w:p>
        </w:tc>
        <w:tc>
          <w:tcPr>
            <w:tcW w:w="4560" w:type="dxa"/>
            <w:vAlign w:val="bottom"/>
          </w:tcPr>
          <w:p>
            <w:pPr>
              <w:ind w:left="20"/>
              <w:spacing w:after="0"/>
              <w:rPr>
                <w:sz w:val="20"/>
                <w:szCs w:val="20"/>
                <w:color w:val="auto"/>
              </w:rPr>
            </w:pPr>
            <w:r>
              <w:rPr>
                <w:rFonts w:ascii="Arial" w:cs="Arial" w:eastAsia="Arial" w:hAnsi="Arial"/>
                <w:sz w:val="18"/>
                <w:szCs w:val="18"/>
                <w:color w:val="auto"/>
              </w:rPr>
              <w:t>William Burke</w:t>
            </w:r>
          </w:p>
        </w:tc>
        <w:tc>
          <w:tcPr>
            <w:tcW w:w="0" w:type="dxa"/>
            <w:vAlign w:val="bottom"/>
          </w:tcPr>
          <w:p>
            <w:pPr>
              <w:spacing w:after="0"/>
              <w:rPr>
                <w:sz w:val="1"/>
                <w:szCs w:val="1"/>
                <w:color w:val="auto"/>
              </w:rPr>
            </w:pPr>
          </w:p>
        </w:tc>
      </w:tr>
      <w:tr>
        <w:trPr>
          <w:trHeight w:val="256"/>
        </w:trPr>
        <w:tc>
          <w:tcPr>
            <w:tcW w:w="880" w:type="dxa"/>
            <w:vAlign w:val="bottom"/>
          </w:tcPr>
          <w:p>
            <w:pPr>
              <w:spacing w:after="0"/>
              <w:rPr>
                <w:sz w:val="20"/>
                <w:szCs w:val="20"/>
                <w:color w:val="auto"/>
              </w:rPr>
            </w:pPr>
            <w:r>
              <w:rPr>
                <w:rFonts w:ascii="Arial" w:cs="Arial" w:eastAsia="Arial" w:hAnsi="Arial"/>
                <w:sz w:val="18"/>
                <w:szCs w:val="18"/>
                <w:color w:val="auto"/>
              </w:rPr>
              <w:t>Title:</w:t>
            </w:r>
          </w:p>
        </w:tc>
        <w:tc>
          <w:tcPr>
            <w:tcW w:w="4560" w:type="dxa"/>
            <w:vAlign w:val="bottom"/>
          </w:tcPr>
          <w:p>
            <w:pPr>
              <w:ind w:left="20"/>
              <w:spacing w:after="0"/>
              <w:rPr>
                <w:sz w:val="20"/>
                <w:szCs w:val="20"/>
                <w:color w:val="auto"/>
              </w:rPr>
            </w:pPr>
            <w:r>
              <w:rPr>
                <w:rFonts w:ascii="Arial" w:cs="Arial" w:eastAsia="Arial" w:hAnsi="Arial"/>
                <w:sz w:val="18"/>
                <w:szCs w:val="18"/>
                <w:color w:val="auto"/>
              </w:rPr>
              <w:t>Executive Vice President, Chief Financial Officer</w:t>
            </w:r>
          </w:p>
        </w:tc>
        <w:tc>
          <w:tcPr>
            <w:tcW w:w="0" w:type="dxa"/>
            <w:vAlign w:val="bottom"/>
          </w:tcPr>
          <w:p>
            <w:pPr>
              <w:spacing w:after="0"/>
              <w:rPr>
                <w:sz w:val="1"/>
                <w:szCs w:val="1"/>
                <w:color w:val="auto"/>
              </w:rPr>
            </w:pPr>
          </w:p>
        </w:tc>
      </w:tr>
      <w:tr>
        <w:trPr>
          <w:trHeight w:val="230"/>
        </w:trPr>
        <w:tc>
          <w:tcPr>
            <w:tcW w:w="880" w:type="dxa"/>
            <w:vAlign w:val="bottom"/>
          </w:tcPr>
          <w:p>
            <w:pPr>
              <w:spacing w:after="0"/>
              <w:rPr>
                <w:sz w:val="20"/>
                <w:szCs w:val="20"/>
                <w:color w:val="auto"/>
              </w:rPr>
            </w:pPr>
          </w:p>
        </w:tc>
        <w:tc>
          <w:tcPr>
            <w:tcW w:w="4560" w:type="dxa"/>
            <w:vAlign w:val="bottom"/>
          </w:tcPr>
          <w:p>
            <w:pPr>
              <w:ind w:left="20"/>
              <w:spacing w:after="0"/>
              <w:rPr>
                <w:sz w:val="20"/>
                <w:szCs w:val="20"/>
                <w:color w:val="auto"/>
              </w:rPr>
            </w:pPr>
            <w:r>
              <w:rPr>
                <w:rFonts w:ascii="Arial" w:cs="Arial" w:eastAsia="Arial" w:hAnsi="Arial"/>
                <w:sz w:val="18"/>
                <w:szCs w:val="18"/>
                <w:color w:val="auto"/>
              </w:rPr>
              <w:t>and Treasurer</w:t>
            </w:r>
          </w:p>
        </w:tc>
        <w:tc>
          <w:tcPr>
            <w:tcW w:w="0" w:type="dxa"/>
            <w:vAlign w:val="bottom"/>
          </w:tcPr>
          <w:p>
            <w:pPr>
              <w:spacing w:after="0"/>
              <w:rPr>
                <w:sz w:val="1"/>
                <w:szCs w:val="1"/>
                <w:color w:val="auto"/>
              </w:rPr>
            </w:pPr>
          </w:p>
        </w:tc>
      </w:tr>
    </w:tbl>
    <w:p>
      <w:pPr>
        <w:spacing w:after="0" w:line="26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 2018</w:t>
      </w:r>
    </w:p>
    <w:p>
      <w:pPr>
        <w:sectPr>
          <w:pgSz w:w="11900" w:h="16838" w:orient="portrait"/>
          <w:cols w:equalWidth="0" w:num="1">
            <w:col w:w="11420"/>
          </w:cols>
          <w:pgMar w:left="240" w:top="580"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Acushnet Holdings Corp. Announces</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Third Quarter and Year-to-Date 2018 Financial Results,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Declares Quarterly Cash Dividend</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Third Quarter 2018 Financial Results</w:t>
      </w:r>
    </w:p>
    <w:p>
      <w:pPr>
        <w:spacing w:after="0" w:line="220"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net sales of $370.4 million, up 6.7% year over year, up 7.0% in constant currency</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net sales of $1,290.4 million, up 6.7% year over year, up 4.4% in constant currency</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net income attributable to Acushnet Holdings Corp. of $7.1 million, down 23.6% year over year</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net income attributable to Acushnet Holdings Corp. of $88.5 million, up 10.1% year over year</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Adjusted EBITDA of $38.3 million, up 18.9% year over year</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Adjusted EBITDA of $194.8 million, up 6.7% year over year</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Quarterly Cash Dividend</w:t>
      </w:r>
    </w:p>
    <w:p>
      <w:pPr>
        <w:spacing w:after="0" w:line="220" w:lineRule="exact"/>
        <w:rPr>
          <w:sz w:val="20"/>
          <w:szCs w:val="20"/>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22"/>
          <w:szCs w:val="22"/>
          <w:color w:val="auto"/>
        </w:rPr>
        <w:t>Quarterly cash dividend of $0.13 per share; $9.7 million on an aggregate basis for the quarter</w:t>
      </w:r>
    </w:p>
    <w:p>
      <w:pPr>
        <w:spacing w:after="0" w:line="214" w:lineRule="exact"/>
        <w:rPr>
          <w:sz w:val="20"/>
          <w:szCs w:val="20"/>
          <w:color w:val="auto"/>
        </w:rPr>
      </w:pPr>
    </w:p>
    <w:p>
      <w:pPr>
        <w:jc w:val="both"/>
        <w:ind w:right="160"/>
        <w:spacing w:after="0" w:line="256" w:lineRule="auto"/>
        <w:rPr>
          <w:sz w:val="20"/>
          <w:szCs w:val="20"/>
          <w:color w:val="auto"/>
        </w:rPr>
      </w:pPr>
      <w:r>
        <w:rPr>
          <w:rFonts w:ascii="Arial" w:cs="Arial" w:eastAsia="Arial" w:hAnsi="Arial"/>
          <w:sz w:val="22"/>
          <w:szCs w:val="22"/>
          <w:b w:val="1"/>
          <w:bCs w:val="1"/>
          <w:color w:val="auto"/>
        </w:rPr>
        <w:t xml:space="preserve">FAIRHAVEN, MA – November 1, 2018 </w:t>
      </w:r>
      <w:r>
        <w:rPr>
          <w:rFonts w:ascii="Arial" w:cs="Arial" w:eastAsia="Arial" w:hAnsi="Arial"/>
          <w:sz w:val="22"/>
          <w:szCs w:val="22"/>
          <w:color w:val="auto"/>
        </w:rPr>
        <w:t>– Acushnet Holdings Corp. (NYSE: GOLF) ("Acushnet"), a global leader in the design,</w:t>
      </w:r>
      <w:r>
        <w:rPr>
          <w:rFonts w:ascii="Arial" w:cs="Arial" w:eastAsia="Arial" w:hAnsi="Arial"/>
          <w:sz w:val="22"/>
          <w:szCs w:val="22"/>
          <w:b w:val="1"/>
          <w:bCs w:val="1"/>
          <w:color w:val="auto"/>
        </w:rPr>
        <w:t xml:space="preserve"> </w:t>
      </w:r>
      <w:r>
        <w:rPr>
          <w:rFonts w:ascii="Arial" w:cs="Arial" w:eastAsia="Arial" w:hAnsi="Arial"/>
          <w:sz w:val="22"/>
          <w:szCs w:val="22"/>
          <w:color w:val="auto"/>
        </w:rPr>
        <w:t>development, manufacture and distribution of performance-driven golf products, today reported financial results for the three and nine months ended September 30, 2018.</w:t>
      </w:r>
    </w:p>
    <w:p>
      <w:pPr>
        <w:spacing w:after="0" w:line="182" w:lineRule="exact"/>
        <w:rPr>
          <w:sz w:val="20"/>
          <w:szCs w:val="20"/>
          <w:color w:val="auto"/>
        </w:rPr>
      </w:pPr>
    </w:p>
    <w:p>
      <w:pPr>
        <w:ind w:right="40"/>
        <w:spacing w:after="0" w:line="292" w:lineRule="auto"/>
        <w:rPr>
          <w:sz w:val="20"/>
          <w:szCs w:val="20"/>
          <w:color w:val="auto"/>
        </w:rPr>
      </w:pPr>
      <w:r>
        <w:rPr>
          <w:rFonts w:ascii="Arial" w:cs="Arial" w:eastAsia="Arial" w:hAnsi="Arial"/>
          <w:sz w:val="19"/>
          <w:szCs w:val="19"/>
          <w:color w:val="auto"/>
        </w:rPr>
        <w:t>“I am pleased to report that the Acushnet team continues to execute well on our enduring mission to steward two of the most revered brands in golf - Titleist and FootJoy,” said David Maher, Acushnet’s President and Chief Executive Officer. “Our solid third quarter results, performance year to date and positive momentum highlight the strength of our strategy and proven ability to execute. At our core, Titleist Pro V1 golf balls continue to lead the field by a wide margin, accounting for 73% of balls played on the worldwide tours during the 2018 season and 71% of worldwide wins, including all four men’s Major Championships and all five women’s Major Championships. We believe this continued pyramid of influence validation drives dedicated golfers around the world to understand and appreciate Titleist Pro V1 as the clear performance and quality leader.”</w:t>
      </w:r>
    </w:p>
    <w:p>
      <w:pPr>
        <w:spacing w:after="0" w:line="151" w:lineRule="exact"/>
        <w:rPr>
          <w:sz w:val="20"/>
          <w:szCs w:val="20"/>
          <w:color w:val="auto"/>
        </w:rPr>
      </w:pPr>
    </w:p>
    <w:p>
      <w:pPr>
        <w:ind w:right="120"/>
        <w:spacing w:after="0" w:line="263" w:lineRule="auto"/>
        <w:rPr>
          <w:sz w:val="20"/>
          <w:szCs w:val="20"/>
          <w:color w:val="auto"/>
        </w:rPr>
      </w:pPr>
      <w:r>
        <w:rPr>
          <w:rFonts w:ascii="Arial" w:cs="Arial" w:eastAsia="Arial" w:hAnsi="Arial"/>
          <w:sz w:val="21"/>
          <w:szCs w:val="21"/>
          <w:color w:val="auto"/>
        </w:rPr>
        <w:t>“Our results in the quarter and year to date were driven by our equipment innovation engine, which has successfully launched new Titleist Ball, Club and Gear and FootJoy Performance Wear products throughout 2018”, continued Maher. “Keys to our sales growth in the quarter included the launch of our new TS drivers and fairways - one of our more successful and comprehensive metals introductions - and the continued strong performance of the new AVX, Tour Soft and Velocity golf balls. In addition, the new 2018 Vokey SM7 wedges, Scotty Cameron Select putters and Titleist 718</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796" w:right="239" w:bottom="1440" w:gutter="0" w:footer="0" w:header="0"/>
        </w:sectPr>
      </w:pPr>
    </w:p>
    <w:bookmarkStart w:id="4" w:name="page5"/>
    <w:bookmarkEnd w:id="4"/>
    <w:p>
      <w:pPr>
        <w:spacing w:after="0" w:line="312" w:lineRule="auto"/>
        <w:rPr>
          <w:sz w:val="20"/>
          <w:szCs w:val="20"/>
          <w:color w:val="auto"/>
        </w:rPr>
      </w:pPr>
      <w:r>
        <w:rPr>
          <w:rFonts w:ascii="Arial" w:cs="Arial" w:eastAsia="Arial" w:hAnsi="Arial"/>
          <w:sz w:val="19"/>
          <w:szCs w:val="19"/>
          <w:color w:val="auto"/>
        </w:rPr>
        <w:t>irons all continued their strong performance in the quarter. We note that each of these successful, new products was launched within the past 12 months. Looking forward, we are optimistic about our pipeline of new products across all categories and are confident in our ability to maintain this innovation, performance and quality momentum as we head into next season.”</w:t>
      </w:r>
    </w:p>
    <w:p>
      <w:pPr>
        <w:spacing w:after="0" w:line="4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Summary of Third Quarter 2018 Financial Results</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8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w w:val="98"/>
              </w:rPr>
              <w:t>Three months ended</w:t>
            </w:r>
          </w:p>
        </w:tc>
        <w:tc>
          <w:tcPr>
            <w:tcW w:w="140" w:type="dxa"/>
            <w:vAlign w:val="bottom"/>
          </w:tcPr>
          <w:p>
            <w:pPr>
              <w:spacing w:after="0"/>
              <w:rPr>
                <w:sz w:val="14"/>
                <w:szCs w:val="14"/>
                <w:color w:val="auto"/>
              </w:rPr>
            </w:pPr>
          </w:p>
        </w:tc>
        <w:tc>
          <w:tcPr>
            <w:tcW w:w="1860" w:type="dxa"/>
            <w:vAlign w:val="bottom"/>
            <w:gridSpan w:val="3"/>
            <w:vMerge w:val="restart"/>
          </w:tcPr>
          <w:p>
            <w:pPr>
              <w:jc w:val="right"/>
              <w:ind w:right="308"/>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vMerge w:val="restart"/>
          </w:tcPr>
          <w:p>
            <w:pPr>
              <w:spacing w:after="0"/>
              <w:rPr>
                <w:sz w:val="14"/>
                <w:szCs w:val="14"/>
                <w:color w:val="auto"/>
              </w:rPr>
            </w:pPr>
          </w:p>
        </w:tc>
        <w:tc>
          <w:tcPr>
            <w:tcW w:w="140" w:type="dxa"/>
            <w:vAlign w:val="bottom"/>
            <w:vMerge w:val="restart"/>
          </w:tcPr>
          <w:p>
            <w:pPr>
              <w:spacing w:after="0"/>
              <w:rPr>
                <w:sz w:val="14"/>
                <w:szCs w:val="14"/>
                <w:color w:val="auto"/>
              </w:rPr>
            </w:pPr>
          </w:p>
        </w:tc>
        <w:tc>
          <w:tcPr>
            <w:tcW w:w="1800" w:type="dxa"/>
            <w:vAlign w:val="bottom"/>
            <w:gridSpan w:val="3"/>
          </w:tcPr>
          <w:p>
            <w:pPr>
              <w:ind w:left="24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92"/>
        </w:trPr>
        <w:tc>
          <w:tcPr>
            <w:tcW w:w="53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3"/>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vMerge w:val="continue"/>
          </w:tcPr>
          <w:p>
            <w:pPr>
              <w:spacing w:after="0"/>
              <w:rPr>
                <w:sz w:val="16"/>
                <w:szCs w:val="16"/>
                <w:color w:val="auto"/>
              </w:rPr>
            </w:pPr>
          </w:p>
        </w:tc>
        <w:tc>
          <w:tcPr>
            <w:tcW w:w="1800" w:type="dxa"/>
            <w:vAlign w:val="bottom"/>
            <w:tcBorders>
              <w:bottom w:val="single" w:sz="8" w:color="auto"/>
            </w:tcBorders>
            <w:gridSpan w:val="3"/>
          </w:tcPr>
          <w:p>
            <w:pPr>
              <w:ind w:left="2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264"/>
        </w:trPr>
        <w:tc>
          <w:tcPr>
            <w:tcW w:w="53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2"/>
              </w:rPr>
              <w:t>$ change</w:t>
            </w:r>
          </w:p>
        </w:tc>
        <w:tc>
          <w:tcPr>
            <w:tcW w:w="10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256"/>
        </w:trPr>
        <w:tc>
          <w:tcPr>
            <w:tcW w:w="5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sales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370.4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347.3</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23.1</w:t>
            </w:r>
          </w:p>
        </w:tc>
        <w:tc>
          <w:tcPr>
            <w:tcW w:w="100" w:type="dxa"/>
            <w:vAlign w:val="bottom"/>
            <w:shd w:val="clear" w:color="auto" w:fill="CCEEFF"/>
          </w:tcPr>
          <w:p>
            <w:pPr>
              <w:spacing w:after="0"/>
              <w:rPr>
                <w:sz w:val="22"/>
                <w:szCs w:val="22"/>
                <w:color w:val="auto"/>
              </w:rPr>
            </w:pPr>
          </w:p>
        </w:tc>
        <w:tc>
          <w:tcPr>
            <w:tcW w:w="1260" w:type="dxa"/>
            <w:vAlign w:val="bottom"/>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6.7 %   $</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24.4</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64"/>
        </w:trPr>
        <w:tc>
          <w:tcPr>
            <w:tcW w:w="5360" w:type="dxa"/>
            <w:vAlign w:val="bottom"/>
          </w:tcPr>
          <w:p>
            <w:pPr>
              <w:ind w:left="40"/>
              <w:spacing w:after="0"/>
              <w:rPr>
                <w:sz w:val="20"/>
                <w:szCs w:val="20"/>
                <w:color w:val="auto"/>
              </w:rPr>
            </w:pPr>
            <w:r>
              <w:rPr>
                <w:rFonts w:ascii="Arial" w:cs="Arial" w:eastAsia="Arial" w:hAnsi="Arial"/>
                <w:sz w:val="14"/>
                <w:szCs w:val="14"/>
                <w:color w:val="auto"/>
              </w:rPr>
              <w:t>Net income attributable to Acushnet Holdings Corp</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9.3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(23.6)%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Adjusted EBITDA</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18.9 %</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5" w:lineRule="exact"/>
        <w:rPr>
          <w:sz w:val="20"/>
          <w:szCs w:val="20"/>
          <w:color w:val="auto"/>
        </w:rPr>
      </w:pPr>
    </w:p>
    <w:p>
      <w:pPr>
        <w:ind w:right="60"/>
        <w:spacing w:after="0" w:line="250" w:lineRule="auto"/>
        <w:rPr>
          <w:sz w:val="20"/>
          <w:szCs w:val="20"/>
          <w:color w:val="auto"/>
        </w:rPr>
      </w:pPr>
      <w:r>
        <w:rPr>
          <w:rFonts w:ascii="Arial" w:cs="Arial" w:eastAsia="Arial" w:hAnsi="Arial"/>
          <w:sz w:val="22"/>
          <w:szCs w:val="22"/>
          <w:color w:val="auto"/>
        </w:rPr>
        <w:t>Consolidated net sales for the quarter increased by 6.7%, up 7.0% on a constant currency basis, driven by increased sales of Titleist golf clubs primarily driven by higher sales volume of drivers and fairways resulting from our newly introduced TS models and wedges and increased sales of Titleist golf balls primarily driven by a sales volume increase attributed to our AVX premium performance golf balls.</w:t>
      </w:r>
    </w:p>
    <w:p>
      <w:pPr>
        <w:spacing w:after="0" w:line="188" w:lineRule="exact"/>
        <w:rPr>
          <w:sz w:val="20"/>
          <w:szCs w:val="20"/>
          <w:color w:val="auto"/>
        </w:rPr>
      </w:pPr>
    </w:p>
    <w:p>
      <w:pPr>
        <w:spacing w:after="0" w:line="253" w:lineRule="auto"/>
        <w:rPr>
          <w:sz w:val="20"/>
          <w:szCs w:val="20"/>
          <w:color w:val="auto"/>
        </w:rPr>
      </w:pPr>
      <w:r>
        <w:rPr>
          <w:rFonts w:ascii="Arial" w:cs="Arial" w:eastAsia="Arial" w:hAnsi="Arial"/>
          <w:sz w:val="22"/>
          <w:szCs w:val="22"/>
          <w:color w:val="auto"/>
        </w:rPr>
        <w:t>On a geographic basis, consolidated net sales in the United States increased by 10.7% in the quarter. Net sales in regions outside the United States were up 2.1%, up 2.9% on a constant currency basis. On a constant currency basis, Korea was up 4.2% and EMEA up 3.8%.</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20" w:lineRule="exact"/>
        <w:rPr>
          <w:sz w:val="20"/>
          <w:szCs w:val="20"/>
          <w:color w:val="auto"/>
        </w:rPr>
      </w:pPr>
    </w:p>
    <w:p>
      <w:pPr>
        <w:ind w:left="660" w:right="520" w:hanging="328"/>
        <w:spacing w:after="0" w:line="343" w:lineRule="auto"/>
        <w:tabs>
          <w:tab w:leader="none" w:pos="660" w:val="left"/>
        </w:tabs>
        <w:numPr>
          <w:ilvl w:val="0"/>
          <w:numId w:val="4"/>
        </w:numPr>
        <w:rPr>
          <w:rFonts w:ascii="Arial" w:cs="Arial" w:eastAsia="Arial" w:hAnsi="Arial"/>
          <w:sz w:val="19"/>
          <w:szCs w:val="19"/>
          <w:color w:val="auto"/>
        </w:rPr>
      </w:pPr>
      <w:r>
        <w:rPr>
          <w:rFonts w:ascii="Arial" w:cs="Arial" w:eastAsia="Arial" w:hAnsi="Arial"/>
          <w:sz w:val="19"/>
          <w:szCs w:val="19"/>
          <w:color w:val="auto"/>
        </w:rPr>
        <w:t>6.0% increase in net sales (6.2% increase on a constant currency basis) of Titleist golf balls primarily driven by a sales volume increase attributed to our new AVX premium performance golf balls launched in the second quarter.</w:t>
      </w:r>
    </w:p>
    <w:p>
      <w:pPr>
        <w:spacing w:after="0" w:line="104" w:lineRule="exact"/>
        <w:rPr>
          <w:rFonts w:ascii="Arial" w:cs="Arial" w:eastAsia="Arial" w:hAnsi="Arial"/>
          <w:sz w:val="19"/>
          <w:szCs w:val="19"/>
          <w:color w:val="auto"/>
        </w:rPr>
      </w:pPr>
    </w:p>
    <w:p>
      <w:pPr>
        <w:ind w:left="660" w:right="280" w:hanging="328"/>
        <w:spacing w:after="0" w:line="312" w:lineRule="auto"/>
        <w:tabs>
          <w:tab w:leader="none" w:pos="660" w:val="left"/>
        </w:tabs>
        <w:numPr>
          <w:ilvl w:val="0"/>
          <w:numId w:val="4"/>
        </w:numPr>
        <w:rPr>
          <w:rFonts w:ascii="Arial" w:cs="Arial" w:eastAsia="Arial" w:hAnsi="Arial"/>
          <w:sz w:val="19"/>
          <w:szCs w:val="19"/>
          <w:color w:val="auto"/>
        </w:rPr>
      </w:pPr>
      <w:r>
        <w:rPr>
          <w:rFonts w:ascii="Arial" w:cs="Arial" w:eastAsia="Arial" w:hAnsi="Arial"/>
          <w:sz w:val="19"/>
          <w:szCs w:val="19"/>
          <w:color w:val="auto"/>
        </w:rPr>
        <w:t>16.9% increase in net sales (17.4% increase on a constant currency basis) of Titleist golf clubs primarily driven by higher sales volume of drivers and fairways resulting from our newly introduced TS models launched in the third quarter and higher sales volume and higher average selling prices of our wedges launched in the first quarter of 2018.</w:t>
      </w:r>
    </w:p>
    <w:p>
      <w:pPr>
        <w:spacing w:after="0" w:line="133" w:lineRule="exact"/>
        <w:rPr>
          <w:rFonts w:ascii="Arial" w:cs="Arial" w:eastAsia="Arial" w:hAnsi="Arial"/>
          <w:sz w:val="19"/>
          <w:szCs w:val="19"/>
          <w:color w:val="auto"/>
        </w:rPr>
      </w:pPr>
    </w:p>
    <w:p>
      <w:pPr>
        <w:ind w:left="660" w:right="240" w:hanging="328"/>
        <w:spacing w:after="0" w:line="253"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1.3% decrease in net sales (1.0% decrease on a constant currency basis) of Titleist golf gear. This decrease was primarily due to a sales volume decline in travel gear, largely offset by a sales volume increase in Titleist gloves and higher average selling prices across all categories of the gear business.</w:t>
      </w:r>
    </w:p>
    <w:p>
      <w:pPr>
        <w:spacing w:after="0" w:line="185" w:lineRule="exact"/>
        <w:rPr>
          <w:rFonts w:ascii="Arial" w:cs="Arial" w:eastAsia="Arial" w:hAnsi="Arial"/>
          <w:sz w:val="22"/>
          <w:szCs w:val="22"/>
          <w:color w:val="auto"/>
        </w:rPr>
      </w:pPr>
    </w:p>
    <w:p>
      <w:pPr>
        <w:ind w:left="660" w:right="20" w:hanging="328"/>
        <w:spacing w:after="0" w:line="263"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0.8% decrease in net sales (0.3% decrease on a constant currency basis) in FootJoy golf wear primarily resulted from a sales volume decline in footwear partially offset by a sales volume increase in apparel.</w:t>
      </w:r>
    </w:p>
    <w:p>
      <w:pPr>
        <w:spacing w:after="0" w:line="175" w:lineRule="exact"/>
        <w:rPr>
          <w:sz w:val="20"/>
          <w:szCs w:val="20"/>
          <w:color w:val="auto"/>
        </w:rPr>
      </w:pPr>
    </w:p>
    <w:p>
      <w:pPr>
        <w:ind w:right="120"/>
        <w:spacing w:after="0" w:line="260" w:lineRule="auto"/>
        <w:rPr>
          <w:sz w:val="20"/>
          <w:szCs w:val="20"/>
          <w:color w:val="auto"/>
        </w:rPr>
      </w:pPr>
      <w:r>
        <w:rPr>
          <w:rFonts w:ascii="Arial" w:cs="Arial" w:eastAsia="Arial" w:hAnsi="Arial"/>
          <w:sz w:val="22"/>
          <w:szCs w:val="22"/>
          <w:color w:val="auto"/>
        </w:rPr>
        <w:t>Net income attributable to Acushnet decreased by $2.2 million to $7.1 million, down 23.6% year over year</w:t>
      </w:r>
      <w:r>
        <w:rPr>
          <w:rFonts w:ascii="Arial" w:cs="Arial" w:eastAsia="Arial" w:hAnsi="Arial"/>
          <w:sz w:val="18"/>
          <w:szCs w:val="18"/>
          <w:color w:val="auto"/>
        </w:rPr>
        <w:t>,</w:t>
      </w:r>
      <w:r>
        <w:rPr>
          <w:rFonts w:ascii="Arial" w:cs="Arial" w:eastAsia="Arial" w:hAnsi="Arial"/>
          <w:sz w:val="22"/>
          <w:szCs w:val="22"/>
          <w:color w:val="auto"/>
        </w:rPr>
        <w:t xml:space="preserve"> primarily as a result of an increase in income tax expense, which was partially offset by an increase in income before taxes. The increase in income tax expense was due to an unfavorable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807" w:right="239" w:bottom="1440" w:gutter="0" w:footer="0" w:header="0"/>
        </w:sectPr>
      </w:pPr>
    </w:p>
    <w:bookmarkStart w:id="5" w:name="page6"/>
    <w:bookmarkEnd w:id="5"/>
    <w:p>
      <w:pPr>
        <w:ind w:right="440"/>
        <w:spacing w:after="0" w:line="263" w:lineRule="auto"/>
        <w:rPr>
          <w:sz w:val="20"/>
          <w:szCs w:val="20"/>
          <w:color w:val="auto"/>
        </w:rPr>
      </w:pPr>
      <w:r>
        <w:rPr>
          <w:rFonts w:ascii="Arial" w:cs="Arial" w:eastAsia="Arial" w:hAnsi="Arial"/>
          <w:sz w:val="22"/>
          <w:szCs w:val="22"/>
          <w:color w:val="auto"/>
        </w:rPr>
        <w:t>discreet, non-cash, tax adjustment of $5.1 million, related to the transition tax originally recorded in 2017, which resulted from clarifications that were issued by the U.S. Treasury during the quarter.</w:t>
      </w:r>
    </w:p>
    <w:p>
      <w:pPr>
        <w:spacing w:after="0" w:line="175" w:lineRule="exact"/>
        <w:rPr>
          <w:sz w:val="20"/>
          <w:szCs w:val="20"/>
          <w:color w:val="auto"/>
        </w:rPr>
      </w:pPr>
    </w:p>
    <w:p>
      <w:pPr>
        <w:ind w:right="200"/>
        <w:spacing w:after="0" w:line="263" w:lineRule="auto"/>
        <w:rPr>
          <w:sz w:val="20"/>
          <w:szCs w:val="20"/>
          <w:color w:val="auto"/>
        </w:rPr>
      </w:pPr>
      <w:r>
        <w:rPr>
          <w:rFonts w:ascii="Arial" w:cs="Arial" w:eastAsia="Arial" w:hAnsi="Arial"/>
          <w:sz w:val="22"/>
          <w:szCs w:val="22"/>
          <w:color w:val="auto"/>
        </w:rPr>
        <w:t>Adjusted EBITDA was $38.3 million, up 18.9% year over year. Adjusted EBITDA margin was 10.4% for the third quarter versus 9.3% for the prior year period.</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Summary of First Nine Months 2018 Financial Results</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80" w:type="dxa"/>
            <w:vAlign w:val="bottom"/>
          </w:tcPr>
          <w:p>
            <w:pPr>
              <w:spacing w:after="0"/>
              <w:rPr>
                <w:sz w:val="14"/>
                <w:szCs w:val="14"/>
                <w:color w:val="auto"/>
              </w:rPr>
            </w:pPr>
          </w:p>
        </w:tc>
        <w:tc>
          <w:tcPr>
            <w:tcW w:w="2040" w:type="dxa"/>
            <w:vAlign w:val="bottom"/>
            <w:gridSpan w:val="7"/>
          </w:tcPr>
          <w:p>
            <w:pPr>
              <w:ind w:left="40"/>
              <w:spacing w:after="0"/>
              <w:rPr>
                <w:sz w:val="20"/>
                <w:szCs w:val="20"/>
                <w:color w:val="auto"/>
              </w:rPr>
            </w:pPr>
            <w:r>
              <w:rPr>
                <w:rFonts w:ascii="Arial" w:cs="Arial" w:eastAsia="Arial" w:hAnsi="Arial"/>
                <w:sz w:val="14"/>
                <w:szCs w:val="14"/>
                <w:b w:val="1"/>
                <w:bCs w:val="1"/>
                <w:color w:val="auto"/>
                <w:w w:val="96"/>
              </w:rPr>
              <w:t>Nine months ended September</w:t>
            </w:r>
          </w:p>
        </w:tc>
        <w:tc>
          <w:tcPr>
            <w:tcW w:w="140" w:type="dxa"/>
            <w:vAlign w:val="bottom"/>
          </w:tcPr>
          <w:p>
            <w:pPr>
              <w:spacing w:after="0"/>
              <w:rPr>
                <w:sz w:val="14"/>
                <w:szCs w:val="14"/>
                <w:color w:val="auto"/>
              </w:rPr>
            </w:pPr>
          </w:p>
        </w:tc>
        <w:tc>
          <w:tcPr>
            <w:tcW w:w="1800" w:type="dxa"/>
            <w:vAlign w:val="bottom"/>
            <w:gridSpan w:val="3"/>
            <w:vMerge w:val="restart"/>
          </w:tcPr>
          <w:p>
            <w:pPr>
              <w:jc w:val="right"/>
              <w:ind w:right="288"/>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vMerge w:val="restart"/>
          </w:tcPr>
          <w:p>
            <w:pPr>
              <w:spacing w:after="0"/>
              <w:rPr>
                <w:sz w:val="14"/>
                <w:szCs w:val="14"/>
                <w:color w:val="auto"/>
              </w:rPr>
            </w:pPr>
          </w:p>
        </w:tc>
        <w:tc>
          <w:tcPr>
            <w:tcW w:w="140" w:type="dxa"/>
            <w:vAlign w:val="bottom"/>
          </w:tcPr>
          <w:p>
            <w:pPr>
              <w:spacing w:after="0"/>
              <w:rPr>
                <w:sz w:val="14"/>
                <w:szCs w:val="14"/>
                <w:color w:val="auto"/>
              </w:rPr>
            </w:pPr>
          </w:p>
        </w:tc>
        <w:tc>
          <w:tcPr>
            <w:tcW w:w="1800" w:type="dxa"/>
            <w:vAlign w:val="bottom"/>
            <w:gridSpan w:val="3"/>
          </w:tcPr>
          <w:p>
            <w:pPr>
              <w:ind w:left="24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92"/>
        </w:trPr>
        <w:tc>
          <w:tcPr>
            <w:tcW w:w="53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30,</w:t>
            </w:r>
          </w:p>
        </w:tc>
        <w:tc>
          <w:tcPr>
            <w:tcW w:w="7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tcPr>
          <w:p>
            <w:pPr>
              <w:ind w:left="24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264"/>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2"/>
              </w:rPr>
              <w:t>$ change</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25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sales</w:t>
            </w:r>
          </w:p>
        </w:tc>
        <w:tc>
          <w:tcPr>
            <w:tcW w:w="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1,290.4</w:t>
            </w:r>
          </w:p>
        </w:tc>
        <w:tc>
          <w:tcPr>
            <w:tcW w:w="38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1,208.9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81.5</w:t>
            </w:r>
          </w:p>
        </w:tc>
        <w:tc>
          <w:tcPr>
            <w:tcW w:w="10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53.6</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color w:val="auto"/>
              </w:rPr>
              <w:t>Net income attributable to Acushnet Holdings Corp</w:t>
            </w:r>
          </w:p>
        </w:tc>
        <w:tc>
          <w:tcPr>
            <w:tcW w:w="220" w:type="dxa"/>
            <w:vAlign w:val="bottom"/>
          </w:tcPr>
          <w:p>
            <w:pPr>
              <w:ind w:left="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88.5</w:t>
            </w:r>
          </w:p>
        </w:tc>
        <w:tc>
          <w:tcPr>
            <w:tcW w:w="38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80.4</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10.1%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Adjusted EBITDA</w:t>
            </w:r>
          </w:p>
        </w:tc>
        <w:tc>
          <w:tcPr>
            <w:tcW w:w="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194.8</w:t>
            </w:r>
          </w:p>
        </w:tc>
        <w:tc>
          <w:tcPr>
            <w:tcW w:w="38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182.5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w:t>
            </w: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right="200"/>
        <w:spacing w:after="0" w:line="253" w:lineRule="auto"/>
        <w:rPr>
          <w:sz w:val="20"/>
          <w:szCs w:val="20"/>
          <w:color w:val="auto"/>
        </w:rPr>
      </w:pPr>
      <w:r>
        <w:rPr>
          <w:rFonts w:ascii="Arial" w:cs="Arial" w:eastAsia="Arial" w:hAnsi="Arial"/>
          <w:sz w:val="22"/>
          <w:szCs w:val="22"/>
          <w:color w:val="auto"/>
        </w:rPr>
        <w:t>Consolidated net sales for the first nine months increased by 6.7%, up 4.4% on a constant currency basis, driven by an increase of Titleist golf clubs due to higher sales volumes of irons and wedges and increased sales of Titleist golf balls driven by a sales volume increase attributed to our AVX premium performance golf balls.</w:t>
      </w:r>
    </w:p>
    <w:p>
      <w:pPr>
        <w:spacing w:after="0" w:line="186" w:lineRule="exact"/>
        <w:rPr>
          <w:sz w:val="20"/>
          <w:szCs w:val="20"/>
          <w:color w:val="auto"/>
        </w:rPr>
      </w:pPr>
    </w:p>
    <w:p>
      <w:pPr>
        <w:ind w:right="120"/>
        <w:spacing w:after="0" w:line="253" w:lineRule="auto"/>
        <w:rPr>
          <w:sz w:val="20"/>
          <w:szCs w:val="20"/>
          <w:color w:val="auto"/>
        </w:rPr>
      </w:pPr>
      <w:r>
        <w:rPr>
          <w:rFonts w:ascii="Arial" w:cs="Arial" w:eastAsia="Arial" w:hAnsi="Arial"/>
          <w:sz w:val="22"/>
          <w:szCs w:val="22"/>
          <w:color w:val="auto"/>
        </w:rPr>
        <w:t>On a geographic basis, consolidated net sales in the United States increased by 7.0% in the nine month period. Net sales in regions outside the United States were up 6.4%, up 1.6% on a constant currency basis with Korea up 2.5%, rest of world up 2.2%, and EMEA up 1.6%.</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20" w:lineRule="exact"/>
        <w:rPr>
          <w:sz w:val="20"/>
          <w:szCs w:val="20"/>
          <w:color w:val="auto"/>
        </w:rPr>
      </w:pPr>
    </w:p>
    <w:p>
      <w:pPr>
        <w:ind w:left="660" w:right="160" w:hanging="328"/>
        <w:spacing w:after="0" w:line="250" w:lineRule="auto"/>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3.7% increase in net sales (2.0% increase on a constant currency basis) of Titleist golf balls primarily driven by a sales volume increase attributed to our new AVX premium performance golf balls and our Tour Soft and Velocity performance golf balls launched in the second quarter and first quarter, respectively, partially offset by a sales volume decline in Pro V1 and Pro V1x golf balls which are in their second model year.</w:t>
      </w:r>
    </w:p>
    <w:p>
      <w:pPr>
        <w:spacing w:after="0" w:line="188" w:lineRule="exact"/>
        <w:rPr>
          <w:rFonts w:ascii="Arial" w:cs="Arial" w:eastAsia="Arial" w:hAnsi="Arial"/>
          <w:sz w:val="22"/>
          <w:szCs w:val="22"/>
          <w:color w:val="auto"/>
        </w:rPr>
      </w:pPr>
    </w:p>
    <w:p>
      <w:pPr>
        <w:ind w:left="660" w:right="40" w:hanging="328"/>
        <w:spacing w:after="0" w:line="250" w:lineRule="auto"/>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19.2% increase in net sales (16.9% increase on a constant currency basis) of Titleist golf clubs primarily driven by higher sales volumes of our iron series introduced in the third quarter of 2017, our wedges launched in the first quarter of 2018 and our newly introduced TS drivers and TS fairways, which were launched in the third quarter of 2018, partially offset by lower sales volumes of our previous generation drivers and fairways.</w:t>
      </w:r>
    </w:p>
    <w:p>
      <w:pPr>
        <w:spacing w:after="0" w:line="188" w:lineRule="exact"/>
        <w:rPr>
          <w:rFonts w:ascii="Arial" w:cs="Arial" w:eastAsia="Arial" w:hAnsi="Arial"/>
          <w:sz w:val="22"/>
          <w:szCs w:val="22"/>
          <w:color w:val="auto"/>
        </w:rPr>
      </w:pPr>
    </w:p>
    <w:p>
      <w:pPr>
        <w:ind w:left="660" w:right="320" w:hanging="328"/>
        <w:spacing w:after="0" w:line="253" w:lineRule="auto"/>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0.1% increase in net sales (2.4% decrease on a constant currency basis) of Titleist golf gear. The decrease in constant currency was primarily due to a sales volume decline in our travel gear and golf bag categories, partially offset by higher average selling prices across all categories of the gear business.</w:t>
      </w:r>
    </w:p>
    <w:p>
      <w:pPr>
        <w:spacing w:after="0" w:line="185" w:lineRule="exact"/>
        <w:rPr>
          <w:rFonts w:ascii="Arial" w:cs="Arial" w:eastAsia="Arial" w:hAnsi="Arial"/>
          <w:sz w:val="22"/>
          <w:szCs w:val="22"/>
          <w:color w:val="auto"/>
        </w:rPr>
      </w:pPr>
    </w:p>
    <w:p>
      <w:pPr>
        <w:ind w:left="660" w:right="140" w:hanging="328"/>
        <w:spacing w:after="0" w:line="253" w:lineRule="auto"/>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1.3% increase in net sales (1.3% decrease on a constant currency basis) in FootJoy golf wear. The decrease in constant currency primarily resulted from a sales volume decline in footwear, partially offset by higher average selling prices across all FootJoy categories and a sales volume increase in apparel.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807" w:right="239" w:bottom="1440" w:gutter="0" w:footer="0" w:header="0"/>
        </w:sectPr>
      </w:pPr>
    </w:p>
    <w:bookmarkStart w:id="6" w:name="page7"/>
    <w:bookmarkEnd w:id="6"/>
    <w:p>
      <w:pPr>
        <w:spacing w:after="0" w:line="254" w:lineRule="auto"/>
        <w:rPr>
          <w:sz w:val="20"/>
          <w:szCs w:val="20"/>
          <w:color w:val="auto"/>
        </w:rPr>
      </w:pPr>
      <w:r>
        <w:rPr>
          <w:rFonts w:ascii="Arial" w:cs="Arial" w:eastAsia="Arial" w:hAnsi="Arial"/>
          <w:sz w:val="22"/>
          <w:szCs w:val="22"/>
          <w:color w:val="auto"/>
        </w:rPr>
        <w:t>Net income attributable to Acushnet improved by $8.1 million to $88.5 million, up 10.1% year over year</w:t>
      </w:r>
      <w:r>
        <w:rPr>
          <w:rFonts w:ascii="Arial" w:cs="Arial" w:eastAsia="Arial" w:hAnsi="Arial"/>
          <w:sz w:val="18"/>
          <w:szCs w:val="18"/>
          <w:color w:val="auto"/>
        </w:rPr>
        <w:t>,</w:t>
      </w:r>
      <w:r>
        <w:rPr>
          <w:rFonts w:ascii="Arial" w:cs="Arial" w:eastAsia="Arial" w:hAnsi="Arial"/>
          <w:sz w:val="22"/>
          <w:szCs w:val="22"/>
          <w:color w:val="auto"/>
        </w:rPr>
        <w:t xml:space="preserve"> primarily as a result of an increase in income from operations, partially offset by an unfavorable discreet, non-cash, tax adjustment of $3.6 million, related to the transition tax originally recorded in 2017, which resulted from clarifications that were issued by the U.S. Treasury during the nine months ended September 30, 2018.</w:t>
      </w:r>
    </w:p>
    <w:p>
      <w:pPr>
        <w:spacing w:after="0" w:line="185" w:lineRule="exact"/>
        <w:rPr>
          <w:sz w:val="20"/>
          <w:szCs w:val="20"/>
          <w:color w:val="auto"/>
        </w:rPr>
      </w:pPr>
    </w:p>
    <w:p>
      <w:pPr>
        <w:ind w:right="320"/>
        <w:spacing w:after="0" w:line="263" w:lineRule="auto"/>
        <w:rPr>
          <w:sz w:val="20"/>
          <w:szCs w:val="20"/>
          <w:color w:val="auto"/>
        </w:rPr>
      </w:pPr>
      <w:r>
        <w:rPr>
          <w:rFonts w:ascii="Arial" w:cs="Arial" w:eastAsia="Arial" w:hAnsi="Arial"/>
          <w:sz w:val="22"/>
          <w:szCs w:val="22"/>
          <w:color w:val="auto"/>
        </w:rPr>
        <w:t>Adjusted EBITDA was $194.8 million, up 6.7% year over year. Adjusted EBITDA margin was 15.1% for the first nine months, unchanged from the prior year period.</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Declares Quarterly Cash Dividend</w:t>
      </w:r>
    </w:p>
    <w:p>
      <w:pPr>
        <w:spacing w:after="0" w:line="226" w:lineRule="exact"/>
        <w:rPr>
          <w:sz w:val="20"/>
          <w:szCs w:val="20"/>
          <w:color w:val="auto"/>
        </w:rPr>
      </w:pPr>
    </w:p>
    <w:p>
      <w:pPr>
        <w:ind w:right="500"/>
        <w:spacing w:after="0" w:line="253" w:lineRule="auto"/>
        <w:rPr>
          <w:sz w:val="20"/>
          <w:szCs w:val="20"/>
          <w:color w:val="auto"/>
        </w:rPr>
      </w:pPr>
      <w:r>
        <w:rPr>
          <w:rFonts w:ascii="Arial" w:cs="Arial" w:eastAsia="Arial" w:hAnsi="Arial"/>
          <w:sz w:val="22"/>
          <w:szCs w:val="22"/>
          <w:color w:val="auto"/>
        </w:rPr>
        <w:t>Acushnet's board of directors today declared a quarterly cash dividend in an amount of $0.13 per share of common stock. The dividend will be payable on December 14, 2018, to stockholders of record on November 30, 2018. The number of shares outstanding as of October 26, 2018 was 74,760,062.</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2018 Outlook</w:t>
      </w:r>
    </w:p>
    <w:p>
      <w:pPr>
        <w:spacing w:after="0" w:line="226" w:lineRule="exact"/>
        <w:rPr>
          <w:sz w:val="20"/>
          <w:szCs w:val="20"/>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Consolidated net sales are expected to be approximately $1,620 to 1,630 million.</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Consolidated net sales on a constant currency basis are expected to be in the range of up 2.1% to 2.8%.</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Adjusted EBITDA is expected to be approximately $227 to 233 million.</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Investor Conference Call</w:t>
      </w:r>
    </w:p>
    <w:p>
      <w:pPr>
        <w:spacing w:after="0" w:line="226" w:lineRule="exact"/>
        <w:rPr>
          <w:sz w:val="20"/>
          <w:szCs w:val="20"/>
          <w:color w:val="auto"/>
        </w:rPr>
      </w:pPr>
    </w:p>
    <w:p>
      <w:pPr>
        <w:jc w:val="both"/>
        <w:ind w:right="360"/>
        <w:spacing w:after="0" w:line="271" w:lineRule="auto"/>
        <w:rPr>
          <w:sz w:val="20"/>
          <w:szCs w:val="20"/>
          <w:color w:val="auto"/>
        </w:rPr>
      </w:pPr>
      <w:r>
        <w:rPr>
          <w:rFonts w:ascii="Arial" w:cs="Arial" w:eastAsia="Arial" w:hAnsi="Arial"/>
          <w:sz w:val="21"/>
          <w:szCs w:val="21"/>
          <w:color w:val="auto"/>
        </w:rPr>
        <w:t>Acushnet will hold a conference call at 8:30 am (Eastern Time) on November 1, 2018 to discuss the financial results and host a question and answer session. A live webcast of the conference call will be accessible at www.AcushnetHoldingsCorp.com/ir. A replay archive of the webcast will be available shortly after the call concludes.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left="320"/>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380"/>
          </w:cols>
          <w:pgMar w:left="240" w:top="807" w:right="279"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u w:val="single" w:color="auto"/>
          <w:color w:val="auto"/>
        </w:rPr>
        <w:t>About Acushnet Holdings Corp.</w:t>
      </w:r>
    </w:p>
    <w:p>
      <w:pPr>
        <w:spacing w:after="0" w:line="226" w:lineRule="exact"/>
        <w:rPr>
          <w:sz w:val="20"/>
          <w:szCs w:val="20"/>
          <w:color w:val="auto"/>
        </w:rPr>
      </w:pPr>
    </w:p>
    <w:p>
      <w:pPr>
        <w:ind w:right="160"/>
        <w:spacing w:after="0" w:line="260" w:lineRule="auto"/>
        <w:rPr>
          <w:sz w:val="20"/>
          <w:szCs w:val="20"/>
          <w:color w:val="auto"/>
        </w:rPr>
      </w:pPr>
      <w:r>
        <w:rPr>
          <w:rFonts w:ascii="Arial" w:cs="Arial" w:eastAsia="Arial" w:hAnsi="Arial"/>
          <w:sz w:val="21"/>
          <w:szCs w:val="21"/>
          <w:color w:val="auto"/>
        </w:rPr>
        <w:t>We are the global leader in the design, development, manufacture and distribution of performance-driven golf products, which are widely recognized for their quality excellence. Driven by our focus on dedicated and discerning golfers and the golf shops that serve them, we believe we are the most authentic and enduring company in the golf industry. Our mission - to be the performance and quality leader in every golf product category in which we compete - has remained consistent since we entered the golf ball business in 1932. Today, we are the steward of two of the most revered brands in golf – Titleist, one of golf’s leading performance equipment brands, and FootJoy, one of golf’s leading performance wear brands. Additional information can be found at www.acushnetholdingscorp.com.</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Forward-Looking Statements</w:t>
      </w:r>
    </w:p>
    <w:p>
      <w:pPr>
        <w:spacing w:after="0" w:line="226" w:lineRule="exact"/>
        <w:rPr>
          <w:sz w:val="20"/>
          <w:szCs w:val="20"/>
          <w:color w:val="auto"/>
        </w:rPr>
      </w:pPr>
    </w:p>
    <w:p>
      <w:pPr>
        <w:ind w:right="80"/>
        <w:spacing w:after="0" w:line="259" w:lineRule="auto"/>
        <w:rPr>
          <w:sz w:val="20"/>
          <w:szCs w:val="20"/>
          <w:color w:val="auto"/>
        </w:rPr>
      </w:pPr>
      <w:r>
        <w:rPr>
          <w:rFonts w:ascii="Arial" w:cs="Arial" w:eastAsia="Arial" w:hAnsi="Arial"/>
          <w:sz w:val="21"/>
          <w:szCs w:val="21"/>
          <w:i w:val="1"/>
          <w:iCs w:val="1"/>
          <w:color w:val="auto"/>
        </w:rPr>
        <w:t>This press release includes forward-looking statements that reflect our current views with respect to, among other things, our 2018 outlook, our operations and our financial performance. These forward-looking statements are included throughout this press release and relate to matters such as our industry, business strategy, goals and expectations concerning our market position, future operations, margins, profitability, capital expenditures, liquidity and capital resources and other financial and operating information such as our anticipated consolidated net sales, consolidated net sales on a constant currency basis and adjusted EBITDA. We use words like “guidance,” “outlook,” “anticipate,” “assume,” “believe,” “continue,” “could,” “estimate,” “expect,” “intend,” “may,” “plan,” “potential,” “predict,” “project,” “future,” “will,” “seek,” “foreseeable” and similar terms and phrases to identify forward-looking statements in this press release.</w:t>
      </w:r>
    </w:p>
    <w:p>
      <w:pPr>
        <w:spacing w:after="0" w:line="225" w:lineRule="exact"/>
        <w:rPr>
          <w:sz w:val="20"/>
          <w:szCs w:val="20"/>
          <w:color w:val="auto"/>
        </w:rPr>
      </w:pPr>
    </w:p>
    <w:p>
      <w:pPr>
        <w:spacing w:after="0" w:line="285" w:lineRule="auto"/>
        <w:rPr>
          <w:sz w:val="20"/>
          <w:szCs w:val="20"/>
          <w:color w:val="auto"/>
        </w:rPr>
      </w:pPr>
      <w:r>
        <w:rPr>
          <w:rFonts w:ascii="Arial" w:cs="Arial" w:eastAsia="Arial" w:hAnsi="Arial"/>
          <w:sz w:val="19"/>
          <w:szCs w:val="19"/>
          <w:i w:val="1"/>
          <w:iCs w:val="1"/>
          <w:color w:val="auto"/>
        </w:rPr>
        <w:t>The forward-looking statements contained in this press release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Important factors that could cause or contribute to such differences include: a reduction in the number of rounds of golf played or in the number of golf participants; unfavorable weather conditions may impact the number of playable days and rounds played in a given year; macroeconomic factors may affect the number of rounds of golf played and related spending on golf products; demographic factors may affect the number of golf participants and related spending on our products; a significant disruption in the operations of our manufacturing, assembly or distribution facilities; our ability to procure raw materials or components of our products; a disruption in the operations of our suppliers; cost of raw materials and components; currency transaction and translation risk; our ability to successfully manage the frequent introduction of new products; our reliance on technical innovation and high-quality products; changes to the Rules of Golf with respect to equipment; our ability to adequately enforce and protect our intellectual property rights; involvement in lawsuits to protect, defend or enforce our intellectual property rights; our ability to prevent infringement of intellectual property rights by others; recent changes to U.S. patent laws and proposed changes to the rules of the U.S. Patent and Trademark Office; intense competition and our ability to maintain a competitive advantage in each of our markets; limited opportunities for future growth in sales of golf balls, golf shoes and golf gloves; our customers’ financial condition, their levels of business activity and their ability to pay trade obligations; a decrease in corporate spending on our custom logo golf</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801" w:right="239" w:bottom="1440" w:gutter="0" w:footer="0" w:header="0"/>
        </w:sectPr>
      </w:pPr>
    </w:p>
    <w:bookmarkStart w:id="8" w:name="page9"/>
    <w:bookmarkEnd w:id="8"/>
    <w:p>
      <w:pPr>
        <w:spacing w:after="0" w:line="284" w:lineRule="auto"/>
        <w:rPr>
          <w:sz w:val="20"/>
          <w:szCs w:val="20"/>
          <w:color w:val="auto"/>
        </w:rPr>
      </w:pPr>
      <w:r>
        <w:rPr>
          <w:rFonts w:ascii="Arial" w:cs="Arial" w:eastAsia="Arial" w:hAnsi="Arial"/>
          <w:sz w:val="19"/>
          <w:szCs w:val="19"/>
          <w:i w:val="1"/>
          <w:iCs w:val="1"/>
          <w:color w:val="auto"/>
        </w:rPr>
        <w:t>balls; our ability to maintain and further develop our sales channels; consolidation of retailers or concentration of retail market share; our ability to maintain and enhance our brands; seasonal fluctuations of our business; fluctuations of our business based on the timing of new product introductions; risks associated with doing business globally; compliance with laws, regulations and policies, including the U.S. Foreign Corrupt Practices Act or other applicable anti-corruption legislation; our ability to secure professional golfers to endorse or use our products; negative publicity relating to us or the golfers who use our products or the golf industry in general; our ability to accurately forecast demand for our products; a disruption in the service or increase in cost, of our primary delivery and shipping services or a significant disruption at shipping ports; our ability to maintain our information systems to adequately perform their functions; cybersecurity risks; the ability of our eCommerce systems to function effectively; impairment of goodwill and identifiable intangible assets; our ability to attract and/or retain management and other key employees and hire qualified management, technical and manufacturing personnel; our ability to prohibit sales of our products by unauthorized retailers or distributors; our ability to grow our presence in existing international markets and expand into additional international markets; tax uncertainties, including potential changes in tax laws, unanticipated tax liabilities and limitations on utilization of tax attributes after any change of control; adequate levels of coverage of our insurance policies; product liability, warranty and recall claims; litigation and other regulatory proceedings; compliance with environmental, health and safety laws and regulations; our ability to secure additional capital on terms acceptable to us; our estimates or judgments relating to our critical accounting policies; our substantial leverage, ability to service our indebtedness, ability to incur more indebtedness and restrictions in the agreements governing our indebtedness; our exposure to market risks from changes in interest rates on our variable rate indebtedness and risks related to counterparty credit worthiness or non-performance of derivative financial instruments; our ability to pay dividends; and the other factors set forth in the section entitled “Risk Factors” in our Annual Report on Form 10-K for the year ended December 31, 2017 filed with the SEC on March 7, 2018 as it may be updated by our periodic reports subsequently filed with the SEC. Should one or more of these risks or uncertainties materialize, or should any of our assumptions prove incorrect, our actual results may vary in material respects from those projected in these forward-looking statements.</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right="100"/>
        <w:spacing w:after="0" w:line="292" w:lineRule="auto"/>
        <w:rPr>
          <w:sz w:val="20"/>
          <w:szCs w:val="20"/>
          <w:color w:val="auto"/>
        </w:rPr>
      </w:pPr>
      <w:r>
        <w:rPr>
          <w:rFonts w:ascii="Arial" w:cs="Arial" w:eastAsia="Arial" w:hAnsi="Arial"/>
          <w:sz w:val="19"/>
          <w:szCs w:val="19"/>
          <w:i w:val="1"/>
          <w:iCs w:val="1"/>
          <w:color w:val="auto"/>
        </w:rPr>
        <w:t>Any forward-looking statement made by us in this press release speaks only as of the date of this press release.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Contact:</w:t>
      </w:r>
    </w:p>
    <w:p>
      <w:pPr>
        <w:spacing w:after="0" w:line="28"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AcushnetPR@icrinc.com</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 Contact:</w:t>
      </w:r>
    </w:p>
    <w:p>
      <w:pPr>
        <w:spacing w:after="0" w:line="28"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IR@AcushnetGolf.com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80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OPERATIONS (UNAUDITED)</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94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220" w:type="dxa"/>
            <w:vAlign w:val="bottom"/>
          </w:tcPr>
          <w:p>
            <w:pPr>
              <w:spacing w:after="0"/>
              <w:rPr>
                <w:sz w:val="16"/>
                <w:szCs w:val="16"/>
                <w:color w:val="auto"/>
              </w:rPr>
            </w:pPr>
          </w:p>
        </w:tc>
        <w:tc>
          <w:tcPr>
            <w:tcW w:w="2580" w:type="dxa"/>
            <w:vAlign w:val="bottom"/>
            <w:gridSpan w:val="4"/>
          </w:tcPr>
          <w:p>
            <w:pPr>
              <w:jc w:val="right"/>
              <w:ind w:right="260"/>
              <w:spacing w:after="0"/>
              <w:rPr>
                <w:sz w:val="20"/>
                <w:szCs w:val="20"/>
                <w:color w:val="auto"/>
              </w:rPr>
            </w:pPr>
            <w:r>
              <w:rPr>
                <w:rFonts w:ascii="Arial" w:cs="Arial" w:eastAsia="Arial" w:hAnsi="Arial"/>
                <w:sz w:val="14"/>
                <w:szCs w:val="14"/>
                <w:b w:val="1"/>
                <w:bCs w:val="1"/>
                <w:color w:val="auto"/>
                <w:w w:val="96"/>
              </w:rPr>
              <w:t>Nine months ended September 30,</w:t>
            </w:r>
          </w:p>
        </w:tc>
      </w:tr>
      <w:tr>
        <w:trPr>
          <w:trHeight w:val="264"/>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30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r>
      <w:tr>
        <w:trPr>
          <w:trHeight w:val="236"/>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sales</w:t>
            </w: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370,427</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347,263</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1,290,366</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1,208,866</w:t>
            </w:r>
          </w:p>
        </w:tc>
      </w:tr>
      <w:tr>
        <w:trPr>
          <w:trHeight w:val="237"/>
        </w:trPr>
        <w:tc>
          <w:tcPr>
            <w:tcW w:w="5380" w:type="dxa"/>
            <w:vAlign w:val="bottom"/>
          </w:tcPr>
          <w:p>
            <w:pPr>
              <w:ind w:left="40"/>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0"/>
                <w:szCs w:val="20"/>
                <w:color w:val="auto"/>
              </w:rPr>
            </w:pPr>
          </w:p>
        </w:tc>
        <w:tc>
          <w:tcPr>
            <w:tcW w:w="1200" w:type="dxa"/>
            <w:vAlign w:val="bottom"/>
          </w:tcPr>
          <w:p>
            <w:pPr>
              <w:jc w:val="right"/>
              <w:ind w:right="40"/>
              <w:spacing w:after="0"/>
              <w:rPr>
                <w:sz w:val="20"/>
                <w:szCs w:val="20"/>
                <w:color w:val="auto"/>
              </w:rPr>
            </w:pPr>
            <w:r>
              <w:rPr>
                <w:rFonts w:ascii="Arial" w:cs="Arial" w:eastAsia="Arial" w:hAnsi="Arial"/>
                <w:sz w:val="16"/>
                <w:szCs w:val="16"/>
                <w:color w:val="auto"/>
              </w:rPr>
              <w:t>181,489</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174,159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622,944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586,381</w:t>
            </w:r>
          </w:p>
        </w:tc>
      </w:tr>
      <w:tr>
        <w:trPr>
          <w:trHeight w:val="33"/>
        </w:trPr>
        <w:tc>
          <w:tcPr>
            <w:tcW w:w="5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Gross profit</w:t>
            </w:r>
          </w:p>
        </w:tc>
        <w:tc>
          <w:tcPr>
            <w:tcW w:w="3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188,938</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173,104</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667,422</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622,485</w:t>
            </w:r>
          </w:p>
        </w:tc>
      </w:tr>
      <w:tr>
        <w:trPr>
          <w:trHeight w:val="237"/>
        </w:trPr>
        <w:tc>
          <w:tcPr>
            <w:tcW w:w="5380" w:type="dxa"/>
            <w:vAlign w:val="bottom"/>
          </w:tcPr>
          <w:p>
            <w:pPr>
              <w:ind w:left="40"/>
              <w:spacing w:after="0"/>
              <w:rPr>
                <w:sz w:val="20"/>
                <w:szCs w:val="20"/>
                <w:color w:val="auto"/>
              </w:rPr>
            </w:pPr>
            <w:r>
              <w:rPr>
                <w:rFonts w:ascii="Arial" w:cs="Arial" w:eastAsia="Arial" w:hAnsi="Arial"/>
                <w:sz w:val="16"/>
                <w:szCs w:val="16"/>
                <w:color w:val="auto"/>
              </w:rPr>
              <w:t>Operating expenses:</w:t>
            </w: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3"/>
        </w:trPr>
        <w:tc>
          <w:tcPr>
            <w:tcW w:w="5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148,653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141,514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471,706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440,959</w:t>
            </w:r>
          </w:p>
        </w:tc>
      </w:tr>
      <w:tr>
        <w:trPr>
          <w:trHeight w:val="237"/>
        </w:trPr>
        <w:tc>
          <w:tcPr>
            <w:tcW w:w="5380" w:type="dxa"/>
            <w:vAlign w:val="bottom"/>
          </w:tcPr>
          <w:p>
            <w:pPr>
              <w:ind w:left="280"/>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0"/>
                <w:szCs w:val="20"/>
                <w:color w:val="auto"/>
              </w:rPr>
            </w:pPr>
          </w:p>
        </w:tc>
        <w:tc>
          <w:tcPr>
            <w:tcW w:w="1200" w:type="dxa"/>
            <w:vAlign w:val="bottom"/>
          </w:tcPr>
          <w:p>
            <w:pPr>
              <w:jc w:val="right"/>
              <w:ind w:right="40"/>
              <w:spacing w:after="0"/>
              <w:rPr>
                <w:sz w:val="20"/>
                <w:szCs w:val="20"/>
                <w:color w:val="auto"/>
              </w:rPr>
            </w:pPr>
            <w:r>
              <w:rPr>
                <w:rFonts w:ascii="Arial" w:cs="Arial" w:eastAsia="Arial" w:hAnsi="Arial"/>
                <w:sz w:val="16"/>
                <w:szCs w:val="16"/>
                <w:color w:val="auto"/>
              </w:rPr>
              <w:t>12,787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10,784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38,095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35,108</w:t>
            </w:r>
          </w:p>
        </w:tc>
      </w:tr>
      <w:tr>
        <w:trPr>
          <w:trHeight w:val="33"/>
        </w:trPr>
        <w:tc>
          <w:tcPr>
            <w:tcW w:w="5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53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Intangible amortization</w:t>
            </w:r>
          </w:p>
        </w:tc>
        <w:tc>
          <w:tcPr>
            <w:tcW w:w="3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1,625</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1,626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4,885</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4,872</w:t>
            </w:r>
          </w:p>
        </w:tc>
      </w:tr>
      <w:tr>
        <w:trPr>
          <w:trHeight w:val="217"/>
        </w:trPr>
        <w:tc>
          <w:tcPr>
            <w:tcW w:w="5380" w:type="dxa"/>
            <w:vAlign w:val="bottom"/>
          </w:tcPr>
          <w:p>
            <w:pPr>
              <w:ind w:left="600"/>
              <w:spacing w:after="0"/>
              <w:rPr>
                <w:sz w:val="20"/>
                <w:szCs w:val="20"/>
                <w:color w:val="auto"/>
              </w:rPr>
            </w:pPr>
            <w:r>
              <w:rPr>
                <w:rFonts w:ascii="Arial" w:cs="Arial" w:eastAsia="Arial" w:hAnsi="Arial"/>
                <w:sz w:val="16"/>
                <w:szCs w:val="16"/>
                <w:color w:val="auto"/>
              </w:rPr>
              <w:t>Income from operations</w:t>
            </w:r>
          </w:p>
        </w:tc>
        <w:tc>
          <w:tcPr>
            <w:tcW w:w="3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25,873</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19,180</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152,736</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141,546</w:t>
            </w:r>
          </w:p>
        </w:tc>
      </w:tr>
      <w:tr>
        <w:trPr>
          <w:trHeight w:val="33"/>
        </w:trPr>
        <w:tc>
          <w:tcPr>
            <w:tcW w:w="5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expense, net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4,284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4,040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13,939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11,863</w:t>
            </w:r>
          </w:p>
        </w:tc>
      </w:tr>
      <w:tr>
        <w:trPr>
          <w:trHeight w:val="237"/>
        </w:trPr>
        <w:tc>
          <w:tcPr>
            <w:tcW w:w="5380" w:type="dxa"/>
            <w:vAlign w:val="bottom"/>
          </w:tcPr>
          <w:p>
            <w:pPr>
              <w:ind w:left="40"/>
              <w:spacing w:after="0"/>
              <w:rPr>
                <w:sz w:val="20"/>
                <w:szCs w:val="20"/>
                <w:color w:val="auto"/>
              </w:rPr>
            </w:pPr>
            <w:r>
              <w:rPr>
                <w:rFonts w:ascii="Arial" w:cs="Arial" w:eastAsia="Arial" w:hAnsi="Arial"/>
                <w:sz w:val="16"/>
                <w:szCs w:val="16"/>
                <w:color w:val="auto"/>
              </w:rPr>
              <w:t>Other (income) expense, net</w:t>
            </w:r>
          </w:p>
        </w:tc>
        <w:tc>
          <w:tcPr>
            <w:tcW w:w="300" w:type="dxa"/>
            <w:vAlign w:val="bottom"/>
          </w:tcPr>
          <w:p>
            <w:pPr>
              <w:spacing w:after="0"/>
              <w:rPr>
                <w:sz w:val="20"/>
                <w:szCs w:val="20"/>
                <w:color w:val="auto"/>
              </w:rPr>
            </w:pPr>
          </w:p>
        </w:tc>
        <w:tc>
          <w:tcPr>
            <w:tcW w:w="1200" w:type="dxa"/>
            <w:vAlign w:val="bottom"/>
          </w:tcPr>
          <w:p>
            <w:pPr>
              <w:jc w:val="right"/>
              <w:ind w:right="40"/>
              <w:spacing w:after="0"/>
              <w:rPr>
                <w:sz w:val="20"/>
                <w:szCs w:val="20"/>
                <w:color w:val="auto"/>
              </w:rPr>
            </w:pPr>
            <w:r>
              <w:rPr>
                <w:rFonts w:ascii="Arial" w:cs="Arial" w:eastAsia="Arial" w:hAnsi="Arial"/>
                <w:sz w:val="16"/>
                <w:szCs w:val="16"/>
                <w:color w:val="auto"/>
              </w:rPr>
              <w:t>4,142</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1,018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4,252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1,201</w:t>
            </w:r>
          </w:p>
        </w:tc>
      </w:tr>
      <w:tr>
        <w:trPr>
          <w:trHeight w:val="33"/>
        </w:trPr>
        <w:tc>
          <w:tcPr>
            <w:tcW w:w="5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3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17,447</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14,122</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134,545</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128,482</w:t>
            </w:r>
          </w:p>
        </w:tc>
      </w:tr>
      <w:tr>
        <w:trPr>
          <w:trHeight w:val="237"/>
        </w:trPr>
        <w:tc>
          <w:tcPr>
            <w:tcW w:w="5380" w:type="dxa"/>
            <w:vAlign w:val="bottom"/>
          </w:tcPr>
          <w:p>
            <w:pPr>
              <w:ind w:left="40"/>
              <w:spacing w:after="0"/>
              <w:rPr>
                <w:sz w:val="20"/>
                <w:szCs w:val="20"/>
                <w:color w:val="auto"/>
              </w:rPr>
            </w:pPr>
            <w:r>
              <w:rPr>
                <w:rFonts w:ascii="Arial" w:cs="Arial" w:eastAsia="Arial" w:hAnsi="Arial"/>
                <w:sz w:val="16"/>
                <w:szCs w:val="16"/>
                <w:color w:val="auto"/>
              </w:rPr>
              <w:t>Income tax expense</w:t>
            </w:r>
          </w:p>
        </w:tc>
        <w:tc>
          <w:tcPr>
            <w:tcW w:w="300" w:type="dxa"/>
            <w:vAlign w:val="bottom"/>
          </w:tcPr>
          <w:p>
            <w:pPr>
              <w:spacing w:after="0"/>
              <w:rPr>
                <w:sz w:val="20"/>
                <w:szCs w:val="20"/>
                <w:color w:val="auto"/>
              </w:rPr>
            </w:pPr>
          </w:p>
        </w:tc>
        <w:tc>
          <w:tcPr>
            <w:tcW w:w="1200" w:type="dxa"/>
            <w:vAlign w:val="bottom"/>
          </w:tcPr>
          <w:p>
            <w:pPr>
              <w:jc w:val="right"/>
              <w:ind w:right="40"/>
              <w:spacing w:after="0"/>
              <w:rPr>
                <w:sz w:val="20"/>
                <w:szCs w:val="20"/>
                <w:color w:val="auto"/>
              </w:rPr>
            </w:pPr>
            <w:r>
              <w:rPr>
                <w:rFonts w:ascii="Arial" w:cs="Arial" w:eastAsia="Arial" w:hAnsi="Arial"/>
                <w:sz w:val="16"/>
                <w:szCs w:val="16"/>
                <w:color w:val="auto"/>
              </w:rPr>
              <w:t>10,098</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3,488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43,737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44,180</w:t>
            </w:r>
          </w:p>
        </w:tc>
      </w:tr>
      <w:tr>
        <w:trPr>
          <w:trHeight w:val="33"/>
        </w:trPr>
        <w:tc>
          <w:tcPr>
            <w:tcW w:w="5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income</w:t>
            </w:r>
          </w:p>
        </w:tc>
        <w:tc>
          <w:tcPr>
            <w:tcW w:w="3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7,349</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10,634</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90,808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84,302</w:t>
            </w:r>
          </w:p>
        </w:tc>
      </w:tr>
      <w:tr>
        <w:trPr>
          <w:trHeight w:val="237"/>
        </w:trPr>
        <w:tc>
          <w:tcPr>
            <w:tcW w:w="5380" w:type="dxa"/>
            <w:vAlign w:val="bottom"/>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3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(286)</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(1,316)</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(2,354)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(3,854)</w:t>
            </w:r>
          </w:p>
        </w:tc>
      </w:tr>
      <w:tr>
        <w:trPr>
          <w:trHeight w:val="33"/>
        </w:trPr>
        <w:tc>
          <w:tcPr>
            <w:tcW w:w="5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7,063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9,318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88,454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80,448</w:t>
            </w:r>
          </w:p>
        </w:tc>
      </w:tr>
      <w:tr>
        <w:trPr>
          <w:trHeight w:val="20"/>
        </w:trPr>
        <w:tc>
          <w:tcPr>
            <w:tcW w:w="53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801" w:right="23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CONDENSED CONSOLIDATED BALANCE SHEETS (UNAUDITED)</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6"/>
                <w:szCs w:val="16"/>
                <w:color w:val="auto"/>
              </w:rPr>
            </w:pPr>
          </w:p>
        </w:tc>
        <w:tc>
          <w:tcPr>
            <w:tcW w:w="1060" w:type="dxa"/>
            <w:vAlign w:val="bottom"/>
          </w:tcPr>
          <w:p>
            <w:pPr>
              <w:jc w:val="right"/>
              <w:ind w:right="108"/>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276"/>
        </w:trPr>
        <w:tc>
          <w:tcPr>
            <w:tcW w:w="842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1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70"/>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14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8420" w:type="dxa"/>
            <w:vAlign w:val="bottom"/>
          </w:tcPr>
          <w:p>
            <w:pPr>
              <w:ind w:left="20"/>
              <w:spacing w:after="0"/>
              <w:rPr>
                <w:sz w:val="20"/>
                <w:szCs w:val="20"/>
                <w:color w:val="auto"/>
              </w:rPr>
            </w:pPr>
            <w:r>
              <w:rPr>
                <w:rFonts w:ascii="Arial" w:cs="Arial" w:eastAsia="Arial" w:hAnsi="Arial"/>
                <w:sz w:val="14"/>
                <w:szCs w:val="14"/>
                <w:color w:val="auto"/>
              </w:rPr>
              <w:t>Current assets</w:t>
            </w:r>
          </w:p>
        </w:tc>
        <w:tc>
          <w:tcPr>
            <w:tcW w:w="1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Cash and restricted cash ($8,801 and $13,086 attributable to the FootJoy golf shoe joint venture ("JV"))</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57,992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47,722</w:t>
            </w:r>
          </w:p>
        </w:tc>
        <w:tc>
          <w:tcPr>
            <w:tcW w:w="0" w:type="dxa"/>
            <w:vAlign w:val="bottom"/>
          </w:tcPr>
          <w:p>
            <w:pPr>
              <w:spacing w:after="0"/>
              <w:rPr>
                <w:sz w:val="1"/>
                <w:szCs w:val="1"/>
                <w:color w:val="auto"/>
              </w:rPr>
            </w:pPr>
          </w:p>
        </w:tc>
      </w:tr>
      <w:tr>
        <w:trPr>
          <w:trHeight w:val="264"/>
        </w:trPr>
        <w:tc>
          <w:tcPr>
            <w:tcW w:w="8420" w:type="dxa"/>
            <w:vAlign w:val="bottom"/>
          </w:tcPr>
          <w:p>
            <w:pPr>
              <w:ind w:left="160"/>
              <w:spacing w:after="0"/>
              <w:rPr>
                <w:sz w:val="20"/>
                <w:szCs w:val="20"/>
                <w:color w:val="auto"/>
              </w:rPr>
            </w:pPr>
            <w:r>
              <w:rPr>
                <w:rFonts w:ascii="Arial" w:cs="Arial" w:eastAsia="Arial" w:hAnsi="Arial"/>
                <w:sz w:val="14"/>
                <w:szCs w:val="14"/>
                <w:color w:val="auto"/>
              </w:rPr>
              <w:t>Accounts receivable, net</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241,488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190,851</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Inventories ($9,588 and $13,692 attributable to the FootJoy JV)</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324,968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363,962</w:t>
            </w: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Other assets</w:t>
            </w:r>
          </w:p>
        </w:tc>
        <w:tc>
          <w:tcPr>
            <w:tcW w:w="1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85,366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84,541</w:t>
            </w:r>
          </w:p>
        </w:tc>
        <w:tc>
          <w:tcPr>
            <w:tcW w:w="0" w:type="dxa"/>
            <w:vAlign w:val="bottom"/>
          </w:tcPr>
          <w:p>
            <w:pPr>
              <w:spacing w:after="0"/>
              <w:rPr>
                <w:sz w:val="1"/>
                <w:szCs w:val="1"/>
                <w:color w:val="auto"/>
              </w:rPr>
            </w:pPr>
          </w:p>
        </w:tc>
      </w:tr>
      <w:tr>
        <w:trPr>
          <w:trHeight w:val="256"/>
        </w:trPr>
        <w:tc>
          <w:tcPr>
            <w:tcW w:w="8420" w:type="dxa"/>
            <w:vAlign w:val="bottom"/>
            <w:shd w:val="clear" w:color="auto" w:fill="CCEEFF"/>
          </w:tcPr>
          <w:p>
            <w:pPr>
              <w:ind w:left="580"/>
              <w:spacing w:after="0"/>
              <w:rPr>
                <w:sz w:val="20"/>
                <w:szCs w:val="20"/>
                <w:color w:val="auto"/>
              </w:rPr>
            </w:pPr>
            <w:r>
              <w:rPr>
                <w:rFonts w:ascii="Arial" w:cs="Arial" w:eastAsia="Arial" w:hAnsi="Arial"/>
                <w:sz w:val="14"/>
                <w:szCs w:val="14"/>
                <w:color w:val="auto"/>
              </w:rPr>
              <w:t>Total current assets</w:t>
            </w:r>
          </w:p>
        </w:tc>
        <w:tc>
          <w:tcPr>
            <w:tcW w:w="140" w:type="dxa"/>
            <w:vAlign w:val="bottom"/>
            <w:shd w:val="clear" w:color="auto" w:fill="CCEEFF"/>
          </w:tcPr>
          <w:p>
            <w:pPr>
              <w:spacing w:after="0"/>
              <w:rPr>
                <w:sz w:val="22"/>
                <w:szCs w:val="22"/>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709,814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687,076</w:t>
            </w:r>
          </w:p>
        </w:tc>
        <w:tc>
          <w:tcPr>
            <w:tcW w:w="0" w:type="dxa"/>
            <w:vAlign w:val="bottom"/>
          </w:tcPr>
          <w:p>
            <w:pPr>
              <w:spacing w:after="0"/>
              <w:rPr>
                <w:sz w:val="1"/>
                <w:szCs w:val="1"/>
                <w:color w:val="auto"/>
              </w:rPr>
            </w:pPr>
          </w:p>
        </w:tc>
      </w:tr>
      <w:tr>
        <w:trPr>
          <w:trHeight w:val="264"/>
        </w:trPr>
        <w:tc>
          <w:tcPr>
            <w:tcW w:w="8420" w:type="dxa"/>
            <w:vAlign w:val="bottom"/>
          </w:tcPr>
          <w:p>
            <w:pPr>
              <w:ind w:left="20"/>
              <w:spacing w:after="0"/>
              <w:rPr>
                <w:sz w:val="20"/>
                <w:szCs w:val="20"/>
                <w:color w:val="auto"/>
              </w:rPr>
            </w:pPr>
            <w:r>
              <w:rPr>
                <w:rFonts w:ascii="Arial" w:cs="Arial" w:eastAsia="Arial" w:hAnsi="Arial"/>
                <w:sz w:val="14"/>
                <w:szCs w:val="14"/>
                <w:color w:val="auto"/>
              </w:rPr>
              <w:t>Property, plant and equipment, net ($10,603 and $10,240 attributable to the FootJoy JV)</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223,852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228,922</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Goodwill ($32,312 and $32,312 attributable to the FootJoy JV)</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184,784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185,941</w:t>
            </w:r>
          </w:p>
        </w:tc>
        <w:tc>
          <w:tcPr>
            <w:tcW w:w="0" w:type="dxa"/>
            <w:vAlign w:val="bottom"/>
          </w:tcPr>
          <w:p>
            <w:pPr>
              <w:spacing w:after="0"/>
              <w:rPr>
                <w:sz w:val="1"/>
                <w:szCs w:val="1"/>
                <w:color w:val="auto"/>
              </w:rPr>
            </w:pPr>
          </w:p>
        </w:tc>
      </w:tr>
      <w:tr>
        <w:trPr>
          <w:trHeight w:val="264"/>
        </w:trPr>
        <w:tc>
          <w:tcPr>
            <w:tcW w:w="8420" w:type="dxa"/>
            <w:vAlign w:val="bottom"/>
          </w:tcPr>
          <w:p>
            <w:pPr>
              <w:ind w:left="20"/>
              <w:spacing w:after="0"/>
              <w:rPr>
                <w:sz w:val="20"/>
                <w:szCs w:val="20"/>
                <w:color w:val="auto"/>
              </w:rPr>
            </w:pPr>
            <w:r>
              <w:rPr>
                <w:rFonts w:ascii="Arial" w:cs="Arial" w:eastAsia="Arial" w:hAnsi="Arial"/>
                <w:sz w:val="14"/>
                <w:szCs w:val="14"/>
                <w:color w:val="auto"/>
              </w:rPr>
              <w:t>Intangible assets, net</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475,799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481,234</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Deferred income taxes</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84,879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110,318</w:t>
            </w: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 assets ($2,652 and $2,738 attributable to the FootJoy JV)</w:t>
            </w:r>
          </w:p>
        </w:tc>
        <w:tc>
          <w:tcPr>
            <w:tcW w:w="1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35,709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33,833</w:t>
            </w:r>
          </w:p>
        </w:tc>
        <w:tc>
          <w:tcPr>
            <w:tcW w:w="0" w:type="dxa"/>
            <w:vAlign w:val="bottom"/>
          </w:tcPr>
          <w:p>
            <w:pPr>
              <w:spacing w:after="0"/>
              <w:rPr>
                <w:sz w:val="1"/>
                <w:szCs w:val="1"/>
                <w:color w:val="auto"/>
              </w:rPr>
            </w:pPr>
          </w:p>
        </w:tc>
      </w:tr>
      <w:tr>
        <w:trPr>
          <w:trHeight w:val="243"/>
        </w:trPr>
        <w:tc>
          <w:tcPr>
            <w:tcW w:w="8420" w:type="dxa"/>
            <w:vAlign w:val="bottom"/>
            <w:tcBorders>
              <w:bottom w:val="single" w:sz="8" w:color="CCEEFF"/>
            </w:tcBorders>
            <w:shd w:val="clear" w:color="auto" w:fill="CCEEFF"/>
          </w:tcPr>
          <w:p>
            <w:pPr>
              <w:ind w:left="580"/>
              <w:spacing w:after="0"/>
              <w:rPr>
                <w:sz w:val="20"/>
                <w:szCs w:val="20"/>
                <w:color w:val="auto"/>
              </w:rPr>
            </w:pPr>
            <w:r>
              <w:rPr>
                <w:rFonts w:ascii="Arial" w:cs="Arial" w:eastAsia="Arial" w:hAnsi="Arial"/>
                <w:sz w:val="14"/>
                <w:szCs w:val="14"/>
                <w:color w:val="auto"/>
              </w:rPr>
              <w:t>Total assets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1,714,837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1,727,324</w:t>
            </w:r>
          </w:p>
        </w:tc>
        <w:tc>
          <w:tcPr>
            <w:tcW w:w="0" w:type="dxa"/>
            <w:vAlign w:val="bottom"/>
          </w:tcPr>
          <w:p>
            <w:pPr>
              <w:spacing w:after="0"/>
              <w:rPr>
                <w:sz w:val="1"/>
                <w:szCs w:val="1"/>
                <w:color w:val="auto"/>
              </w:rPr>
            </w:pPr>
          </w:p>
        </w:tc>
      </w:tr>
      <w:tr>
        <w:trPr>
          <w:trHeight w:val="20"/>
        </w:trPr>
        <w:tc>
          <w:tcPr>
            <w:tcW w:w="84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Liabilities and Shareholders' Equity</w:t>
            </w: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420" w:type="dxa"/>
            <w:vAlign w:val="bottom"/>
            <w:vMerge w:val="continue"/>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420" w:type="dxa"/>
            <w:vAlign w:val="bottom"/>
          </w:tcPr>
          <w:p>
            <w:pPr>
              <w:ind w:left="160"/>
              <w:spacing w:after="0"/>
              <w:rPr>
                <w:sz w:val="20"/>
                <w:szCs w:val="20"/>
                <w:color w:val="auto"/>
              </w:rPr>
            </w:pPr>
            <w:r>
              <w:rPr>
                <w:rFonts w:ascii="Arial" w:cs="Arial" w:eastAsia="Arial" w:hAnsi="Arial"/>
                <w:sz w:val="14"/>
                <w:szCs w:val="14"/>
                <w:color w:val="auto"/>
              </w:rPr>
              <w:t>Short-term debt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14,567</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20,364</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Current portion of long-term debt</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35,625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26,719</w:t>
            </w:r>
          </w:p>
        </w:tc>
        <w:tc>
          <w:tcPr>
            <w:tcW w:w="0" w:type="dxa"/>
            <w:vAlign w:val="bottom"/>
          </w:tcPr>
          <w:p>
            <w:pPr>
              <w:spacing w:after="0"/>
              <w:rPr>
                <w:sz w:val="1"/>
                <w:szCs w:val="1"/>
                <w:color w:val="auto"/>
              </w:rPr>
            </w:pPr>
          </w:p>
        </w:tc>
      </w:tr>
      <w:tr>
        <w:trPr>
          <w:trHeight w:val="264"/>
        </w:trPr>
        <w:tc>
          <w:tcPr>
            <w:tcW w:w="8420" w:type="dxa"/>
            <w:vAlign w:val="bottom"/>
          </w:tcPr>
          <w:p>
            <w:pPr>
              <w:ind w:left="160"/>
              <w:spacing w:after="0"/>
              <w:rPr>
                <w:sz w:val="20"/>
                <w:szCs w:val="20"/>
                <w:color w:val="auto"/>
              </w:rPr>
            </w:pPr>
            <w:r>
              <w:rPr>
                <w:rFonts w:ascii="Arial" w:cs="Arial" w:eastAsia="Arial" w:hAnsi="Arial"/>
                <w:sz w:val="14"/>
                <w:szCs w:val="14"/>
                <w:color w:val="auto"/>
              </w:rPr>
              <w:t>Accounts payable ($6,028 and $10,587 attributable to the FootJoy JV)</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91,063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92,759</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Accrued taxes</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24,801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34,310</w:t>
            </w:r>
          </w:p>
        </w:tc>
        <w:tc>
          <w:tcPr>
            <w:tcW w:w="0" w:type="dxa"/>
            <w:vAlign w:val="bottom"/>
          </w:tcPr>
          <w:p>
            <w:pPr>
              <w:spacing w:after="0"/>
              <w:rPr>
                <w:sz w:val="1"/>
                <w:szCs w:val="1"/>
                <w:color w:val="auto"/>
              </w:rPr>
            </w:pPr>
          </w:p>
        </w:tc>
      </w:tr>
      <w:tr>
        <w:trPr>
          <w:trHeight w:val="264"/>
        </w:trPr>
        <w:tc>
          <w:tcPr>
            <w:tcW w:w="8420" w:type="dxa"/>
            <w:vAlign w:val="bottom"/>
          </w:tcPr>
          <w:p>
            <w:pPr>
              <w:ind w:left="160"/>
              <w:spacing w:after="0"/>
              <w:rPr>
                <w:sz w:val="20"/>
                <w:szCs w:val="20"/>
                <w:color w:val="auto"/>
              </w:rPr>
            </w:pPr>
            <w:r>
              <w:rPr>
                <w:rFonts w:ascii="Arial" w:cs="Arial" w:eastAsia="Arial" w:hAnsi="Arial"/>
                <w:sz w:val="14"/>
                <w:szCs w:val="14"/>
                <w:color w:val="auto"/>
              </w:rPr>
              <w:t>Accrued compensation and benefits</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85,403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80,189</w:t>
            </w:r>
          </w:p>
        </w:tc>
        <w:tc>
          <w:tcPr>
            <w:tcW w:w="0" w:type="dxa"/>
            <w:vAlign w:val="bottom"/>
          </w:tcPr>
          <w:p>
            <w:pPr>
              <w:spacing w:after="0"/>
              <w:rPr>
                <w:sz w:val="1"/>
                <w:szCs w:val="1"/>
                <w:color w:val="auto"/>
              </w:rPr>
            </w:pPr>
          </w:p>
        </w:tc>
      </w:tr>
      <w:tr>
        <w:trPr>
          <w:trHeight w:val="270"/>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Accrued expenses and other liabilities ($2,864 and $2,719 attributable to the FootJoy JV)</w:t>
            </w:r>
          </w:p>
        </w:tc>
        <w:tc>
          <w:tcPr>
            <w:tcW w:w="14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75,224</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52,442</w:t>
            </w:r>
          </w:p>
        </w:tc>
        <w:tc>
          <w:tcPr>
            <w:tcW w:w="0" w:type="dxa"/>
            <w:vAlign w:val="bottom"/>
          </w:tcPr>
          <w:p>
            <w:pPr>
              <w:spacing w:after="0"/>
              <w:rPr>
                <w:sz w:val="1"/>
                <w:szCs w:val="1"/>
                <w:color w:val="auto"/>
              </w:rPr>
            </w:pPr>
          </w:p>
        </w:tc>
      </w:tr>
      <w:tr>
        <w:trPr>
          <w:trHeight w:val="250"/>
        </w:trPr>
        <w:tc>
          <w:tcPr>
            <w:tcW w:w="8420" w:type="dxa"/>
            <w:vAlign w:val="bottom"/>
          </w:tcPr>
          <w:p>
            <w:pPr>
              <w:ind w:left="580"/>
              <w:spacing w:after="0"/>
              <w:rPr>
                <w:sz w:val="20"/>
                <w:szCs w:val="20"/>
                <w:color w:val="auto"/>
              </w:rPr>
            </w:pPr>
            <w:r>
              <w:rPr>
                <w:rFonts w:ascii="Arial" w:cs="Arial" w:eastAsia="Arial" w:hAnsi="Arial"/>
                <w:sz w:val="14"/>
                <w:szCs w:val="14"/>
                <w:color w:val="auto"/>
              </w:rPr>
              <w:t>Total current liabilities</w:t>
            </w:r>
          </w:p>
        </w:tc>
        <w:tc>
          <w:tcPr>
            <w:tcW w:w="140" w:type="dxa"/>
            <w:vAlign w:val="bottom"/>
          </w:tcPr>
          <w:p>
            <w:pPr>
              <w:spacing w:after="0"/>
              <w:rPr>
                <w:sz w:val="21"/>
                <w:szCs w:val="21"/>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326,683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306,783</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debt and capital lease obligations</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355,633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416,970</w:t>
            </w:r>
          </w:p>
        </w:tc>
        <w:tc>
          <w:tcPr>
            <w:tcW w:w="0" w:type="dxa"/>
            <w:vAlign w:val="bottom"/>
          </w:tcPr>
          <w:p>
            <w:pPr>
              <w:spacing w:after="0"/>
              <w:rPr>
                <w:sz w:val="1"/>
                <w:szCs w:val="1"/>
                <w:color w:val="auto"/>
              </w:rPr>
            </w:pPr>
          </w:p>
        </w:tc>
      </w:tr>
      <w:tr>
        <w:trPr>
          <w:trHeight w:val="264"/>
        </w:trPr>
        <w:tc>
          <w:tcPr>
            <w:tcW w:w="8420" w:type="dxa"/>
            <w:vAlign w:val="bottom"/>
          </w:tcPr>
          <w:p>
            <w:pPr>
              <w:ind w:left="20"/>
              <w:spacing w:after="0"/>
              <w:rPr>
                <w:sz w:val="20"/>
                <w:szCs w:val="20"/>
                <w:color w:val="auto"/>
              </w:rPr>
            </w:pPr>
            <w:r>
              <w:rPr>
                <w:rFonts w:ascii="Arial" w:cs="Arial" w:eastAsia="Arial" w:hAnsi="Arial"/>
                <w:sz w:val="14"/>
                <w:szCs w:val="14"/>
                <w:color w:val="auto"/>
              </w:rPr>
              <w:t>Deferred income taxes</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10,110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9,318</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Accrued pension and other postretirement benefits ($1,375 and $1,908 attributable to the FootJoy JV)</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93,057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130,160</w:t>
            </w: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 noncurrent liabilities ($5,350 and $4,689 attributable to the FootJoy JV)</w:t>
            </w:r>
          </w:p>
        </w:tc>
        <w:tc>
          <w:tcPr>
            <w:tcW w:w="1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15,764</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16,701</w:t>
            </w:r>
          </w:p>
        </w:tc>
        <w:tc>
          <w:tcPr>
            <w:tcW w:w="0" w:type="dxa"/>
            <w:vAlign w:val="bottom"/>
          </w:tcPr>
          <w:p>
            <w:pPr>
              <w:spacing w:after="0"/>
              <w:rPr>
                <w:sz w:val="1"/>
                <w:szCs w:val="1"/>
                <w:color w:val="auto"/>
              </w:rPr>
            </w:pPr>
          </w:p>
        </w:tc>
      </w:tr>
      <w:tr>
        <w:trPr>
          <w:trHeight w:val="256"/>
        </w:trPr>
        <w:tc>
          <w:tcPr>
            <w:tcW w:w="8420" w:type="dxa"/>
            <w:vAlign w:val="bottom"/>
            <w:shd w:val="clear" w:color="auto" w:fill="CCEEFF"/>
          </w:tcPr>
          <w:p>
            <w:pPr>
              <w:ind w:left="580"/>
              <w:spacing w:after="0"/>
              <w:rPr>
                <w:sz w:val="20"/>
                <w:szCs w:val="20"/>
                <w:color w:val="auto"/>
              </w:rPr>
            </w:pPr>
            <w:r>
              <w:rPr>
                <w:rFonts w:ascii="Arial" w:cs="Arial" w:eastAsia="Arial" w:hAnsi="Arial"/>
                <w:sz w:val="14"/>
                <w:szCs w:val="14"/>
                <w:color w:val="auto"/>
              </w:rPr>
              <w:t>Total liabilities</w:t>
            </w:r>
          </w:p>
        </w:tc>
        <w:tc>
          <w:tcPr>
            <w:tcW w:w="140" w:type="dxa"/>
            <w:vAlign w:val="bottom"/>
            <w:tcBorders>
              <w:bottom w:val="single" w:sz="8" w:color="auto"/>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801,247</w:t>
            </w:r>
          </w:p>
        </w:tc>
        <w:tc>
          <w:tcPr>
            <w:tcW w:w="10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879,932</w:t>
            </w:r>
          </w:p>
        </w:tc>
        <w:tc>
          <w:tcPr>
            <w:tcW w:w="0" w:type="dxa"/>
            <w:vAlign w:val="bottom"/>
          </w:tcPr>
          <w:p>
            <w:pPr>
              <w:spacing w:after="0"/>
              <w:rPr>
                <w:sz w:val="1"/>
                <w:szCs w:val="1"/>
                <w:color w:val="auto"/>
              </w:rPr>
            </w:pPr>
          </w:p>
        </w:tc>
      </w:tr>
      <w:tr>
        <w:trPr>
          <w:trHeight w:val="258"/>
        </w:trPr>
        <w:tc>
          <w:tcPr>
            <w:tcW w:w="8420" w:type="dxa"/>
            <w:vAlign w:val="bottom"/>
          </w:tcPr>
          <w:p>
            <w:pPr>
              <w:ind w:left="20"/>
              <w:spacing w:after="0"/>
              <w:rPr>
                <w:sz w:val="20"/>
                <w:szCs w:val="20"/>
                <w:color w:val="auto"/>
              </w:rPr>
            </w:pPr>
            <w:r>
              <w:rPr>
                <w:rFonts w:ascii="Arial" w:cs="Arial" w:eastAsia="Arial" w:hAnsi="Arial"/>
                <w:sz w:val="14"/>
                <w:szCs w:val="14"/>
                <w:color w:val="auto"/>
              </w:rPr>
              <w:t>Shareholders' equity</w:t>
            </w:r>
          </w:p>
        </w:tc>
        <w:tc>
          <w:tcPr>
            <w:tcW w:w="1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Common stock, $0.001 par value, 500,000,000 shares authorized; 74,760,062 and 74,479,319 shares issued and outstanding</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64"/>
        </w:trPr>
        <w:tc>
          <w:tcPr>
            <w:tcW w:w="8420" w:type="dxa"/>
            <w:vAlign w:val="bottom"/>
          </w:tcPr>
          <w:p>
            <w:pPr>
              <w:ind w:left="160"/>
              <w:spacing w:after="0"/>
              <w:rPr>
                <w:sz w:val="20"/>
                <w:szCs w:val="20"/>
                <w:color w:val="auto"/>
              </w:rPr>
            </w:pPr>
            <w:r>
              <w:rPr>
                <w:rFonts w:ascii="Arial" w:cs="Arial" w:eastAsia="Arial" w:hAnsi="Arial"/>
                <w:sz w:val="14"/>
                <w:szCs w:val="14"/>
                <w:color w:val="auto"/>
              </w:rPr>
              <w:t>Additional paid-in capital</w:t>
            </w:r>
          </w:p>
        </w:tc>
        <w:tc>
          <w:tcPr>
            <w:tcW w:w="14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906,107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894,727</w:t>
            </w:r>
          </w:p>
        </w:tc>
        <w:tc>
          <w:tcPr>
            <w:tcW w:w="0" w:type="dxa"/>
            <w:vAlign w:val="bottom"/>
          </w:tcPr>
          <w:p>
            <w:pPr>
              <w:spacing w:after="0"/>
              <w:rPr>
                <w:sz w:val="1"/>
                <w:szCs w:val="1"/>
                <w:color w:val="auto"/>
              </w:rPr>
            </w:pPr>
          </w:p>
        </w:tc>
      </w:tr>
      <w:tr>
        <w:trPr>
          <w:trHeight w:val="276"/>
        </w:trPr>
        <w:tc>
          <w:tcPr>
            <w:tcW w:w="84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Accumulated other comprehensive loss, net of tax</w:t>
            </w:r>
          </w:p>
        </w:tc>
        <w:tc>
          <w:tcPr>
            <w:tcW w:w="1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(86,075)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(81,691)</w:t>
            </w: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Retained earnings</w:t>
            </w:r>
          </w:p>
        </w:tc>
        <w:tc>
          <w:tcPr>
            <w:tcW w:w="1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64,915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1,618</w:t>
            </w:r>
          </w:p>
        </w:tc>
        <w:tc>
          <w:tcPr>
            <w:tcW w:w="0" w:type="dxa"/>
            <w:vAlign w:val="bottom"/>
          </w:tcPr>
          <w:p>
            <w:pPr>
              <w:spacing w:after="0"/>
              <w:rPr>
                <w:sz w:val="1"/>
                <w:szCs w:val="1"/>
                <w:color w:val="auto"/>
              </w:rPr>
            </w:pPr>
          </w:p>
        </w:tc>
      </w:tr>
      <w:tr>
        <w:trPr>
          <w:trHeight w:val="256"/>
        </w:trPr>
        <w:tc>
          <w:tcPr>
            <w:tcW w:w="8420" w:type="dxa"/>
            <w:vAlign w:val="bottom"/>
            <w:shd w:val="clear" w:color="auto" w:fill="CCEEFF"/>
          </w:tcPr>
          <w:p>
            <w:pPr>
              <w:ind w:left="580"/>
              <w:spacing w:after="0"/>
              <w:rPr>
                <w:sz w:val="20"/>
                <w:szCs w:val="20"/>
                <w:color w:val="auto"/>
              </w:rPr>
            </w:pPr>
            <w:r>
              <w:rPr>
                <w:rFonts w:ascii="Arial" w:cs="Arial" w:eastAsia="Arial" w:hAnsi="Arial"/>
                <w:sz w:val="14"/>
                <w:szCs w:val="14"/>
                <w:color w:val="auto"/>
              </w:rPr>
              <w:t>Total equity attributable to Acushnet Holdings Corp.</w:t>
            </w:r>
          </w:p>
        </w:tc>
        <w:tc>
          <w:tcPr>
            <w:tcW w:w="140" w:type="dxa"/>
            <w:vAlign w:val="bottom"/>
            <w:shd w:val="clear" w:color="auto" w:fill="CCEEFF"/>
          </w:tcPr>
          <w:p>
            <w:pPr>
              <w:spacing w:after="0"/>
              <w:rPr>
                <w:sz w:val="22"/>
                <w:szCs w:val="22"/>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885,022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814,728</w:t>
            </w:r>
          </w:p>
        </w:tc>
        <w:tc>
          <w:tcPr>
            <w:tcW w:w="0" w:type="dxa"/>
            <w:vAlign w:val="bottom"/>
          </w:tcPr>
          <w:p>
            <w:pPr>
              <w:spacing w:after="0"/>
              <w:rPr>
                <w:sz w:val="1"/>
                <w:szCs w:val="1"/>
                <w:color w:val="auto"/>
              </w:rPr>
            </w:pPr>
          </w:p>
        </w:tc>
      </w:tr>
      <w:tr>
        <w:trPr>
          <w:trHeight w:val="264"/>
        </w:trPr>
        <w:tc>
          <w:tcPr>
            <w:tcW w:w="84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Noncontrolling interests</w:t>
            </w:r>
          </w:p>
        </w:tc>
        <w:tc>
          <w:tcPr>
            <w:tcW w:w="1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28,568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32,664</w:t>
            </w:r>
          </w:p>
        </w:tc>
        <w:tc>
          <w:tcPr>
            <w:tcW w:w="0" w:type="dxa"/>
            <w:vAlign w:val="bottom"/>
          </w:tcPr>
          <w:p>
            <w:pPr>
              <w:spacing w:after="0"/>
              <w:rPr>
                <w:sz w:val="1"/>
                <w:szCs w:val="1"/>
                <w:color w:val="auto"/>
              </w:rPr>
            </w:pPr>
          </w:p>
        </w:tc>
      </w:tr>
      <w:tr>
        <w:trPr>
          <w:trHeight w:val="250"/>
        </w:trPr>
        <w:tc>
          <w:tcPr>
            <w:tcW w:w="8420" w:type="dxa"/>
            <w:vAlign w:val="bottom"/>
            <w:shd w:val="clear" w:color="auto" w:fill="CCEEFF"/>
          </w:tcPr>
          <w:p>
            <w:pPr>
              <w:ind w:left="580"/>
              <w:spacing w:after="0"/>
              <w:rPr>
                <w:sz w:val="20"/>
                <w:szCs w:val="20"/>
                <w:color w:val="auto"/>
              </w:rPr>
            </w:pPr>
            <w:r>
              <w:rPr>
                <w:rFonts w:ascii="Arial" w:cs="Arial" w:eastAsia="Arial" w:hAnsi="Arial"/>
                <w:sz w:val="14"/>
                <w:szCs w:val="14"/>
                <w:color w:val="auto"/>
              </w:rPr>
              <w:t>Total shareholders' equity</w:t>
            </w:r>
          </w:p>
        </w:tc>
        <w:tc>
          <w:tcPr>
            <w:tcW w:w="140" w:type="dxa"/>
            <w:vAlign w:val="bottom"/>
            <w:tcBorders>
              <w:bottom w:val="single" w:sz="8" w:color="auto"/>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913,590</w:t>
            </w:r>
          </w:p>
        </w:tc>
        <w:tc>
          <w:tcPr>
            <w:tcW w:w="10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847,392</w:t>
            </w:r>
          </w:p>
        </w:tc>
        <w:tc>
          <w:tcPr>
            <w:tcW w:w="0" w:type="dxa"/>
            <w:vAlign w:val="bottom"/>
          </w:tcPr>
          <w:p>
            <w:pPr>
              <w:spacing w:after="0"/>
              <w:rPr>
                <w:sz w:val="1"/>
                <w:szCs w:val="1"/>
                <w:color w:val="auto"/>
              </w:rPr>
            </w:pPr>
          </w:p>
        </w:tc>
      </w:tr>
      <w:tr>
        <w:trPr>
          <w:trHeight w:val="243"/>
        </w:trPr>
        <w:tc>
          <w:tcPr>
            <w:tcW w:w="8420" w:type="dxa"/>
            <w:vAlign w:val="bottom"/>
          </w:tcPr>
          <w:p>
            <w:pPr>
              <w:ind w:left="580"/>
              <w:spacing w:after="0"/>
              <w:rPr>
                <w:sz w:val="20"/>
                <w:szCs w:val="20"/>
                <w:color w:val="auto"/>
              </w:rPr>
            </w:pPr>
            <w:r>
              <w:rPr>
                <w:rFonts w:ascii="Arial" w:cs="Arial" w:eastAsia="Arial" w:hAnsi="Arial"/>
                <w:sz w:val="14"/>
                <w:szCs w:val="14"/>
                <w:color w:val="auto"/>
              </w:rPr>
              <w:t>Total liabilities and shareholders' equity</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1,714,837</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1,727,324</w:t>
            </w:r>
          </w:p>
        </w:tc>
        <w:tc>
          <w:tcPr>
            <w:tcW w:w="0" w:type="dxa"/>
            <w:vAlign w:val="bottom"/>
          </w:tcPr>
          <w:p>
            <w:pPr>
              <w:spacing w:after="0"/>
              <w:rPr>
                <w:sz w:val="1"/>
                <w:szCs w:val="1"/>
                <w:color w:val="auto"/>
              </w:rPr>
            </w:pPr>
          </w:p>
        </w:tc>
      </w:tr>
      <w:tr>
        <w:trPr>
          <w:trHeight w:val="20"/>
        </w:trPr>
        <w:tc>
          <w:tcPr>
            <w:tcW w:w="8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040"/>
          </w:cols>
          <w:pgMar w:left="440" w:top="801" w:right="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040"/>
          </w:cols>
          <w:pgMar w:left="440" w:top="801" w:right="41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STATEMENTS OF CASH FLOWS (UNAUDITED)</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4"/>
          </w:tcPr>
          <w:p>
            <w:pPr>
              <w:jc w:val="right"/>
              <w:ind w:right="348"/>
              <w:spacing w:after="0"/>
              <w:rPr>
                <w:sz w:val="20"/>
                <w:szCs w:val="20"/>
                <w:color w:val="auto"/>
              </w:rPr>
            </w:pPr>
            <w:r>
              <w:rPr>
                <w:rFonts w:ascii="Arial" w:cs="Arial" w:eastAsia="Arial" w:hAnsi="Arial"/>
                <w:sz w:val="14"/>
                <w:szCs w:val="14"/>
                <w:b w:val="1"/>
                <w:bCs w:val="1"/>
                <w:color w:val="auto"/>
                <w:w w:val="97"/>
              </w:rPr>
              <w:t>Nine months ended September 30,</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2017</w:t>
            </w:r>
          </w:p>
        </w:tc>
      </w:tr>
      <w:tr>
        <w:trPr>
          <w:trHeight w:val="25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28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90,808</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84,302</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Depreciation and amortization</w:t>
            </w:r>
          </w:p>
        </w:tc>
        <w:tc>
          <w:tcPr>
            <w:tcW w:w="28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30,057</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30,667</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Unrealized foreign exchange loss (gain)</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3,057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(2,885)</w:t>
            </w: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Amortization of debt issuance costs</w:t>
            </w:r>
          </w:p>
        </w:tc>
        <w:tc>
          <w:tcPr>
            <w:tcW w:w="28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1,040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990</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Share-based compensation</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13,780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11,576</w:t>
            </w:r>
          </w:p>
        </w:tc>
      </w:tr>
      <w:tr>
        <w:trPr>
          <w:trHeight w:val="264"/>
        </w:trPr>
        <w:tc>
          <w:tcPr>
            <w:tcW w:w="8020" w:type="dxa"/>
            <w:vAlign w:val="bottom"/>
          </w:tcPr>
          <w:p>
            <w:pPr>
              <w:ind w:left="160"/>
              <w:spacing w:after="0"/>
              <w:rPr>
                <w:sz w:val="20"/>
                <w:szCs w:val="20"/>
                <w:color w:val="auto"/>
              </w:rPr>
            </w:pPr>
            <w:r>
              <w:rPr>
                <w:rFonts w:ascii="Arial" w:cs="Arial" w:eastAsia="Arial" w:hAnsi="Arial"/>
                <w:sz w:val="14"/>
                <w:szCs w:val="14"/>
                <w:color w:val="auto"/>
              </w:rPr>
              <w:t>Loss on disposals of property, plant and equipment</w:t>
            </w:r>
          </w:p>
        </w:tc>
        <w:tc>
          <w:tcPr>
            <w:tcW w:w="28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153</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466</w:t>
            </w:r>
          </w:p>
        </w:tc>
      </w:tr>
      <w:tr>
        <w:trPr>
          <w:trHeight w:val="276"/>
        </w:trPr>
        <w:tc>
          <w:tcPr>
            <w:tcW w:w="80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Deferred income taxes</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23,202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28,415</w:t>
            </w:r>
          </w:p>
        </w:tc>
      </w:tr>
      <w:tr>
        <w:trPr>
          <w:trHeight w:val="264"/>
        </w:trPr>
        <w:tc>
          <w:tcPr>
            <w:tcW w:w="80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Changes in operating assets and liabilities</w:t>
            </w:r>
          </w:p>
        </w:tc>
        <w:tc>
          <w:tcPr>
            <w:tcW w:w="2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(32,032)</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(171,415)</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provided by (used in) operating activities</w:t>
            </w:r>
          </w:p>
        </w:tc>
        <w:tc>
          <w:tcPr>
            <w:tcW w:w="28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130,065</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(17,884)</w:t>
            </w:r>
          </w:p>
        </w:tc>
      </w:tr>
      <w:tr>
        <w:trPr>
          <w:trHeight w:val="244"/>
        </w:trPr>
        <w:tc>
          <w:tcPr>
            <w:tcW w:w="8020" w:type="dxa"/>
            <w:vAlign w:val="bottom"/>
          </w:tcPr>
          <w:p>
            <w:pPr>
              <w:ind w:left="40"/>
              <w:spacing w:after="0"/>
              <w:rPr>
                <w:sz w:val="20"/>
                <w:szCs w:val="20"/>
                <w:color w:val="auto"/>
              </w:rPr>
            </w:pPr>
            <w:r>
              <w:rPr>
                <w:rFonts w:ascii="Arial" w:cs="Arial" w:eastAsia="Arial" w:hAnsi="Arial"/>
                <w:sz w:val="14"/>
                <w:szCs w:val="14"/>
                <w:b w:val="1"/>
                <w:bCs w:val="1"/>
                <w:color w:val="auto"/>
              </w:rPr>
              <w:t>Cash flows from investing activities</w:t>
            </w:r>
          </w:p>
        </w:tc>
        <w:tc>
          <w:tcPr>
            <w:tcW w:w="2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Additions to property, plant and equipment</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(20,662)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(12,781)</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investing activity</w:t>
            </w:r>
          </w:p>
        </w:tc>
        <w:tc>
          <w:tcPr>
            <w:tcW w:w="2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(2,350)</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used in investing activities</w:t>
            </w:r>
          </w:p>
        </w:tc>
        <w:tc>
          <w:tcPr>
            <w:tcW w:w="28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(23,012)</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(12,781)</w:t>
            </w:r>
          </w:p>
        </w:tc>
      </w:tr>
      <w:tr>
        <w:trPr>
          <w:trHeight w:val="258"/>
        </w:trPr>
        <w:tc>
          <w:tcPr>
            <w:tcW w:w="8020" w:type="dxa"/>
            <w:vAlign w:val="bottom"/>
          </w:tcPr>
          <w:p>
            <w:pPr>
              <w:ind w:left="40"/>
              <w:spacing w:after="0"/>
              <w:rPr>
                <w:sz w:val="20"/>
                <w:szCs w:val="20"/>
                <w:color w:val="auto"/>
              </w:rPr>
            </w:pPr>
            <w:r>
              <w:rPr>
                <w:rFonts w:ascii="Arial" w:cs="Arial" w:eastAsia="Arial" w:hAnsi="Arial"/>
                <w:sz w:val="14"/>
                <w:szCs w:val="14"/>
                <w:b w:val="1"/>
                <w:bCs w:val="1"/>
                <w:color w:val="auto"/>
              </w:rPr>
              <w:t>Cash flows from financing activities</w:t>
            </w:r>
          </w:p>
        </w:tc>
        <w:tc>
          <w:tcPr>
            <w:tcW w:w="2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Repayments of short-term borrowings, net</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(4,103)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(31,719)</w:t>
            </w: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Proceeds from delayed draw term loan A facility</w:t>
            </w:r>
          </w:p>
        </w:tc>
        <w:tc>
          <w:tcPr>
            <w:tcW w:w="28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100,000</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Repayments of delayed draw term loan A facility</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(3,750)</w:t>
            </w: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Repayment of term loan facilities</w:t>
            </w:r>
          </w:p>
        </w:tc>
        <w:tc>
          <w:tcPr>
            <w:tcW w:w="28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(14,063)</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(14,064)</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Debt issuance costs</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020" w:type="dxa"/>
            <w:vAlign w:val="bottom"/>
          </w:tcPr>
          <w:p>
            <w:pPr>
              <w:ind w:left="40"/>
              <w:spacing w:after="0"/>
              <w:rPr>
                <w:sz w:val="20"/>
                <w:szCs w:val="20"/>
                <w:color w:val="auto"/>
              </w:rPr>
            </w:pPr>
            <w:r>
              <w:rPr>
                <w:rFonts w:ascii="Arial" w:cs="Arial" w:eastAsia="Arial" w:hAnsi="Arial"/>
                <w:sz w:val="14"/>
                <w:szCs w:val="14"/>
                <w:color w:val="auto"/>
              </w:rPr>
              <w:t>Dividends paid on common stock</w:t>
            </w:r>
          </w:p>
        </w:tc>
        <w:tc>
          <w:tcPr>
            <w:tcW w:w="28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(29,338)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(26,802)</w:t>
            </w:r>
          </w:p>
        </w:tc>
      </w:tr>
      <w:tr>
        <w:trPr>
          <w:trHeight w:val="276"/>
        </w:trPr>
        <w:tc>
          <w:tcPr>
            <w:tcW w:w="8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paid to noncontrolling interests</w:t>
            </w:r>
          </w:p>
        </w:tc>
        <w:tc>
          <w:tcPr>
            <w:tcW w:w="28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(2,400)</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Payment of employee restricted stock tax withholdings</w:t>
            </w:r>
          </w:p>
        </w:tc>
        <w:tc>
          <w:tcPr>
            <w:tcW w:w="2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(2,634)</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(903)</w:t>
            </w:r>
          </w:p>
        </w:tc>
      </w:tr>
      <w:tr>
        <w:trPr>
          <w:trHeight w:val="250"/>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Cash flows (used in) provided by financing activities</w:t>
            </w:r>
          </w:p>
        </w:tc>
        <w:tc>
          <w:tcPr>
            <w:tcW w:w="28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(95,719)</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20,362</w:t>
            </w:r>
          </w:p>
        </w:tc>
      </w:tr>
      <w:tr>
        <w:trPr>
          <w:trHeight w:val="250"/>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Effect of foreign exchange rate changes on cash</w:t>
            </w:r>
          </w:p>
        </w:tc>
        <w:tc>
          <w:tcPr>
            <w:tcW w:w="28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(1,064)</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4,354</w:t>
            </w:r>
          </w:p>
        </w:tc>
      </w:tr>
      <w:tr>
        <w:trPr>
          <w:trHeight w:val="256"/>
        </w:trPr>
        <w:tc>
          <w:tcPr>
            <w:tcW w:w="80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Net increase (decrease) in cash</w:t>
            </w:r>
          </w:p>
        </w:tc>
        <w:tc>
          <w:tcPr>
            <w:tcW w:w="280" w:type="dxa"/>
            <w:vAlign w:val="bottom"/>
            <w:shd w:val="clear" w:color="auto" w:fill="CCEEFF"/>
          </w:tcPr>
          <w:p>
            <w:pPr>
              <w:spacing w:after="0"/>
              <w:rPr>
                <w:sz w:val="22"/>
                <w:szCs w:val="22"/>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10,270</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(5,949)</w:t>
            </w:r>
          </w:p>
        </w:tc>
      </w:tr>
      <w:tr>
        <w:trPr>
          <w:trHeight w:val="264"/>
        </w:trPr>
        <w:tc>
          <w:tcPr>
            <w:tcW w:w="80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restricted cash, beginning of year</w:t>
            </w:r>
          </w:p>
        </w:tc>
        <w:tc>
          <w:tcPr>
            <w:tcW w:w="2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47,722</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79,140</w:t>
            </w:r>
          </w:p>
        </w:tc>
      </w:tr>
      <w:tr>
        <w:trPr>
          <w:trHeight w:val="243"/>
        </w:trPr>
        <w:tc>
          <w:tcPr>
            <w:tcW w:w="8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Cash and restricted cash, end of period</w:t>
            </w: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57,992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73,191</w:t>
            </w:r>
          </w:p>
        </w:tc>
      </w:tr>
      <w:tr>
        <w:trPr>
          <w:trHeight w:val="20"/>
        </w:trPr>
        <w:tc>
          <w:tcPr>
            <w:tcW w:w="80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80"/>
          </w:cols>
          <w:pgMar w:left="460" w:top="801" w:right="4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0980"/>
          </w:cols>
          <w:pgMar w:left="460" w:top="801" w:right="459" w:bottom="1440" w:gutter="0" w:footer="0" w:header="0"/>
          <w:type w:val="continuous"/>
        </w:sectPr>
      </w:pPr>
    </w:p>
    <w:bookmarkStart w:id="12" w:name="page13"/>
    <w:bookmarkEnd w:id="12"/>
    <w:p>
      <w:pPr>
        <w:jc w:val="center"/>
        <w:ind w:left="340"/>
        <w:spacing w:after="0"/>
        <w:rPr>
          <w:sz w:val="20"/>
          <w:szCs w:val="20"/>
          <w:color w:val="auto"/>
        </w:rPr>
      </w:pPr>
      <w:r>
        <w:rPr>
          <w:rFonts w:ascii="Arial" w:cs="Arial" w:eastAsia="Arial" w:hAnsi="Arial"/>
          <w:sz w:val="22"/>
          <w:szCs w:val="22"/>
          <w:b w:val="1"/>
          <w:bCs w:val="1"/>
          <w:color w:val="auto"/>
        </w:rPr>
        <w:t>ACUSHNET HOLDINGS CORP.</w:t>
      </w:r>
    </w:p>
    <w:p>
      <w:pPr>
        <w:spacing w:after="0" w:line="28"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Supplemental Net Sales Information (Unaudited)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Net Sales by Segment</w:t>
      </w:r>
    </w:p>
    <w:p>
      <w:pPr>
        <w:spacing w:after="0" w:line="33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2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0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1"/>
              </w:rPr>
              <w:t>Three months ended</w:t>
            </w: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60" w:type="dxa"/>
            <w:vAlign w:val="bottom"/>
            <w:gridSpan w:val="3"/>
          </w:tcPr>
          <w:p>
            <w:pPr>
              <w:jc w:val="right"/>
              <w:ind w:right="548"/>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3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center"/>
              <w:ind w:left="388"/>
              <w:spacing w:after="0"/>
              <w:rPr>
                <w:sz w:val="20"/>
                <w:szCs w:val="20"/>
                <w:color w:val="auto"/>
              </w:rPr>
            </w:pPr>
            <w:r>
              <w:rPr>
                <w:rFonts w:ascii="Arial" w:cs="Arial" w:eastAsia="Arial" w:hAnsi="Arial"/>
                <w:sz w:val="14"/>
                <w:szCs w:val="14"/>
                <w:b w:val="1"/>
                <w:bCs w:val="1"/>
                <w:color w:val="auto"/>
                <w:w w:val="91"/>
              </w:rPr>
              <w:t>September 30,</w:t>
            </w:r>
          </w:p>
        </w:tc>
        <w:tc>
          <w:tcPr>
            <w:tcW w:w="7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3"/>
          </w:tcPr>
          <w:p>
            <w:pPr>
              <w:jc w:val="right"/>
              <w:ind w:right="548"/>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3"/>
          </w:tcPr>
          <w:p>
            <w:pPr>
              <w:jc w:val="right"/>
              <w:ind w:right="54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39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 change</w:t>
            </w:r>
          </w:p>
        </w:tc>
        <w:tc>
          <w:tcPr>
            <w:tcW w:w="100" w:type="dxa"/>
            <w:vAlign w:val="bottom"/>
            <w:tcBorders>
              <w:bottom w:val="single" w:sz="8" w:color="CCEEFF"/>
            </w:tcBorders>
          </w:tcPr>
          <w:p>
            <w:pPr>
              <w:spacing w:after="0"/>
              <w:rPr>
                <w:sz w:val="22"/>
                <w:szCs w:val="22"/>
                <w:color w:val="auto"/>
              </w:rPr>
            </w:pPr>
          </w:p>
        </w:tc>
        <w:tc>
          <w:tcPr>
            <w:tcW w:w="12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 change</w:t>
            </w:r>
          </w:p>
        </w:tc>
      </w:tr>
      <w:tr>
        <w:trPr>
          <w:trHeight w:val="256"/>
        </w:trPr>
        <w:tc>
          <w:tcPr>
            <w:tcW w:w="39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Titleist golf balls</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121,794</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114,950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6,844</w:t>
            </w:r>
          </w:p>
        </w:tc>
        <w:tc>
          <w:tcPr>
            <w:tcW w:w="100" w:type="dxa"/>
            <w:vAlign w:val="bottom"/>
            <w:shd w:val="clear" w:color="auto" w:fill="CCEEFF"/>
          </w:tcPr>
          <w:p>
            <w:pPr>
              <w:spacing w:after="0"/>
              <w:rPr>
                <w:sz w:val="22"/>
                <w:szCs w:val="22"/>
                <w:color w:val="auto"/>
              </w:rPr>
            </w:pPr>
          </w:p>
        </w:tc>
        <w:tc>
          <w:tcPr>
            <w:tcW w:w="15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6.0 %   $</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7,172</w:t>
            </w:r>
          </w:p>
        </w:tc>
        <w:tc>
          <w:tcPr>
            <w:tcW w:w="120" w:type="dxa"/>
            <w:vAlign w:val="bottom"/>
            <w:shd w:val="clear" w:color="auto" w:fill="CCEEFF"/>
          </w:tcPr>
          <w:p>
            <w:pPr>
              <w:spacing w:after="0"/>
              <w:rPr>
                <w:sz w:val="22"/>
                <w:szCs w:val="2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6.2 %</w:t>
            </w:r>
          </w:p>
        </w:tc>
      </w:tr>
      <w:tr>
        <w:trPr>
          <w:trHeight w:val="264"/>
        </w:trPr>
        <w:tc>
          <w:tcPr>
            <w:tcW w:w="3940" w:type="dxa"/>
            <w:vAlign w:val="bottom"/>
            <w:gridSpan w:val="2"/>
          </w:tcPr>
          <w:p>
            <w:pPr>
              <w:ind w:left="40"/>
              <w:spacing w:after="0"/>
              <w:rPr>
                <w:sz w:val="20"/>
                <w:szCs w:val="20"/>
                <w:color w:val="auto"/>
              </w:rPr>
            </w:pPr>
            <w:r>
              <w:rPr>
                <w:rFonts w:ascii="Arial" w:cs="Arial" w:eastAsia="Arial" w:hAnsi="Arial"/>
                <w:sz w:val="14"/>
                <w:szCs w:val="14"/>
                <w:color w:val="auto"/>
              </w:rPr>
              <w:t>Titleist golf clubs</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99,018</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84,676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14,342</w:t>
            </w:r>
          </w:p>
        </w:tc>
        <w:tc>
          <w:tcPr>
            <w:tcW w:w="10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16.9 %</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14,739</w:t>
            </w:r>
          </w:p>
        </w:tc>
        <w:tc>
          <w:tcPr>
            <w:tcW w:w="12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17.4 %</w:t>
            </w:r>
          </w:p>
        </w:tc>
      </w:tr>
      <w:tr>
        <w:trPr>
          <w:trHeight w:val="276"/>
        </w:trPr>
        <w:tc>
          <w:tcPr>
            <w:tcW w:w="39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Titleist golf gear</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30,497</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30,895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(306)</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258"/>
        </w:trPr>
        <w:tc>
          <w:tcPr>
            <w:tcW w:w="3940" w:type="dxa"/>
            <w:vAlign w:val="bottom"/>
            <w:gridSpan w:val="2"/>
          </w:tcPr>
          <w:p>
            <w:pPr>
              <w:ind w:left="40"/>
              <w:spacing w:after="0"/>
              <w:rPr>
                <w:sz w:val="20"/>
                <w:szCs w:val="20"/>
                <w:color w:val="auto"/>
              </w:rPr>
            </w:pPr>
            <w:r>
              <w:rPr>
                <w:rFonts w:ascii="Arial" w:cs="Arial" w:eastAsia="Arial" w:hAnsi="Arial"/>
                <w:sz w:val="14"/>
                <w:szCs w:val="14"/>
                <w:color w:val="auto"/>
              </w:rPr>
              <w:t>FootJoy golf wear</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100,165</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101,010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(845)</w:t>
            </w:r>
          </w:p>
        </w:tc>
        <w:tc>
          <w:tcPr>
            <w:tcW w:w="10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(0.8)%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(307)</w:t>
            </w:r>
          </w:p>
        </w:tc>
        <w:tc>
          <w:tcPr>
            <w:tcW w:w="12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(0.3)%</w:t>
            </w:r>
          </w:p>
        </w:tc>
      </w:tr>
      <w:tr>
        <w:trPr>
          <w:trHeight w:val="444"/>
        </w:trPr>
        <w:tc>
          <w:tcPr>
            <w:tcW w:w="3940" w:type="dxa"/>
            <w:vAlign w:val="bottom"/>
            <w:gridSpan w:val="2"/>
          </w:tcPr>
          <w:p>
            <w:pPr>
              <w:spacing w:after="0"/>
              <w:rPr>
                <w:sz w:val="20"/>
                <w:szCs w:val="20"/>
                <w:color w:val="auto"/>
              </w:rPr>
            </w:pPr>
            <w:r>
              <w:rPr>
                <w:rFonts w:ascii="Arial" w:cs="Arial" w:eastAsia="Arial" w:hAnsi="Arial"/>
                <w:sz w:val="22"/>
                <w:szCs w:val="22"/>
                <w:b w:val="1"/>
                <w:bCs w:val="1"/>
                <w:color w:val="auto"/>
              </w:rPr>
              <w:t>Third Quarter Net Sales by Region</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0"/>
        </w:trPr>
        <w:tc>
          <w:tcPr>
            <w:tcW w:w="324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bl>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2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20" w:type="dxa"/>
            <w:vAlign w:val="bottom"/>
            <w:gridSpan w:val="5"/>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0" w:type="dxa"/>
            <w:vAlign w:val="bottom"/>
            <w:gridSpan w:val="3"/>
          </w:tcPr>
          <w:p>
            <w:pPr>
              <w:jc w:val="right"/>
              <w:ind w:right="528"/>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276"/>
        </w:trPr>
        <w:tc>
          <w:tcPr>
            <w:tcW w:w="3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3"/>
          </w:tcPr>
          <w:p>
            <w:pPr>
              <w:jc w:val="right"/>
              <w:ind w:right="528"/>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 change</w:t>
            </w:r>
          </w:p>
        </w:tc>
        <w:tc>
          <w:tcPr>
            <w:tcW w:w="100" w:type="dxa"/>
            <w:vAlign w:val="bottom"/>
            <w:tcBorders>
              <w:bottom w:val="single" w:sz="8" w:color="CCEEFF"/>
            </w:tcBorders>
          </w:tcPr>
          <w:p>
            <w:pPr>
              <w:spacing w:after="0"/>
              <w:rPr>
                <w:sz w:val="22"/>
                <w:szCs w:val="22"/>
                <w:color w:val="auto"/>
              </w:rPr>
            </w:pPr>
          </w:p>
        </w:tc>
        <w:tc>
          <w:tcPr>
            <w:tcW w:w="11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256"/>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United States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203,194</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183,495</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19,699</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10.7 %</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19,699</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color w:val="auto"/>
              </w:rPr>
              <w:t>EMEA</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41,659</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40,646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1,013</w:t>
            </w:r>
          </w:p>
        </w:tc>
        <w:tc>
          <w:tcPr>
            <w:tcW w:w="1320" w:type="dxa"/>
            <w:vAlign w:val="bottom"/>
            <w:gridSpan w:val="2"/>
          </w:tcPr>
          <w:p>
            <w:pPr>
              <w:jc w:val="right"/>
              <w:spacing w:after="0"/>
              <w:rPr>
                <w:sz w:val="20"/>
                <w:szCs w:val="20"/>
                <w:color w:val="auto"/>
              </w:rPr>
            </w:pPr>
            <w:r>
              <w:rPr>
                <w:rFonts w:ascii="Arial" w:cs="Arial" w:eastAsia="Arial" w:hAnsi="Arial"/>
                <w:sz w:val="14"/>
                <w:szCs w:val="14"/>
                <w:color w:val="auto"/>
              </w:rPr>
              <w:t>2.5 %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1,534</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Japan</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41,683</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41,130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553</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1.3 %</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749</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color w:val="auto"/>
              </w:rPr>
              <w:t>Korea</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50,030</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47,502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2,528</w:t>
            </w:r>
          </w:p>
        </w:tc>
        <w:tc>
          <w:tcPr>
            <w:tcW w:w="1320" w:type="dxa"/>
            <w:vAlign w:val="bottom"/>
            <w:gridSpan w:val="2"/>
          </w:tcPr>
          <w:p>
            <w:pPr>
              <w:jc w:val="right"/>
              <w:spacing w:after="0"/>
              <w:rPr>
                <w:sz w:val="20"/>
                <w:szCs w:val="20"/>
                <w:color w:val="auto"/>
              </w:rPr>
            </w:pPr>
            <w:r>
              <w:rPr>
                <w:rFonts w:ascii="Arial" w:cs="Arial" w:eastAsia="Arial" w:hAnsi="Arial"/>
                <w:sz w:val="14"/>
                <w:szCs w:val="14"/>
                <w:color w:val="auto"/>
              </w:rPr>
              <w:t>5.3 %</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1,998</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Rest of world</w:t>
            </w: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33,861</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34,490</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(629)</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428</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43"/>
        </w:trPr>
        <w:tc>
          <w:tcPr>
            <w:tcW w:w="4000" w:type="dxa"/>
            <w:vAlign w:val="bottom"/>
            <w:gridSpan w:val="2"/>
          </w:tcPr>
          <w:p>
            <w:pPr>
              <w:ind w:left="280"/>
              <w:spacing w:after="0"/>
              <w:rPr>
                <w:sz w:val="20"/>
                <w:szCs w:val="20"/>
                <w:color w:val="auto"/>
              </w:rPr>
            </w:pPr>
            <w:r>
              <w:rPr>
                <w:rFonts w:ascii="Arial" w:cs="Arial" w:eastAsia="Arial" w:hAnsi="Arial"/>
                <w:sz w:val="14"/>
                <w:szCs w:val="14"/>
                <w:b w:val="1"/>
                <w:bCs w:val="1"/>
                <w:color w:val="auto"/>
              </w:rPr>
              <w:t>Total net sales</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370,427</w:t>
            </w:r>
          </w:p>
        </w:tc>
        <w:tc>
          <w:tcPr>
            <w:tcW w:w="100" w:type="dxa"/>
            <w:vAlign w:val="bottom"/>
          </w:tcPr>
          <w:p>
            <w:pPr>
              <w:spacing w:after="0"/>
              <w:rPr>
                <w:sz w:val="21"/>
                <w:szCs w:val="21"/>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347,263</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23,164</w:t>
            </w:r>
          </w:p>
        </w:tc>
        <w:tc>
          <w:tcPr>
            <w:tcW w:w="1320" w:type="dxa"/>
            <w:vAlign w:val="bottom"/>
            <w:gridSpan w:val="2"/>
          </w:tcPr>
          <w:p>
            <w:pPr>
              <w:jc w:val="right"/>
              <w:spacing w:after="0"/>
              <w:rPr>
                <w:sz w:val="20"/>
                <w:szCs w:val="20"/>
                <w:color w:val="auto"/>
              </w:rPr>
            </w:pPr>
            <w:r>
              <w:rPr>
                <w:rFonts w:ascii="Arial" w:cs="Arial" w:eastAsia="Arial" w:hAnsi="Arial"/>
                <w:sz w:val="14"/>
                <w:szCs w:val="14"/>
                <w:color w:val="auto"/>
              </w:rPr>
              <w:t>6.7 %</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24,408</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0"/>
        </w:trPr>
        <w:tc>
          <w:tcPr>
            <w:tcW w:w="3240" w:type="dxa"/>
            <w:vAlign w:val="bottom"/>
            <w:vMerge w:val="restart"/>
          </w:tcPr>
          <w:p>
            <w:pPr>
              <w:spacing w:after="0"/>
              <w:rPr>
                <w:sz w:val="20"/>
                <w:szCs w:val="20"/>
                <w:color w:val="auto"/>
              </w:rPr>
            </w:pPr>
            <w:r>
              <w:rPr>
                <w:rFonts w:ascii="Arial" w:cs="Arial" w:eastAsia="Arial" w:hAnsi="Arial"/>
                <w:sz w:val="22"/>
                <w:szCs w:val="22"/>
                <w:b w:val="1"/>
                <w:bCs w:val="1"/>
                <w:color w:val="auto"/>
                <w:w w:val="87"/>
              </w:rPr>
              <w:t>Nine Months Net Sales by Segment</w:t>
            </w:r>
          </w:p>
        </w:tc>
        <w:tc>
          <w:tcPr>
            <w:tcW w:w="760" w:type="dxa"/>
            <w:vAlign w:val="bottom"/>
            <w:vMerge w:val="restart"/>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8"/>
        </w:trPr>
        <w:tc>
          <w:tcPr>
            <w:tcW w:w="3240" w:type="dxa"/>
            <w:vAlign w:val="bottom"/>
            <w:tcBorders>
              <w:bottom w:val="single" w:sz="8" w:color="auto"/>
            </w:tcBorders>
            <w:vMerge w:val="continue"/>
          </w:tcPr>
          <w:p>
            <w:pPr>
              <w:spacing w:after="0"/>
              <w:rPr>
                <w:sz w:val="24"/>
                <w:szCs w:val="24"/>
                <w:color w:val="auto"/>
              </w:rPr>
            </w:pPr>
          </w:p>
        </w:tc>
        <w:tc>
          <w:tcPr>
            <w:tcW w:w="76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0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2"/>
              </w:rPr>
              <w:t>Nine months ended</w:t>
            </w: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60" w:type="dxa"/>
            <w:vAlign w:val="bottom"/>
            <w:gridSpan w:val="3"/>
          </w:tcPr>
          <w:p>
            <w:pPr>
              <w:jc w:val="right"/>
              <w:ind w:right="548"/>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3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center"/>
              <w:ind w:left="428"/>
              <w:spacing w:after="0"/>
              <w:rPr>
                <w:sz w:val="20"/>
                <w:szCs w:val="20"/>
                <w:color w:val="auto"/>
              </w:rPr>
            </w:pPr>
            <w:r>
              <w:rPr>
                <w:rFonts w:ascii="Arial" w:cs="Arial" w:eastAsia="Arial" w:hAnsi="Arial"/>
                <w:sz w:val="14"/>
                <w:szCs w:val="14"/>
                <w:b w:val="1"/>
                <w:bCs w:val="1"/>
                <w:color w:val="auto"/>
                <w:w w:val="91"/>
              </w:rPr>
              <w:t>September 30,</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gridSpan w:val="3"/>
          </w:tcPr>
          <w:p>
            <w:pPr>
              <w:jc w:val="right"/>
              <w:ind w:right="528"/>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3"/>
          </w:tcPr>
          <w:p>
            <w:pPr>
              <w:jc w:val="right"/>
              <w:ind w:right="54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Pr>
          <w:p>
            <w:pPr>
              <w:spacing w:after="0"/>
              <w:rPr>
                <w:sz w:val="22"/>
                <w:szCs w:val="22"/>
                <w:color w:val="auto"/>
              </w:rPr>
            </w:pPr>
          </w:p>
        </w:tc>
        <w:tc>
          <w:tcPr>
            <w:tcW w:w="880" w:type="dxa"/>
            <w:vAlign w:val="bottom"/>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348"/>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 change</w:t>
            </w:r>
          </w:p>
        </w:tc>
        <w:tc>
          <w:tcPr>
            <w:tcW w:w="1280" w:type="dxa"/>
            <w:vAlign w:val="bottom"/>
            <w:gridSpan w:val="2"/>
          </w:tcPr>
          <w:p>
            <w:pPr>
              <w:ind w:left="280"/>
              <w:spacing w:after="0"/>
              <w:rPr>
                <w:sz w:val="20"/>
                <w:szCs w:val="20"/>
                <w:color w:val="auto"/>
              </w:rPr>
            </w:pPr>
            <w:r>
              <w:rPr>
                <w:rFonts w:ascii="Arial" w:cs="Arial" w:eastAsia="Arial" w:hAnsi="Arial"/>
                <w:sz w:val="14"/>
                <w:szCs w:val="14"/>
                <w:b w:val="1"/>
                <w:bCs w:val="1"/>
                <w:color w:val="auto"/>
              </w:rPr>
              <w:t>% change</w:t>
            </w:r>
          </w:p>
        </w:tc>
        <w:tc>
          <w:tcPr>
            <w:tcW w:w="20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 change</w:t>
            </w:r>
          </w:p>
        </w:tc>
        <w:tc>
          <w:tcPr>
            <w:tcW w:w="1220" w:type="dxa"/>
            <w:vAlign w:val="bottom"/>
          </w:tcPr>
          <w:p>
            <w:pPr>
              <w:jc w:val="right"/>
              <w:ind w:right="228"/>
              <w:spacing w:after="0"/>
              <w:rPr>
                <w:sz w:val="20"/>
                <w:szCs w:val="20"/>
                <w:color w:val="auto"/>
              </w:rPr>
            </w:pPr>
            <w:r>
              <w:rPr>
                <w:rFonts w:ascii="Arial" w:cs="Arial" w:eastAsia="Arial" w:hAnsi="Arial"/>
                <w:sz w:val="14"/>
                <w:szCs w:val="14"/>
                <w:b w:val="1"/>
                <w:bCs w:val="1"/>
                <w:color w:val="auto"/>
              </w:rPr>
              <w:t>% change</w:t>
            </w:r>
          </w:p>
        </w:tc>
      </w:tr>
      <w:tr>
        <w:trPr>
          <w:trHeight w:val="256"/>
        </w:trPr>
        <w:tc>
          <w:tcPr>
            <w:tcW w:w="400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Titleist golf balls</w:t>
            </w: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418,911</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404,101</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14,810</w:t>
            </w:r>
          </w:p>
        </w:tc>
        <w:tc>
          <w:tcPr>
            <w:tcW w:w="100" w:type="dxa"/>
            <w:vAlign w:val="bottom"/>
            <w:tcBorders>
              <w:top w:val="single" w:sz="8" w:color="CCEEFF"/>
            </w:tcBorders>
            <w:shd w:val="clear" w:color="auto" w:fill="CCEEFF"/>
          </w:tcPr>
          <w:p>
            <w:pPr>
              <w:spacing w:after="0"/>
              <w:rPr>
                <w:sz w:val="22"/>
                <w:szCs w:val="22"/>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8,002</w:t>
            </w:r>
          </w:p>
        </w:tc>
        <w:tc>
          <w:tcPr>
            <w:tcW w:w="120" w:type="dxa"/>
            <w:vAlign w:val="bottom"/>
            <w:tcBorders>
              <w:top w:val="single" w:sz="8" w:color="CCEEFF"/>
            </w:tcBorders>
            <w:shd w:val="clear" w:color="auto" w:fill="CCEEFF"/>
          </w:tcPr>
          <w:p>
            <w:pPr>
              <w:spacing w:after="0"/>
              <w:rPr>
                <w:sz w:val="22"/>
                <w:szCs w:val="22"/>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2.0 %</w:t>
            </w: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color w:val="auto"/>
              </w:rPr>
              <w:t>Titleist golf clubs</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333,750</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279,955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53,795</w:t>
            </w:r>
          </w:p>
        </w:tc>
        <w:tc>
          <w:tcPr>
            <w:tcW w:w="10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19.2%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47,221</w:t>
            </w:r>
          </w:p>
        </w:tc>
        <w:tc>
          <w:tcPr>
            <w:tcW w:w="12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16.9 %</w:t>
            </w:r>
          </w:p>
        </w:tc>
      </w:tr>
      <w:tr>
        <w:trPr>
          <w:trHeight w:val="276"/>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Titleist golf gear</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120,664</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120,585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w:t>
            </w:r>
          </w:p>
        </w:tc>
        <w:tc>
          <w:tcPr>
            <w:tcW w:w="10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(2,854)</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r>
      <w:tr>
        <w:trPr>
          <w:trHeight w:val="258"/>
        </w:trPr>
        <w:tc>
          <w:tcPr>
            <w:tcW w:w="4000" w:type="dxa"/>
            <w:vAlign w:val="bottom"/>
            <w:gridSpan w:val="2"/>
          </w:tcPr>
          <w:p>
            <w:pPr>
              <w:ind w:left="40"/>
              <w:spacing w:after="0"/>
              <w:rPr>
                <w:sz w:val="20"/>
                <w:szCs w:val="20"/>
                <w:color w:val="auto"/>
              </w:rPr>
            </w:pPr>
            <w:r>
              <w:rPr>
                <w:rFonts w:ascii="Arial" w:cs="Arial" w:eastAsia="Arial" w:hAnsi="Arial"/>
                <w:sz w:val="14"/>
                <w:szCs w:val="14"/>
                <w:color w:val="auto"/>
              </w:rPr>
              <w:t>FootJoy golf wear</w:t>
            </w: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360,367</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355,750</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4,617</w:t>
            </w:r>
          </w:p>
        </w:tc>
        <w:tc>
          <w:tcPr>
            <w:tcW w:w="10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(4,675)</w:t>
            </w:r>
          </w:p>
        </w:tc>
        <w:tc>
          <w:tcPr>
            <w:tcW w:w="12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(1.3)%</w:t>
            </w:r>
          </w:p>
        </w:tc>
      </w:tr>
      <w:tr>
        <w:trPr>
          <w:trHeight w:val="485"/>
        </w:trPr>
        <w:tc>
          <w:tcPr>
            <w:tcW w:w="4000" w:type="dxa"/>
            <w:vAlign w:val="bottom"/>
            <w:gridSpan w:val="2"/>
          </w:tcPr>
          <w:p>
            <w:pPr>
              <w:spacing w:after="0"/>
              <w:rPr>
                <w:sz w:val="20"/>
                <w:szCs w:val="20"/>
                <w:color w:val="auto"/>
              </w:rPr>
            </w:pPr>
            <w:r>
              <w:rPr>
                <w:rFonts w:ascii="Arial" w:cs="Arial" w:eastAsia="Arial" w:hAnsi="Arial"/>
                <w:sz w:val="22"/>
                <w:szCs w:val="22"/>
                <w:b w:val="1"/>
                <w:bCs w:val="1"/>
                <w:color w:val="auto"/>
              </w:rPr>
              <w:t>Nine Months Net Sales by Region</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0"/>
        </w:trPr>
        <w:tc>
          <w:tcPr>
            <w:tcW w:w="308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bl>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20" w:type="dxa"/>
            <w:vAlign w:val="bottom"/>
            <w:gridSpan w:val="5"/>
          </w:tcPr>
          <w:p>
            <w:pPr>
              <w:ind w:left="340"/>
              <w:spacing w:after="0"/>
              <w:rPr>
                <w:sz w:val="20"/>
                <w:szCs w:val="20"/>
                <w:color w:val="auto"/>
              </w:rPr>
            </w:pPr>
            <w:r>
              <w:rPr>
                <w:rFonts w:ascii="Arial" w:cs="Arial" w:eastAsia="Arial" w:hAnsi="Arial"/>
                <w:sz w:val="14"/>
                <w:szCs w:val="14"/>
                <w:b w:val="1"/>
                <w:bCs w:val="1"/>
                <w:color w:val="auto"/>
              </w:rPr>
              <w:t>Nine months ended</w:t>
            </w: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0" w:type="dxa"/>
            <w:vAlign w:val="bottom"/>
            <w:gridSpan w:val="3"/>
          </w:tcPr>
          <w:p>
            <w:pPr>
              <w:jc w:val="right"/>
              <w:ind w:right="528"/>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0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Increase/(Decrease)</w:t>
            </w: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11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 change</w:t>
            </w:r>
          </w:p>
        </w:tc>
        <w:tc>
          <w:tcPr>
            <w:tcW w:w="100" w:type="dxa"/>
            <w:vAlign w:val="bottom"/>
            <w:tcBorders>
              <w:bottom w:val="single" w:sz="8" w:color="CCEEFF"/>
            </w:tcBorders>
          </w:tcPr>
          <w:p>
            <w:pPr>
              <w:spacing w:after="0"/>
              <w:rPr>
                <w:sz w:val="22"/>
                <w:szCs w:val="22"/>
                <w:color w:val="auto"/>
              </w:rPr>
            </w:pPr>
          </w:p>
        </w:tc>
        <w:tc>
          <w:tcPr>
            <w:tcW w:w="11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r>
      <w:tr>
        <w:trPr>
          <w:trHeight w:val="256"/>
        </w:trPr>
        <w:tc>
          <w:tcPr>
            <w:tcW w:w="4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United States</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675,223</w:t>
            </w:r>
          </w:p>
        </w:tc>
        <w:tc>
          <w:tcPr>
            <w:tcW w:w="12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630,784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44,439</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44,439</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7.0%</w:t>
            </w:r>
          </w:p>
        </w:tc>
      </w:tr>
      <w:tr>
        <w:trPr>
          <w:trHeight w:val="264"/>
        </w:trPr>
        <w:tc>
          <w:tcPr>
            <w:tcW w:w="4020" w:type="dxa"/>
            <w:vAlign w:val="bottom"/>
          </w:tcPr>
          <w:p>
            <w:pPr>
              <w:ind w:left="40"/>
              <w:spacing w:after="0"/>
              <w:rPr>
                <w:sz w:val="20"/>
                <w:szCs w:val="20"/>
                <w:color w:val="auto"/>
              </w:rPr>
            </w:pPr>
            <w:r>
              <w:rPr>
                <w:rFonts w:ascii="Arial" w:cs="Arial" w:eastAsia="Arial" w:hAnsi="Arial"/>
                <w:sz w:val="14"/>
                <w:szCs w:val="14"/>
                <w:color w:val="auto"/>
              </w:rPr>
              <w:t>EMEA</w:t>
            </w:r>
          </w:p>
        </w:tc>
        <w:tc>
          <w:tcPr>
            <w:tcW w:w="2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182,375</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166,533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15,842</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9.5%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2,637</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1.6%</w:t>
            </w:r>
          </w:p>
        </w:tc>
      </w:tr>
      <w:tr>
        <w:trPr>
          <w:trHeight w:val="276"/>
        </w:trPr>
        <w:tc>
          <w:tcPr>
            <w:tcW w:w="4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Japan</w:t>
            </w: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139,299</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135,607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3,692</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0.1%</w:t>
            </w:r>
          </w:p>
        </w:tc>
      </w:tr>
      <w:tr>
        <w:trPr>
          <w:trHeight w:val="264"/>
        </w:trPr>
        <w:tc>
          <w:tcPr>
            <w:tcW w:w="4020" w:type="dxa"/>
            <w:vAlign w:val="bottom"/>
          </w:tcPr>
          <w:p>
            <w:pPr>
              <w:ind w:left="40"/>
              <w:spacing w:after="0"/>
              <w:rPr>
                <w:sz w:val="20"/>
                <w:szCs w:val="20"/>
                <w:color w:val="auto"/>
              </w:rPr>
            </w:pPr>
            <w:r>
              <w:rPr>
                <w:rFonts w:ascii="Arial" w:cs="Arial" w:eastAsia="Arial" w:hAnsi="Arial"/>
                <w:sz w:val="14"/>
                <w:szCs w:val="14"/>
                <w:color w:val="auto"/>
              </w:rPr>
              <w:t>Korea</w:t>
            </w:r>
          </w:p>
        </w:tc>
        <w:tc>
          <w:tcPr>
            <w:tcW w:w="2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164,679</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153,354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11,325</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3,794</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2.5%</w:t>
            </w:r>
          </w:p>
        </w:tc>
      </w:tr>
      <w:tr>
        <w:trPr>
          <w:trHeight w:val="270"/>
        </w:trPr>
        <w:tc>
          <w:tcPr>
            <w:tcW w:w="40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Rest of world</w:t>
            </w:r>
          </w:p>
        </w:tc>
        <w:tc>
          <w:tcPr>
            <w:tcW w:w="2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128,790</w:t>
            </w:r>
          </w:p>
        </w:tc>
        <w:tc>
          <w:tcPr>
            <w:tcW w:w="12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122,588</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6,202</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2,675</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243"/>
        </w:trPr>
        <w:tc>
          <w:tcPr>
            <w:tcW w:w="4020" w:type="dxa"/>
            <w:vAlign w:val="bottom"/>
          </w:tcPr>
          <w:p>
            <w:pPr>
              <w:ind w:left="280"/>
              <w:spacing w:after="0"/>
              <w:rPr>
                <w:sz w:val="20"/>
                <w:szCs w:val="20"/>
                <w:color w:val="auto"/>
              </w:rPr>
            </w:pPr>
            <w:r>
              <w:rPr>
                <w:rFonts w:ascii="Arial" w:cs="Arial" w:eastAsia="Arial" w:hAnsi="Arial"/>
                <w:sz w:val="14"/>
                <w:szCs w:val="14"/>
                <w:b w:val="1"/>
                <w:bCs w:val="1"/>
                <w:color w:val="auto"/>
              </w:rPr>
              <w:t>Total net sales</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1,290,366</w:t>
            </w:r>
          </w:p>
        </w:tc>
        <w:tc>
          <w:tcPr>
            <w:tcW w:w="120" w:type="dxa"/>
            <w:vAlign w:val="bottom"/>
          </w:tcPr>
          <w:p>
            <w:pPr>
              <w:spacing w:after="0"/>
              <w:rPr>
                <w:sz w:val="21"/>
                <w:szCs w:val="21"/>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3"/>
              </w:rPr>
              <w:t>1,208,866</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81,500</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53,626</w:t>
            </w:r>
          </w:p>
        </w:tc>
        <w:tc>
          <w:tcPr>
            <w:tcW w:w="1280" w:type="dxa"/>
            <w:vAlign w:val="bottom"/>
            <w:gridSpan w:val="2"/>
          </w:tcPr>
          <w:p>
            <w:pPr>
              <w:jc w:val="right"/>
              <w:spacing w:after="0"/>
              <w:rPr>
                <w:sz w:val="20"/>
                <w:szCs w:val="20"/>
                <w:color w:val="auto"/>
              </w:rPr>
            </w:pPr>
            <w:r>
              <w:rPr>
                <w:rFonts w:ascii="Arial" w:cs="Arial" w:eastAsia="Arial" w:hAnsi="Arial"/>
                <w:sz w:val="14"/>
                <w:szCs w:val="14"/>
                <w:color w:val="auto"/>
              </w:rPr>
              <w:t>4.4%</w:t>
            </w:r>
          </w:p>
        </w:tc>
      </w:tr>
      <w:tr>
        <w:trPr>
          <w:trHeight w:val="20"/>
        </w:trPr>
        <w:tc>
          <w:tcPr>
            <w:tcW w:w="40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left="320"/>
        <w:spacing w:after="0"/>
        <w:rPr>
          <w:sz w:val="20"/>
          <w:szCs w:val="20"/>
          <w:color w:val="auto"/>
        </w:rPr>
      </w:pPr>
      <w:r>
        <w:rPr>
          <w:rFonts w:ascii="Arial" w:cs="Arial" w:eastAsia="Arial" w:hAnsi="Arial"/>
          <w:sz w:val="19"/>
          <w:szCs w:val="19"/>
          <w:color w:val="auto"/>
        </w:rPr>
        <w:t>10</w:t>
      </w:r>
    </w:p>
    <w:p>
      <w:pPr>
        <w:sectPr>
          <w:pgSz w:w="11900" w:h="16838" w:orient="portrait"/>
          <w:cols w:equalWidth="0" w:num="1">
            <w:col w:w="11420"/>
          </w:cols>
          <w:pgMar w:left="240" w:top="801" w:right="239" w:bottom="1440" w:gutter="0" w:footer="0" w:header="0"/>
          <w:type w:val="continuous"/>
        </w:sectPr>
      </w:pPr>
    </w:p>
    <w:bookmarkStart w:id="13" w:name="page14"/>
    <w:bookmarkEnd w:id="13"/>
    <w:p>
      <w:pPr>
        <w:jc w:val="center"/>
        <w:ind w:right="-19"/>
        <w:spacing w:after="0"/>
        <w:rPr>
          <w:sz w:val="20"/>
          <w:szCs w:val="20"/>
          <w:color w:val="auto"/>
        </w:rPr>
      </w:pPr>
      <w:r>
        <w:rPr>
          <w:rFonts w:ascii="Arial" w:cs="Arial" w:eastAsia="Arial" w:hAnsi="Arial"/>
          <w:sz w:val="22"/>
          <w:szCs w:val="22"/>
          <w:b w:val="1"/>
          <w:bCs w:val="1"/>
          <w:color w:val="auto"/>
        </w:rPr>
        <w:t>ACUSHNET HOLDINGS CORP.</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Reconciliation of GAAP to Non-GAAP Measures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(Unaudited)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Measures</w:t>
      </w:r>
    </w:p>
    <w:p>
      <w:pPr>
        <w:spacing w:after="0" w:line="226" w:lineRule="exact"/>
        <w:rPr>
          <w:sz w:val="20"/>
          <w:szCs w:val="20"/>
          <w:color w:val="auto"/>
        </w:rPr>
      </w:pPr>
    </w:p>
    <w:p>
      <w:pPr>
        <w:ind w:right="40"/>
        <w:spacing w:after="0" w:line="260" w:lineRule="auto"/>
        <w:rPr>
          <w:sz w:val="20"/>
          <w:szCs w:val="20"/>
          <w:color w:val="auto"/>
        </w:rPr>
      </w:pPr>
      <w:r>
        <w:rPr>
          <w:rFonts w:ascii="Arial" w:cs="Arial" w:eastAsia="Arial" w:hAnsi="Arial"/>
          <w:sz w:val="21"/>
          <w:szCs w:val="21"/>
          <w:color w:val="auto"/>
        </w:rPr>
        <w:t>The Company reports its financial results in accordance with generally accepted accounting principles in the United States (“GAAP”). However, this release includes the non-GAAP financial measures of net sales in constant currency, Adjusted EBITDA and Adjusted EBITDA margin. These non-GAAP financial measures are not measures of financial performance in accordance with GAAP and may exclude items that are significant to understanding and assessing the Company’s financial results. Therefore, these measures should not be considered in isolation or as an alternative to net sales, net income or other measures of profitability or performance under GAAP. You should be aware that the Company’s presentation of these measures may not be comparable to similarly-titled measures used by other companies.</w:t>
      </w:r>
    </w:p>
    <w:p>
      <w:pPr>
        <w:spacing w:after="0" w:line="181" w:lineRule="exact"/>
        <w:rPr>
          <w:sz w:val="20"/>
          <w:szCs w:val="20"/>
          <w:color w:val="auto"/>
        </w:rPr>
      </w:pPr>
    </w:p>
    <w:p>
      <w:pPr>
        <w:ind w:right="180"/>
        <w:spacing w:after="0" w:line="292" w:lineRule="auto"/>
        <w:rPr>
          <w:sz w:val="20"/>
          <w:szCs w:val="20"/>
          <w:color w:val="auto"/>
        </w:rPr>
      </w:pPr>
      <w:r>
        <w:rPr>
          <w:rFonts w:ascii="Arial" w:cs="Arial" w:eastAsia="Arial" w:hAnsi="Arial"/>
          <w:sz w:val="19"/>
          <w:szCs w:val="19"/>
          <w:color w:val="auto"/>
        </w:rPr>
        <w:t>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GAAP. Our presentation of constant currency information may not be consistent with the manner in which similar measures are derived or used by other companies.</w:t>
      </w:r>
    </w:p>
    <w:p>
      <w:pPr>
        <w:spacing w:after="0" w:line="151" w:lineRule="exact"/>
        <w:rPr>
          <w:sz w:val="20"/>
          <w:szCs w:val="20"/>
          <w:color w:val="auto"/>
        </w:rPr>
      </w:pPr>
    </w:p>
    <w:p>
      <w:pPr>
        <w:spacing w:after="0" w:line="247" w:lineRule="auto"/>
        <w:rPr>
          <w:sz w:val="20"/>
          <w:szCs w:val="20"/>
          <w:color w:val="auto"/>
        </w:rPr>
      </w:pPr>
      <w:r>
        <w:rPr>
          <w:rFonts w:ascii="Arial" w:cs="Arial" w:eastAsia="Arial" w:hAnsi="Arial"/>
          <w:sz w:val="22"/>
          <w:szCs w:val="22"/>
          <w:color w:val="auto"/>
        </w:rPr>
        <w:t>Adjusted EBITDA represents net income attributable to Acushnet Holdings Corp. adjusted for income tax expense, interest expense, depreciation and amortization, share-based compensation expense, certain transaction fees, indemnification expense (income) from our former owner Beam Suntory, Inc. (formerly known as Fortune Brands, Inc.) (“Beam”), executive pension settlement, certain other non-cash (gains) losses, net and the net income relating to noncontrolling interests in our FootJoy golf shoe joint venture. We define Adjusted EBITDA in a manner consistent with the term “Consolidated EBITDA” as it is defined in our credit agreement.</w:t>
      </w:r>
    </w:p>
    <w:p>
      <w:pPr>
        <w:spacing w:after="0" w:line="194"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We present Adjusted EBITDA as a supplemental measure because it excludes the impact of certain items that we do not consider indicative of our ongoing operating performance. Management uses Adjusted EBITDA to evaluate the effectiveness of our business strategies, assess our consolidated operating performance and make decisions regarding pricing of our products, go to market execution and costs to incur across our business.</w:t>
      </w:r>
    </w:p>
    <w:p>
      <w:pPr>
        <w:spacing w:after="0" w:line="188" w:lineRule="exact"/>
        <w:rPr>
          <w:sz w:val="20"/>
          <w:szCs w:val="20"/>
          <w:color w:val="auto"/>
        </w:rPr>
      </w:pPr>
    </w:p>
    <w:p>
      <w:pPr>
        <w:spacing w:after="0" w:line="253" w:lineRule="auto"/>
        <w:rPr>
          <w:sz w:val="20"/>
          <w:szCs w:val="20"/>
          <w:color w:val="auto"/>
        </w:rPr>
      </w:pPr>
      <w:r>
        <w:rPr>
          <w:rFonts w:ascii="Arial" w:cs="Arial" w:eastAsia="Arial" w:hAnsi="Arial"/>
          <w:sz w:val="22"/>
          <w:szCs w:val="22"/>
          <w:color w:val="auto"/>
        </w:rPr>
        <w:t>We believe Adjusted EBITDA provides useful information to investors regarding our consolidated operating performance. By presenting Adjusted EBITDA, we provide a basis for comparison of our business operations between different periods by excluding items that we do not believe are indicative of our core operating performance.</w:t>
      </w:r>
    </w:p>
    <w:p>
      <w:pPr>
        <w:spacing w:after="0" w:line="186" w:lineRule="exact"/>
        <w:rPr>
          <w:sz w:val="20"/>
          <w:szCs w:val="20"/>
          <w:color w:val="auto"/>
        </w:rPr>
      </w:pPr>
    </w:p>
    <w:p>
      <w:pPr>
        <w:ind w:right="340"/>
        <w:spacing w:after="0" w:line="263" w:lineRule="auto"/>
        <w:rPr>
          <w:sz w:val="20"/>
          <w:szCs w:val="20"/>
          <w:color w:val="auto"/>
        </w:rPr>
      </w:pPr>
      <w:r>
        <w:rPr>
          <w:rFonts w:ascii="Arial" w:cs="Arial" w:eastAsia="Arial" w:hAnsi="Arial"/>
          <w:sz w:val="22"/>
          <w:szCs w:val="22"/>
          <w:color w:val="auto"/>
        </w:rPr>
        <w:t>Adjusted EBITDA is not a measurement of financial performance under GAAP. It should not be considered an alternative to net income attributable to Acushnet Holdings Corp. as a measure of our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801" w:right="239" w:bottom="1440" w:gutter="0" w:footer="0" w:header="0"/>
        </w:sectPr>
      </w:pPr>
    </w:p>
    <w:bookmarkStart w:id="14" w:name="page15"/>
    <w:bookmarkEnd w:id="14"/>
    <w:p>
      <w:pPr>
        <w:ind w:right="160"/>
        <w:spacing w:after="0" w:line="247" w:lineRule="auto"/>
        <w:rPr>
          <w:sz w:val="20"/>
          <w:szCs w:val="20"/>
          <w:color w:val="auto"/>
        </w:rPr>
      </w:pPr>
      <w:r>
        <w:rPr>
          <w:rFonts w:ascii="Arial" w:cs="Arial" w:eastAsia="Arial" w:hAnsi="Arial"/>
          <w:sz w:val="22"/>
          <w:szCs w:val="22"/>
          <w:color w:val="auto"/>
        </w:rPr>
        <w:t>operating performance or any other measure of performance derived in accordance with GAAP. In addition, Adjusted EBITDA should not be construed as an inference that our future results will be unaffected by unusual or non-recurring items, or affected by similar non-recurring items. Adjusted EBITDA has limitations as an analytical tool, and you should not consider such measure either in isolation or as a substitute for analyzing our results as reported under GAAP. Our definition and calculation of Adjusted EBITDA is not necessarily comparable to other similarly titled measures used by other companies due to different methods of calculation.</w:t>
      </w:r>
    </w:p>
    <w:p>
      <w:pPr>
        <w:spacing w:after="0" w:line="194" w:lineRule="exact"/>
        <w:rPr>
          <w:sz w:val="20"/>
          <w:szCs w:val="20"/>
          <w:color w:val="auto"/>
        </w:rPr>
      </w:pPr>
    </w:p>
    <w:p>
      <w:pPr>
        <w:spacing w:after="0" w:line="246" w:lineRule="auto"/>
        <w:rPr>
          <w:sz w:val="20"/>
          <w:szCs w:val="20"/>
          <w:color w:val="auto"/>
        </w:rPr>
      </w:pPr>
      <w:r>
        <w:rPr>
          <w:rFonts w:ascii="Arial" w:cs="Arial" w:eastAsia="Arial" w:hAnsi="Arial"/>
          <w:sz w:val="22"/>
          <w:szCs w:val="22"/>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GAAP. It should not be considered an alternative to any measure of performance derived in accordance with GAAP.</w:t>
      </w:r>
    </w:p>
    <w:p>
      <w:pPr>
        <w:spacing w:after="0" w:line="197" w:lineRule="exact"/>
        <w:rPr>
          <w:sz w:val="20"/>
          <w:szCs w:val="20"/>
          <w:color w:val="auto"/>
        </w:rPr>
      </w:pPr>
    </w:p>
    <w:p>
      <w:pPr>
        <w:ind w:right="320"/>
        <w:spacing w:after="0" w:line="263" w:lineRule="auto"/>
        <w:rPr>
          <w:sz w:val="20"/>
          <w:szCs w:val="20"/>
          <w:color w:val="auto"/>
        </w:rPr>
      </w:pPr>
      <w:r>
        <w:rPr>
          <w:rFonts w:ascii="Arial" w:cs="Arial" w:eastAsia="Arial" w:hAnsi="Arial"/>
          <w:sz w:val="22"/>
          <w:szCs w:val="22"/>
          <w:color w:val="auto"/>
        </w:rPr>
        <w:t>The following table presents reconciliations of net income attributable to Acushnet Holdings Corp. to Adjusted EBITDA for the periods presented (dollars in thousands):</w:t>
      </w:r>
    </w:p>
    <w:p>
      <w:pPr>
        <w:spacing w:after="0" w:line="327" w:lineRule="exact"/>
        <w:rPr>
          <w:sz w:val="20"/>
          <w:szCs w:val="20"/>
          <w:color w:val="auto"/>
        </w:rPr>
      </w:pPr>
    </w:p>
    <w:tbl>
      <w:tblPr>
        <w:tblLayout w:type="fixed"/>
        <w:tblInd w:w="160" w:type="dxa"/>
        <w:tblCellMar>
          <w:top w:w="0" w:type="dxa"/>
          <w:left w:w="0" w:type="dxa"/>
          <w:bottom w:w="0" w:type="dxa"/>
          <w:right w:w="0" w:type="dxa"/>
        </w:tblCellMar>
      </w:tblPr>
      <w:tr>
        <w:trPr>
          <w:trHeight w:val="234"/>
        </w:trPr>
        <w:tc>
          <w:tcPr>
            <w:tcW w:w="5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500" w:type="dxa"/>
            <w:vAlign w:val="bottom"/>
            <w:gridSpan w:val="5"/>
          </w:tcPr>
          <w:p>
            <w:pPr>
              <w:jc w:val="center"/>
              <w:ind w:right="360"/>
              <w:spacing w:after="0"/>
              <w:rPr>
                <w:sz w:val="20"/>
                <w:szCs w:val="20"/>
                <w:color w:val="auto"/>
              </w:rPr>
            </w:pPr>
            <w:r>
              <w:rPr>
                <w:rFonts w:ascii="Arial" w:cs="Arial" w:eastAsia="Arial" w:hAnsi="Arial"/>
                <w:sz w:val="18"/>
                <w:szCs w:val="18"/>
                <w:b w:val="1"/>
                <w:bCs w:val="1"/>
                <w:color w:val="auto"/>
                <w:w w:val="89"/>
              </w:rPr>
              <w:t>Three months ended</w:t>
            </w:r>
          </w:p>
        </w:tc>
        <w:tc>
          <w:tcPr>
            <w:tcW w:w="280" w:type="dxa"/>
            <w:vAlign w:val="bottom"/>
          </w:tcPr>
          <w:p>
            <w:pPr>
              <w:spacing w:after="0"/>
              <w:rPr>
                <w:sz w:val="20"/>
                <w:szCs w:val="20"/>
                <w:color w:val="auto"/>
              </w:rPr>
            </w:pPr>
          </w:p>
        </w:tc>
        <w:tc>
          <w:tcPr>
            <w:tcW w:w="242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Nine months ended</w:t>
            </w:r>
          </w:p>
        </w:tc>
      </w:tr>
      <w:tr>
        <w:trPr>
          <w:trHeight w:val="270"/>
        </w:trPr>
        <w:tc>
          <w:tcPr>
            <w:tcW w:w="56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500" w:type="dxa"/>
            <w:vAlign w:val="bottom"/>
            <w:gridSpan w:val="5"/>
          </w:tcPr>
          <w:p>
            <w:pPr>
              <w:jc w:val="center"/>
              <w:ind w:right="360"/>
              <w:spacing w:after="0"/>
              <w:rPr>
                <w:sz w:val="20"/>
                <w:szCs w:val="20"/>
                <w:color w:val="auto"/>
              </w:rPr>
            </w:pPr>
            <w:r>
              <w:rPr>
                <w:rFonts w:ascii="Arial" w:cs="Arial" w:eastAsia="Arial" w:hAnsi="Arial"/>
                <w:sz w:val="18"/>
                <w:szCs w:val="18"/>
                <w:b w:val="1"/>
                <w:bCs w:val="1"/>
                <w:color w:val="auto"/>
                <w:w w:val="89"/>
              </w:rPr>
              <w:t>September 30,</w:t>
            </w:r>
          </w:p>
        </w:tc>
        <w:tc>
          <w:tcPr>
            <w:tcW w:w="280" w:type="dxa"/>
            <w:vAlign w:val="bottom"/>
          </w:tcPr>
          <w:p>
            <w:pPr>
              <w:spacing w:after="0"/>
              <w:rPr>
                <w:sz w:val="23"/>
                <w:szCs w:val="23"/>
                <w:color w:val="auto"/>
              </w:rPr>
            </w:pPr>
          </w:p>
        </w:tc>
        <w:tc>
          <w:tcPr>
            <w:tcW w:w="2420" w:type="dxa"/>
            <w:vAlign w:val="bottom"/>
            <w:gridSpan w:val="4"/>
          </w:tcPr>
          <w:p>
            <w:pPr>
              <w:jc w:val="right"/>
              <w:ind w:right="69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56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7"/>
        </w:trPr>
        <w:tc>
          <w:tcPr>
            <w:tcW w:w="5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ind w:right="370"/>
              <w:spacing w:after="0"/>
              <w:rPr>
                <w:sz w:val="20"/>
                <w:szCs w:val="20"/>
                <w:color w:val="auto"/>
              </w:rPr>
            </w:pPr>
            <w:r>
              <w:rPr>
                <w:rFonts w:ascii="Arial" w:cs="Arial" w:eastAsia="Arial" w:hAnsi="Arial"/>
                <w:sz w:val="18"/>
                <w:szCs w:val="18"/>
                <w:b w:val="1"/>
                <w:bCs w:val="1"/>
                <w:color w:val="auto"/>
              </w:rPr>
              <w:t>2017</w:t>
            </w:r>
          </w:p>
        </w:tc>
      </w:tr>
      <w:tr>
        <w:trPr>
          <w:trHeight w:val="27"/>
        </w:trPr>
        <w:tc>
          <w:tcPr>
            <w:tcW w:w="56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income attributable to Acushnet Holdings Corp.</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7,063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9,318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88,454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80,448</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Income tax expense</w:t>
            </w: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10,098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3,488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43,737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44,180</w:t>
            </w:r>
          </w:p>
        </w:tc>
      </w:tr>
      <w:tr>
        <w:trPr>
          <w:trHeight w:val="27"/>
        </w:trPr>
        <w:tc>
          <w:tcPr>
            <w:tcW w:w="5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Interest expense, net</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4,284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4,040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13,939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11,863</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Depreciation and amortization</w:t>
            </w: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9,345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10,214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30,057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30,667</w:t>
            </w:r>
          </w:p>
        </w:tc>
      </w:tr>
      <w:tr>
        <w:trPr>
          <w:trHeight w:val="27"/>
        </w:trPr>
        <w:tc>
          <w:tcPr>
            <w:tcW w:w="5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Share-based compensation</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4,670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3,674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13,780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11,576</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Transaction fees</w:t>
            </w: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470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470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146</w:t>
            </w:r>
          </w:p>
        </w:tc>
      </w:tr>
      <w:tr>
        <w:trPr>
          <w:trHeight w:val="27"/>
        </w:trPr>
        <w:tc>
          <w:tcPr>
            <w:tcW w:w="5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Beam indemnification expense (income)(a)</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(68)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145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(181)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342</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Executive pension settlement(b)</w:t>
            </w: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2,543</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2,543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7"/>
        </w:trPr>
        <w:tc>
          <w:tcPr>
            <w:tcW w:w="5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 non-cash (gains) losses, net</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(350)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(613)</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286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1,316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2,354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3,854</w:t>
            </w:r>
          </w:p>
        </w:tc>
      </w:tr>
      <w:tr>
        <w:trPr>
          <w:trHeight w:val="27"/>
        </w:trPr>
        <w:tc>
          <w:tcPr>
            <w:tcW w:w="56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7"/>
        </w:trPr>
        <w:tc>
          <w:tcPr>
            <w:tcW w:w="5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38,341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32,178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194,764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182,463</w:t>
            </w:r>
          </w:p>
        </w:tc>
      </w:tr>
      <w:tr>
        <w:trPr>
          <w:trHeight w:val="20"/>
        </w:trPr>
        <w:tc>
          <w:tcPr>
            <w:tcW w:w="56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30"/>
        </w:trPr>
        <w:tc>
          <w:tcPr>
            <w:tcW w:w="5640" w:type="dxa"/>
            <w:vAlign w:val="bottom"/>
          </w:tcPr>
          <w:p>
            <w:pPr>
              <w:ind w:left="20"/>
              <w:spacing w:after="0"/>
              <w:rPr>
                <w:sz w:val="20"/>
                <w:szCs w:val="20"/>
                <w:color w:val="auto"/>
              </w:rPr>
            </w:pPr>
            <w:r>
              <w:rPr>
                <w:rFonts w:ascii="Arial" w:cs="Arial" w:eastAsia="Arial" w:hAnsi="Arial"/>
                <w:sz w:val="18"/>
                <w:szCs w:val="18"/>
                <w:color w:val="auto"/>
              </w:rPr>
              <w:t>Adjusted EBITDA margin</w:t>
            </w: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15.1%</w:t>
            </w:r>
          </w:p>
        </w:tc>
      </w:tr>
    </w:tbl>
    <w:p>
      <w:pPr>
        <w:spacing w:after="0" w:line="235" w:lineRule="exact"/>
        <w:rPr>
          <w:sz w:val="20"/>
          <w:szCs w:val="20"/>
          <w:color w:val="auto"/>
        </w:rPr>
      </w:pPr>
    </w:p>
    <w:p>
      <w:pPr>
        <w:ind w:left="500" w:right="880" w:hanging="330"/>
        <w:spacing w:after="0" w:line="265" w:lineRule="exact"/>
        <w:tabs>
          <w:tab w:leader="none" w:pos="500" w:val="left"/>
        </w:tabs>
        <w:numPr>
          <w:ilvl w:val="0"/>
          <w:numId w:val="7"/>
        </w:numPr>
        <w:rPr>
          <w:rFonts w:ascii="Arial" w:cs="Arial" w:eastAsia="Arial" w:hAnsi="Arial"/>
          <w:sz w:val="22"/>
          <w:szCs w:val="22"/>
          <w:color w:val="auto"/>
        </w:rPr>
      </w:pPr>
      <w:r>
        <w:rPr>
          <w:rFonts w:ascii="Arial" w:cs="Arial" w:eastAsia="Arial" w:hAnsi="Arial"/>
          <w:sz w:val="22"/>
          <w:szCs w:val="22"/>
          <w:color w:val="auto"/>
        </w:rPr>
        <w:t>Reflects the non</w:t>
      </w:r>
      <w:r>
        <w:rPr>
          <w:rFonts w:ascii="MS PGothic" w:cs="MS PGothic" w:eastAsia="MS PGothic" w:hAnsi="MS PGothic"/>
          <w:sz w:val="22"/>
          <w:szCs w:val="22"/>
          <w:color w:val="auto"/>
        </w:rPr>
        <w:t>‑</w:t>
      </w:r>
      <w:r>
        <w:rPr>
          <w:rFonts w:ascii="Arial" w:cs="Arial" w:eastAsia="Arial" w:hAnsi="Arial"/>
          <w:sz w:val="22"/>
          <w:szCs w:val="22"/>
          <w:color w:val="auto"/>
        </w:rPr>
        <w:t>cash charges related to the indemnification obligations owed to us by Beam that are included when calculating net income attributable to Acushnet Holdings Corp.</w:t>
      </w:r>
    </w:p>
    <w:p>
      <w:pPr>
        <w:spacing w:after="0" w:line="200" w:lineRule="exact"/>
        <w:rPr>
          <w:rFonts w:ascii="Arial" w:cs="Arial" w:eastAsia="Arial" w:hAnsi="Arial"/>
          <w:sz w:val="22"/>
          <w:szCs w:val="22"/>
          <w:color w:val="auto"/>
        </w:rPr>
      </w:pPr>
    </w:p>
    <w:p>
      <w:pPr>
        <w:ind w:left="500" w:right="200" w:hanging="330"/>
        <w:spacing w:after="0" w:line="263" w:lineRule="auto"/>
        <w:tabs>
          <w:tab w:leader="none" w:pos="500" w:val="left"/>
        </w:tabs>
        <w:numPr>
          <w:ilvl w:val="0"/>
          <w:numId w:val="7"/>
        </w:numPr>
        <w:rPr>
          <w:rFonts w:ascii="Arial" w:cs="Arial" w:eastAsia="Arial" w:hAnsi="Arial"/>
          <w:sz w:val="22"/>
          <w:szCs w:val="22"/>
          <w:color w:val="auto"/>
        </w:rPr>
      </w:pPr>
      <w:r>
        <w:rPr>
          <w:rFonts w:ascii="Arial" w:cs="Arial" w:eastAsia="Arial" w:hAnsi="Arial"/>
          <w:sz w:val="22"/>
          <w:szCs w:val="22"/>
          <w:color w:val="auto"/>
        </w:rPr>
        <w:t>In the third quarter of 2018, our former Chief Executive Officer received lump-sum pension benefit payments in connection with his retirement, which resulted in a non-cash settlement expense of $2.5 million.</w:t>
      </w:r>
    </w:p>
    <w:p>
      <w:pPr>
        <w:spacing w:after="0" w:line="175" w:lineRule="exact"/>
        <w:rPr>
          <w:sz w:val="20"/>
          <w:szCs w:val="20"/>
          <w:color w:val="auto"/>
        </w:rPr>
      </w:pPr>
    </w:p>
    <w:p>
      <w:pPr>
        <w:ind w:right="20"/>
        <w:spacing w:after="0" w:line="263" w:lineRule="auto"/>
        <w:rPr>
          <w:sz w:val="20"/>
          <w:szCs w:val="20"/>
          <w:color w:val="auto"/>
        </w:rPr>
      </w:pPr>
      <w:r>
        <w:rPr>
          <w:rFonts w:ascii="Arial" w:cs="Arial" w:eastAsia="Arial" w:hAnsi="Arial"/>
          <w:sz w:val="22"/>
          <w:szCs w:val="22"/>
          <w:color w:val="auto"/>
        </w:rPr>
        <w:t>A reconciliation of non-GAAP Adjusted EBITDA, as forecasted for 2018, to the closest corresponding GAAP measure, net income (loss), is not available without unreasonable efforts on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00"/>
          </w:cols>
          <w:pgMar w:left="240" w:top="807" w:right="259" w:bottom="1440" w:gutter="0" w:footer="0" w:header="0"/>
        </w:sectPr>
      </w:pPr>
    </w:p>
    <w:bookmarkStart w:id="15" w:name="page16"/>
    <w:bookmarkEnd w:id="15"/>
    <w:p>
      <w:pPr>
        <w:spacing w:after="0" w:line="253" w:lineRule="auto"/>
        <w:rPr>
          <w:sz w:val="20"/>
          <w:szCs w:val="20"/>
          <w:color w:val="auto"/>
        </w:rPr>
      </w:pPr>
      <w:r>
        <w:rPr>
          <w:rFonts w:ascii="Arial" w:cs="Arial" w:eastAsia="Arial" w:hAnsi="Arial"/>
          <w:sz w:val="22"/>
          <w:szCs w:val="22"/>
          <w:color w:val="auto"/>
        </w:rPr>
        <w:t>forward-looking basis due to the high variability and low visibility of certain charges that may impact our GAAP results on a forward-looking basis, such as the measures and effects of share- based compensation and adjustments related to the indemnification obligations owed to us by Beam.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5760"/>
        <w:spacing w:after="0"/>
        <w:rPr>
          <w:sz w:val="20"/>
          <w:szCs w:val="20"/>
          <w:color w:val="auto"/>
        </w:rPr>
      </w:pPr>
      <w:r>
        <w:rPr>
          <w:rFonts w:ascii="Arial" w:cs="Arial" w:eastAsia="Arial" w:hAnsi="Arial"/>
          <w:sz w:val="22"/>
          <w:szCs w:val="22"/>
          <w:color w:val="auto"/>
        </w:rPr>
        <w:t>13</w:t>
      </w:r>
    </w:p>
    <w:sectPr>
      <w:pgSz w:w="11900" w:h="16838" w:orient="portrait"/>
      <w:cols w:equalWidth="0" w:num="1">
        <w:col w:w="10820"/>
      </w:cols>
      <w:pgMar w:left="240" w:top="807" w:right="8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2020-01-10T20:24:24Z</dcterms:created>
  <dcterms:modified xsi:type="dcterms:W3CDTF">2020-01-10T20:24:24Z</dcterms:modified>
</cp:coreProperties>
</file>