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4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5"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Report (Date of Earliest Event Reported): June 15, 2018</w:t>
      </w:r>
    </w:p>
    <w:p>
      <w:pPr>
        <w:spacing w:after="0" w:line="210"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Acushnet Holdings Corp.</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367" w:lineRule="exact"/>
        <w:rPr>
          <w:sz w:val="24"/>
          <w:szCs w:val="24"/>
          <w:color w:val="auto"/>
        </w:rPr>
      </w:pPr>
    </w:p>
    <w:tbl>
      <w:tblPr>
        <w:tblLayout w:type="fixed"/>
        <w:tblInd w:w="980" w:type="dxa"/>
        <w:tblCellMar>
          <w:top w:w="0" w:type="dxa"/>
          <w:left w:w="0" w:type="dxa"/>
          <w:bottom w:w="0" w:type="dxa"/>
          <w:right w:w="0" w:type="dxa"/>
        </w:tblCellMar>
      </w:tblPr>
      <w:tr>
        <w:trPr>
          <w:trHeight w:val="234"/>
        </w:trPr>
        <w:tc>
          <w:tcPr>
            <w:tcW w:w="216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Delaware</w:t>
            </w:r>
          </w:p>
        </w:tc>
        <w:tc>
          <w:tcPr>
            <w:tcW w:w="5340" w:type="dxa"/>
            <w:vAlign w:val="bottom"/>
          </w:tcPr>
          <w:p>
            <w:pPr>
              <w:jc w:val="center"/>
              <w:spacing w:after="0"/>
              <w:rPr>
                <w:sz w:val="20"/>
                <w:szCs w:val="20"/>
                <w:color w:val="auto"/>
              </w:rPr>
            </w:pPr>
            <w:r>
              <w:rPr>
                <w:rFonts w:ascii="Arial" w:cs="Arial" w:eastAsia="Arial" w:hAnsi="Arial"/>
                <w:sz w:val="18"/>
                <w:szCs w:val="18"/>
                <w:b w:val="1"/>
                <w:bCs w:val="1"/>
                <w:color w:val="auto"/>
                <w:w w:val="90"/>
              </w:rPr>
              <w:t>001-37935</w:t>
            </w:r>
          </w:p>
        </w:tc>
        <w:tc>
          <w:tcPr>
            <w:tcW w:w="1740" w:type="dxa"/>
            <w:vAlign w:val="bottom"/>
          </w:tcPr>
          <w:p>
            <w:pPr>
              <w:jc w:val="center"/>
              <w:ind w:left="290"/>
              <w:spacing w:after="0"/>
              <w:rPr>
                <w:sz w:val="20"/>
                <w:szCs w:val="20"/>
                <w:color w:val="auto"/>
              </w:rPr>
            </w:pPr>
            <w:r>
              <w:rPr>
                <w:rFonts w:ascii="Arial" w:cs="Arial" w:eastAsia="Arial" w:hAnsi="Arial"/>
                <w:sz w:val="18"/>
                <w:szCs w:val="18"/>
                <w:b w:val="1"/>
                <w:bCs w:val="1"/>
                <w:color w:val="auto"/>
                <w:w w:val="91"/>
              </w:rPr>
              <w:t>45-2644353</w:t>
            </w:r>
          </w:p>
        </w:tc>
      </w:tr>
      <w:tr>
        <w:trPr>
          <w:trHeight w:val="256"/>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1"/>
              </w:rPr>
              <w:t>(State or Other Jurisdiction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1"/>
              </w:rPr>
              <w:t>(Commission</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3"/>
              </w:rPr>
              <w:t>(IRS Employer</w:t>
            </w:r>
          </w:p>
        </w:tc>
      </w:tr>
      <w:tr>
        <w:trPr>
          <w:trHeight w:val="230"/>
        </w:trPr>
        <w:tc>
          <w:tcPr>
            <w:tcW w:w="2160" w:type="dxa"/>
            <w:vAlign w:val="bottom"/>
          </w:tcPr>
          <w:p>
            <w:pPr>
              <w:jc w:val="center"/>
              <w:ind w:right="110"/>
              <w:spacing w:after="0"/>
              <w:rPr>
                <w:sz w:val="20"/>
                <w:szCs w:val="20"/>
                <w:color w:val="auto"/>
              </w:rPr>
            </w:pPr>
            <w:r>
              <w:rPr>
                <w:rFonts w:ascii="Arial" w:cs="Arial" w:eastAsia="Arial" w:hAnsi="Arial"/>
                <w:sz w:val="18"/>
                <w:szCs w:val="18"/>
                <w:color w:val="auto"/>
                <w:w w:val="94"/>
              </w:rPr>
              <w:t>of Incorporation)</w:t>
            </w:r>
          </w:p>
        </w:tc>
        <w:tc>
          <w:tcPr>
            <w:tcW w:w="5340" w:type="dxa"/>
            <w:vAlign w:val="bottom"/>
          </w:tcPr>
          <w:p>
            <w:pPr>
              <w:jc w:val="center"/>
              <w:spacing w:after="0"/>
              <w:rPr>
                <w:sz w:val="20"/>
                <w:szCs w:val="20"/>
                <w:color w:val="auto"/>
              </w:rPr>
            </w:pPr>
            <w:r>
              <w:rPr>
                <w:rFonts w:ascii="Arial" w:cs="Arial" w:eastAsia="Arial" w:hAnsi="Arial"/>
                <w:sz w:val="18"/>
                <w:szCs w:val="18"/>
                <w:color w:val="auto"/>
                <w:w w:val="92"/>
              </w:rPr>
              <w:t>File Number)</w:t>
            </w:r>
          </w:p>
        </w:tc>
        <w:tc>
          <w:tcPr>
            <w:tcW w:w="1740" w:type="dxa"/>
            <w:vAlign w:val="bottom"/>
          </w:tcPr>
          <w:p>
            <w:pPr>
              <w:jc w:val="center"/>
              <w:ind w:left="310"/>
              <w:spacing w:after="0"/>
              <w:rPr>
                <w:sz w:val="20"/>
                <w:szCs w:val="20"/>
                <w:color w:val="auto"/>
              </w:rPr>
            </w:pPr>
            <w:r>
              <w:rPr>
                <w:rFonts w:ascii="Arial" w:cs="Arial" w:eastAsia="Arial" w:hAnsi="Arial"/>
                <w:sz w:val="18"/>
                <w:szCs w:val="18"/>
                <w:color w:val="auto"/>
                <w:w w:val="95"/>
              </w:rPr>
              <w:t>Identification No.)</w:t>
            </w:r>
          </w:p>
        </w:tc>
      </w:tr>
      <w:tr>
        <w:trPr>
          <w:trHeight w:val="441"/>
        </w:trPr>
        <w:tc>
          <w:tcPr>
            <w:tcW w:w="2160" w:type="dxa"/>
            <w:vAlign w:val="bottom"/>
          </w:tcPr>
          <w:p>
            <w:pPr>
              <w:spacing w:after="0"/>
              <w:rPr>
                <w:sz w:val="24"/>
                <w:szCs w:val="24"/>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333 Bridge Street</w:t>
            </w:r>
          </w:p>
        </w:tc>
        <w:tc>
          <w:tcPr>
            <w:tcW w:w="1740" w:type="dxa"/>
            <w:vAlign w:val="bottom"/>
          </w:tcPr>
          <w:p>
            <w:pPr>
              <w:spacing w:after="0"/>
              <w:rPr>
                <w:sz w:val="24"/>
                <w:szCs w:val="24"/>
                <w:color w:val="auto"/>
              </w:rPr>
            </w:pPr>
          </w:p>
        </w:tc>
      </w:tr>
      <w:tr>
        <w:trPr>
          <w:trHeight w:val="220"/>
        </w:trPr>
        <w:tc>
          <w:tcPr>
            <w:tcW w:w="2160" w:type="dxa"/>
            <w:vAlign w:val="bottom"/>
          </w:tcPr>
          <w:p>
            <w:pPr>
              <w:spacing w:after="0"/>
              <w:rPr>
                <w:sz w:val="19"/>
                <w:szCs w:val="19"/>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88"/>
              </w:rPr>
              <w:t>Fairhaven, Massachusetts 02719</w:t>
            </w:r>
          </w:p>
        </w:tc>
        <w:tc>
          <w:tcPr>
            <w:tcW w:w="1740" w:type="dxa"/>
            <w:vAlign w:val="bottom"/>
          </w:tcPr>
          <w:p>
            <w:pPr>
              <w:spacing w:after="0"/>
              <w:rPr>
                <w:sz w:val="19"/>
                <w:szCs w:val="19"/>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3"/>
              </w:rPr>
              <w:t>(Address of Principal Executive Offices) (Zip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line="207" w:lineRule="exact"/>
              <w:rPr>
                <w:sz w:val="20"/>
                <w:szCs w:val="20"/>
                <w:color w:val="auto"/>
              </w:rPr>
            </w:pPr>
            <w:r>
              <w:rPr>
                <w:rFonts w:ascii="Arial" w:cs="Arial" w:eastAsia="Arial" w:hAnsi="Arial"/>
                <w:sz w:val="18"/>
                <w:szCs w:val="18"/>
                <w:b w:val="1"/>
                <w:bCs w:val="1"/>
                <w:color w:val="auto"/>
                <w:w w:val="91"/>
              </w:rPr>
              <w:t>(800) 225</w:t>
            </w:r>
            <w:r>
              <w:rPr>
                <w:rFonts w:ascii="MS PGothic" w:cs="MS PGothic" w:eastAsia="MS PGothic" w:hAnsi="MS PGothic"/>
                <w:sz w:val="18"/>
                <w:szCs w:val="18"/>
                <w:b w:val="1"/>
                <w:bCs w:val="1"/>
                <w:color w:val="auto"/>
                <w:w w:val="91"/>
              </w:rPr>
              <w:t>‑</w:t>
            </w:r>
            <w:r>
              <w:rPr>
                <w:rFonts w:ascii="Arial" w:cs="Arial" w:eastAsia="Arial" w:hAnsi="Arial"/>
                <w:sz w:val="18"/>
                <w:szCs w:val="18"/>
                <w:b w:val="1"/>
                <w:bCs w:val="1"/>
                <w:color w:val="auto"/>
                <w:w w:val="91"/>
              </w:rPr>
              <w:t>8500</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color w:val="auto"/>
                <w:w w:val="91"/>
              </w:rPr>
              <w:t>(Registrant’s Telephone Number, Including Area Code)</w:t>
            </w:r>
          </w:p>
        </w:tc>
        <w:tc>
          <w:tcPr>
            <w:tcW w:w="1740" w:type="dxa"/>
            <w:vAlign w:val="bottom"/>
          </w:tcPr>
          <w:p>
            <w:pPr>
              <w:spacing w:after="0"/>
              <w:rPr>
                <w:sz w:val="20"/>
                <w:szCs w:val="20"/>
                <w:color w:val="auto"/>
              </w:rPr>
            </w:pPr>
          </w:p>
        </w:tc>
      </w:tr>
      <w:tr>
        <w:trPr>
          <w:trHeight w:val="418"/>
        </w:trPr>
        <w:tc>
          <w:tcPr>
            <w:tcW w:w="2160" w:type="dxa"/>
            <w:vAlign w:val="bottom"/>
          </w:tcPr>
          <w:p>
            <w:pPr>
              <w:spacing w:after="0"/>
              <w:rPr>
                <w:sz w:val="24"/>
                <w:szCs w:val="24"/>
                <w:color w:val="auto"/>
              </w:rPr>
            </w:pPr>
          </w:p>
        </w:tc>
        <w:tc>
          <w:tcPr>
            <w:tcW w:w="534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Not Applicable</w:t>
            </w:r>
          </w:p>
        </w:tc>
        <w:tc>
          <w:tcPr>
            <w:tcW w:w="1740" w:type="dxa"/>
            <w:vAlign w:val="bottom"/>
          </w:tcPr>
          <w:p>
            <w:pPr>
              <w:spacing w:after="0"/>
              <w:rPr>
                <w:sz w:val="24"/>
                <w:szCs w:val="24"/>
                <w:color w:val="auto"/>
              </w:rPr>
            </w:pPr>
          </w:p>
        </w:tc>
      </w:tr>
      <w:tr>
        <w:trPr>
          <w:trHeight w:val="230"/>
        </w:trPr>
        <w:tc>
          <w:tcPr>
            <w:tcW w:w="2160" w:type="dxa"/>
            <w:vAlign w:val="bottom"/>
          </w:tcPr>
          <w:p>
            <w:pPr>
              <w:spacing w:after="0"/>
              <w:rPr>
                <w:sz w:val="20"/>
                <w:szCs w:val="20"/>
                <w:color w:val="auto"/>
              </w:rPr>
            </w:pPr>
          </w:p>
        </w:tc>
        <w:tc>
          <w:tcPr>
            <w:tcW w:w="5340" w:type="dxa"/>
            <w:vAlign w:val="bottom"/>
          </w:tcPr>
          <w:p>
            <w:pPr>
              <w:jc w:val="center"/>
              <w:ind w:right="11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40" w:type="dxa"/>
            <w:vAlign w:val="bottom"/>
          </w:tcPr>
          <w:p>
            <w:pPr>
              <w:spacing w:after="0"/>
              <w:rPr>
                <w:sz w:val="20"/>
                <w:szCs w:val="20"/>
                <w:color w:val="auto"/>
              </w:rPr>
            </w:pPr>
          </w:p>
        </w:tc>
      </w:tr>
    </w:tbl>
    <w:p>
      <w:pPr>
        <w:spacing w:after="0" w:line="202"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60"/>
          </w:cols>
          <w:pgMar w:left="240" w:top="747" w:right="299" w:bottom="1440" w:gutter="0" w:footer="0" w:header="0"/>
        </w:sectPr>
      </w:pPr>
    </w:p>
    <w:bookmarkStart w:id="1" w:name="page2"/>
    <w:bookmarkEnd w:id="1"/>
    <w:p>
      <w:pPr>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On June 15, 2018, William Burke informed Acushnet Holdings Corp. (the “Company”) that he will retire as Executive Vice President, Chief Financial Officer and Treasurer of the Company as of January 1, 2019.</w:t>
      </w:r>
    </w:p>
    <w:p>
      <w:pPr>
        <w:spacing w:after="0" w:line="170"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The Company intends to appoint Thomas Pacheco, the Company’s current Senior Vice President, Finance and Chief Accounting Officer, as its Executive Vice President and Chief Financial Officer at that time.</w:t>
      </w:r>
    </w:p>
    <w:p>
      <w:pPr>
        <w:sectPr>
          <w:pgSz w:w="11900" w:h="16838" w:orient="portrait"/>
          <w:cols w:equalWidth="0" w:num="1">
            <w:col w:w="10940"/>
          </w:cols>
          <w:pgMar w:left="240" w:top="580" w:right="7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3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ACUSHNET HOLDINGS CORP.</w:t>
      </w:r>
    </w:p>
    <w:p>
      <w:pPr>
        <w:spacing w:after="0" w:line="360" w:lineRule="exact"/>
        <w:rPr>
          <w:sz w:val="20"/>
          <w:szCs w:val="20"/>
          <w:color w:val="auto"/>
        </w:rPr>
      </w:pPr>
    </w:p>
    <w:tbl>
      <w:tblPr>
        <w:tblLayout w:type="fixed"/>
        <w:tblInd w:w="598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r>
              <w:rPr>
                <w:rFonts w:ascii="Arial" w:cs="Arial" w:eastAsia="Arial" w:hAnsi="Arial"/>
                <w:sz w:val="18"/>
                <w:szCs w:val="18"/>
                <w:color w:val="auto"/>
              </w:rPr>
              <w:t>By:</w:t>
            </w:r>
          </w:p>
        </w:tc>
        <w:tc>
          <w:tcPr>
            <w:tcW w:w="4560" w:type="dxa"/>
            <w:vAlign w:val="bottom"/>
          </w:tcPr>
          <w:p>
            <w:pPr>
              <w:ind w:left="20"/>
              <w:spacing w:after="0"/>
              <w:rPr>
                <w:sz w:val="20"/>
                <w:szCs w:val="20"/>
                <w:color w:val="auto"/>
              </w:rPr>
            </w:pPr>
            <w:r>
              <w:rPr>
                <w:rFonts w:ascii="Arial" w:cs="Arial" w:eastAsia="Arial" w:hAnsi="Arial"/>
                <w:sz w:val="18"/>
                <w:szCs w:val="18"/>
                <w:color w:val="auto"/>
              </w:rPr>
              <w:t>/s/ Brendan M. Gibbons</w:t>
            </w:r>
          </w:p>
        </w:tc>
        <w:tc>
          <w:tcPr>
            <w:tcW w:w="0" w:type="dxa"/>
            <w:vAlign w:val="bottom"/>
          </w:tcPr>
          <w:p>
            <w:pPr>
              <w:spacing w:after="0"/>
              <w:rPr>
                <w:sz w:val="1"/>
                <w:szCs w:val="1"/>
                <w:color w:val="auto"/>
              </w:rPr>
            </w:pPr>
          </w:p>
        </w:tc>
      </w:tr>
      <w:tr>
        <w:trPr>
          <w:trHeight w:val="27"/>
        </w:trPr>
        <w:tc>
          <w:tcPr>
            <w:tcW w:w="88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4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80" w:type="dxa"/>
            <w:vAlign w:val="bottom"/>
            <w:vMerge w:val="continue"/>
          </w:tcPr>
          <w:p>
            <w:pPr>
              <w:spacing w:after="0"/>
              <w:rPr>
                <w:sz w:val="20"/>
                <w:szCs w:val="20"/>
                <w:color w:val="auto"/>
              </w:rPr>
            </w:pPr>
          </w:p>
        </w:tc>
        <w:tc>
          <w:tcPr>
            <w:tcW w:w="4560" w:type="dxa"/>
            <w:vAlign w:val="bottom"/>
          </w:tcPr>
          <w:p>
            <w:pPr>
              <w:ind w:left="20"/>
              <w:spacing w:after="0"/>
              <w:rPr>
                <w:sz w:val="20"/>
                <w:szCs w:val="20"/>
                <w:color w:val="auto"/>
              </w:rPr>
            </w:pPr>
            <w:r>
              <w:rPr>
                <w:rFonts w:ascii="Arial" w:cs="Arial" w:eastAsia="Arial" w:hAnsi="Arial"/>
                <w:sz w:val="18"/>
                <w:szCs w:val="18"/>
                <w:color w:val="auto"/>
              </w:rPr>
              <w:t>Brendan M. Gibbons</w:t>
            </w:r>
          </w:p>
        </w:tc>
        <w:tc>
          <w:tcPr>
            <w:tcW w:w="0" w:type="dxa"/>
            <w:vAlign w:val="bottom"/>
          </w:tcPr>
          <w:p>
            <w:pPr>
              <w:spacing w:after="0"/>
              <w:rPr>
                <w:sz w:val="1"/>
                <w:szCs w:val="1"/>
                <w:color w:val="auto"/>
              </w:rPr>
            </w:pPr>
          </w:p>
        </w:tc>
      </w:tr>
      <w:tr>
        <w:trPr>
          <w:trHeight w:val="270"/>
        </w:trPr>
        <w:tc>
          <w:tcPr>
            <w:tcW w:w="880" w:type="dxa"/>
            <w:vAlign w:val="bottom"/>
          </w:tcPr>
          <w:p>
            <w:pPr>
              <w:spacing w:after="0"/>
              <w:rPr>
                <w:sz w:val="20"/>
                <w:szCs w:val="20"/>
                <w:color w:val="auto"/>
              </w:rPr>
            </w:pPr>
            <w:r>
              <w:rPr>
                <w:rFonts w:ascii="Arial" w:cs="Arial" w:eastAsia="Arial" w:hAnsi="Arial"/>
                <w:sz w:val="18"/>
                <w:szCs w:val="18"/>
                <w:color w:val="auto"/>
              </w:rPr>
              <w:t>Title:</w:t>
            </w:r>
          </w:p>
        </w:tc>
        <w:tc>
          <w:tcPr>
            <w:tcW w:w="4560" w:type="dxa"/>
            <w:vAlign w:val="bottom"/>
          </w:tcPr>
          <w:p>
            <w:pPr>
              <w:ind w:left="20"/>
              <w:spacing w:after="0"/>
              <w:rPr>
                <w:sz w:val="20"/>
                <w:szCs w:val="20"/>
                <w:color w:val="auto"/>
              </w:rPr>
            </w:pPr>
            <w:r>
              <w:rPr>
                <w:rFonts w:ascii="Arial" w:cs="Arial" w:eastAsia="Arial" w:hAnsi="Arial"/>
                <w:sz w:val="18"/>
                <w:szCs w:val="18"/>
                <w:color w:val="auto"/>
              </w:rPr>
              <w:t>Executive Vice President and Chief Legal Officer</w:t>
            </w:r>
          </w:p>
        </w:tc>
        <w:tc>
          <w:tcPr>
            <w:tcW w:w="0" w:type="dxa"/>
            <w:vAlign w:val="bottom"/>
          </w:tcPr>
          <w:p>
            <w:pPr>
              <w:spacing w:after="0"/>
              <w:rPr>
                <w:sz w:val="1"/>
                <w:szCs w:val="1"/>
                <w:color w:val="auto"/>
              </w:rPr>
            </w:pPr>
          </w:p>
        </w:tc>
      </w:tr>
    </w:tbl>
    <w:p>
      <w:pPr>
        <w:spacing w:after="0" w:line="269" w:lineRule="exact"/>
        <w:rPr>
          <w:sz w:val="20"/>
          <w:szCs w:val="20"/>
          <w:color w:val="auto"/>
        </w:rPr>
      </w:pPr>
    </w:p>
    <w:p>
      <w:pPr>
        <w:spacing w:after="0"/>
        <w:rPr>
          <w:sz w:val="20"/>
          <w:szCs w:val="20"/>
          <w:color w:val="auto"/>
        </w:rPr>
      </w:pPr>
      <w:r>
        <w:rPr>
          <w:rFonts w:ascii="Arial" w:cs="Arial" w:eastAsia="Arial" w:hAnsi="Arial"/>
          <w:sz w:val="18"/>
          <w:szCs w:val="18"/>
          <w:color w:val="auto"/>
        </w:rPr>
        <w:t>Date: June 19, 2018</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2020-01-15T18:13:55Z</dcterms:created>
  <dcterms:modified xsi:type="dcterms:W3CDTF">2020-01-15T18:13:55Z</dcterms:modified>
</cp:coreProperties>
</file>