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8107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81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  <w:w w:val="89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89"/>
                </w:rPr>
                <w:t>Valcourt David P.</w:t>
              </w:r>
            </w:hyperlink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Acushnet Holdings Corp.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GOLF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]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8"/>
              </w:rPr>
              <w:t>3. Date of Earliest Transaction (Month/Day/Year)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96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C/O ACUSHNET HOLDINGS CORP.,</w:t>
            </w:r>
          </w:p>
        </w:tc>
        <w:tc>
          <w:tcPr>
            <w:tcW w:w="164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09/15/2017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333 BRIDGE STREET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2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40" w:type="dxa"/>
            <w:vAlign w:val="bottom"/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FAIRHAVEN</w:t>
            </w:r>
          </w:p>
        </w:tc>
        <w:tc>
          <w:tcPr>
            <w:tcW w:w="1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MA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02719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1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4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5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80" w:type="dxa"/>
            <w:vAlign w:val="bottom"/>
            <w:gridSpan w:val="6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5"/>
          </w:tcPr>
          <w:p>
            <w:pPr>
              <w:ind w:left="7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09/15/2017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A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37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16.86</w:t>
            </w: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8,503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4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jc w:val="center"/>
              <w:ind w:lef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5"/>
          </w:tcPr>
          <w:p>
            <w:pPr>
              <w:jc w:val="center"/>
              <w:ind w:left="5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00" w:type="dxa"/>
            <w:vAlign w:val="bottom"/>
            <w:gridSpan w:val="3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  <w:gridSpan w:val="3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3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gridSpan w:val="4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4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008000"/>
        </w:rPr>
        <w:t>1. Represents dividend equivalent rights in connection with the Issuer's quarterly dividend and accrued to the Reporting Person on restricted stock units deferred under the Issuer's deferred compensation plan.</w:t>
      </w:r>
    </w:p>
    <w:p>
      <w:pPr>
        <w:spacing w:after="0" w:line="71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1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/s/ Roland A. Giroux, as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10/05/2017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120" w:type="dxa"/>
            <w:vAlign w:val="bottom"/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attorney-in-fact</w:t>
            </w:r>
          </w:p>
        </w:tc>
        <w:tc>
          <w:tcPr>
            <w:tcW w:w="9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1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685461" TargetMode="External"/><Relationship Id="rId13" Type="http://schemas.openxmlformats.org/officeDocument/2006/relationships/hyperlink" Target="http://www.sec.gov/cgi-bin/browse-edgar?action=getcompany&amp;CIK=000167201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2020-01-16T04:44:11Z</dcterms:created>
  <dcterms:modified xsi:type="dcterms:W3CDTF">2020-01-16T04:44:11Z</dcterms:modified>
</cp:coreProperties>
</file>